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04B" w:rsidRDefault="0007704B">
      <w:pPr>
        <w:tabs>
          <w:tab w:val="left" w:pos="5790"/>
        </w:tabs>
        <w:spacing w:line="560" w:lineRule="exact"/>
        <w:ind w:firstLineChars="450" w:firstLine="1626"/>
        <w:rPr>
          <w:rFonts w:ascii="黑体" w:eastAsia="黑体" w:hAnsi="黑体"/>
          <w:b/>
          <w:sz w:val="36"/>
          <w:szCs w:val="36"/>
        </w:rPr>
      </w:pPr>
      <w:bookmarkStart w:id="0" w:name="_Toc330904141"/>
      <w:bookmarkStart w:id="1" w:name="_Toc340839626"/>
      <w:r>
        <w:rPr>
          <w:rFonts w:ascii="黑体" w:eastAsia="黑体" w:hAnsi="黑体" w:hint="eastAsia"/>
          <w:b/>
          <w:sz w:val="36"/>
          <w:szCs w:val="36"/>
        </w:rPr>
        <w:t>第六号 上市公司关联交易</w:t>
      </w:r>
      <w:r>
        <w:rPr>
          <w:rFonts w:ascii="黑体" w:eastAsia="黑体" w:hAnsi="黑体" w:hint="eastAsia"/>
          <w:b/>
          <w:sz w:val="36"/>
          <w:szCs w:val="36"/>
          <w:lang/>
        </w:rPr>
        <w:t>公告</w:t>
      </w:r>
      <w:bookmarkEnd w:id="0"/>
      <w:bookmarkEnd w:id="1"/>
    </w:p>
    <w:p w:rsidR="0007704B" w:rsidRDefault="0007704B">
      <w:pPr>
        <w:spacing w:line="560" w:lineRule="exact"/>
        <w:rPr>
          <w:rFonts w:ascii="黑体" w:eastAsia="黑体" w:hAnsi="黑体"/>
          <w:b/>
          <w:sz w:val="36"/>
          <w:szCs w:val="36"/>
        </w:rPr>
      </w:pPr>
    </w:p>
    <w:p w:rsidR="0007704B" w:rsidRDefault="0007704B">
      <w:pPr>
        <w:autoSpaceDE w:val="0"/>
        <w:autoSpaceDN w:val="0"/>
        <w:adjustRightInd w:val="0"/>
        <w:snapToGrid w:val="0"/>
        <w:spacing w:line="560" w:lineRule="exact"/>
        <w:rPr>
          <w:rFonts w:ascii="仿宋_GB2312" w:eastAsia="仿宋_GB2312" w:hAnsi="宋体"/>
          <w:b/>
          <w:sz w:val="30"/>
          <w:szCs w:val="30"/>
        </w:rPr>
      </w:pPr>
      <w:r>
        <w:rPr>
          <w:rFonts w:ascii="仿宋_GB2312" w:eastAsia="仿宋_GB2312" w:hAnsi="宋体" w:hint="eastAsia"/>
          <w:b/>
          <w:sz w:val="30"/>
          <w:szCs w:val="30"/>
        </w:rPr>
        <w:t>适用情形：</w:t>
      </w:r>
    </w:p>
    <w:p w:rsidR="0007704B" w:rsidRDefault="0007704B">
      <w:pPr>
        <w:spacing w:line="560" w:lineRule="exact"/>
        <w:ind w:firstLineChars="200" w:firstLine="600"/>
        <w:rPr>
          <w:rFonts w:ascii="仿宋_GB2312" w:eastAsia="仿宋_GB2312"/>
          <w:color w:val="000000"/>
          <w:sz w:val="30"/>
          <w:szCs w:val="30"/>
        </w:rPr>
      </w:pPr>
      <w:r>
        <w:rPr>
          <w:rFonts w:ascii="仿宋_GB2312" w:eastAsia="仿宋_GB2312"/>
          <w:color w:val="000000"/>
          <w:sz w:val="30"/>
          <w:szCs w:val="30"/>
        </w:rPr>
        <w:t>1.</w:t>
      </w:r>
      <w:r>
        <w:rPr>
          <w:rFonts w:ascii="仿宋_GB2312" w:eastAsia="仿宋_GB2312" w:hint="eastAsia"/>
          <w:color w:val="000000"/>
          <w:sz w:val="30"/>
          <w:szCs w:val="30"/>
        </w:rPr>
        <w:t>上市公司关联交易达到本所《股票上市规则》及本所相关业务规则规定的披露标准，</w:t>
      </w:r>
      <w:r>
        <w:rPr>
          <w:rFonts w:ascii="仿宋_GB2312" w:eastAsia="仿宋_GB2312"/>
          <w:color w:val="000000"/>
          <w:sz w:val="30"/>
          <w:szCs w:val="30"/>
        </w:rPr>
        <w:t>应当</w:t>
      </w:r>
      <w:r>
        <w:rPr>
          <w:rFonts w:ascii="仿宋_GB2312" w:eastAsia="仿宋_GB2312" w:hint="eastAsia"/>
          <w:color w:val="000000"/>
          <w:sz w:val="30"/>
          <w:szCs w:val="30"/>
        </w:rPr>
        <w:t>适用本公告格式。关联交易标的涉及收购出售资产、对外投资、财务资助、委托理财等事项的，需要同时参照相关公告格式要求在本次关联交易公告中补充披露有关信息。</w:t>
      </w:r>
    </w:p>
    <w:p w:rsidR="0007704B" w:rsidRDefault="0007704B">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2.关联交易达到《上市公司重大资产重组管理办法》规定的重大资产重组标准的，不适用本公告格式，按照《上市公司重大资产重组管理办法》的规定进行披露。</w:t>
      </w:r>
    </w:p>
    <w:p w:rsidR="0007704B" w:rsidRDefault="0007704B">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3.上市公司日常关联交易预计达到本所《股票上市规则》</w:t>
      </w:r>
      <w:r>
        <w:rPr>
          <w:rFonts w:ascii="仿宋_GB2312" w:eastAsia="仿宋_GB2312" w:hint="eastAsia"/>
          <w:color w:val="000000"/>
          <w:sz w:val="30"/>
          <w:szCs w:val="30"/>
          <w:lang/>
        </w:rPr>
        <w:t>等相关规则</w:t>
      </w:r>
      <w:r>
        <w:rPr>
          <w:rFonts w:ascii="仿宋_GB2312" w:eastAsia="仿宋_GB2312" w:hint="eastAsia"/>
          <w:color w:val="000000"/>
          <w:sz w:val="30"/>
          <w:szCs w:val="30"/>
        </w:rPr>
        <w:t>规定的披露标准的，适用日常关联交易公告格式。</w:t>
      </w:r>
    </w:p>
    <w:p w:rsidR="0007704B" w:rsidRDefault="0007704B">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4.上市公司为关联人提供各项担保的信息披露，适用为他人提供担保公告格式。</w:t>
      </w:r>
    </w:p>
    <w:p w:rsidR="0007704B" w:rsidRDefault="0007704B">
      <w:pPr>
        <w:adjustRightInd w:val="0"/>
        <w:snapToGrid w:val="0"/>
        <w:spacing w:line="360" w:lineRule="auto"/>
        <w:rPr>
          <w:rFonts w:ascii="宋体" w:hAnsi="宋体"/>
          <w:sz w:val="24"/>
        </w:rPr>
      </w:pPr>
    </w:p>
    <w:p w:rsidR="0007704B" w:rsidRDefault="0007704B">
      <w:pPr>
        <w:adjustRightInd w:val="0"/>
        <w:snapToGrid w:val="0"/>
        <w:spacing w:line="560" w:lineRule="exact"/>
        <w:rPr>
          <w:rFonts w:ascii="仿宋_GB2312" w:eastAsia="仿宋_GB2312" w:hAnsi="宋体"/>
          <w:sz w:val="30"/>
          <w:szCs w:val="30"/>
        </w:rPr>
      </w:pPr>
      <w:r>
        <w:rPr>
          <w:rFonts w:ascii="仿宋_GB2312" w:eastAsia="仿宋_GB2312" w:hAnsi="宋体" w:hint="eastAsia"/>
          <w:sz w:val="30"/>
          <w:szCs w:val="30"/>
        </w:rPr>
        <w:t>证券代码：             证券简称：            公告编号：</w:t>
      </w:r>
    </w:p>
    <w:p w:rsidR="0007704B" w:rsidRDefault="0007704B">
      <w:pPr>
        <w:adjustRightInd w:val="0"/>
        <w:snapToGrid w:val="0"/>
        <w:spacing w:line="560" w:lineRule="exact"/>
        <w:jc w:val="center"/>
        <w:rPr>
          <w:rFonts w:ascii="仿宋_GB2312" w:eastAsia="仿宋_GB2312" w:hAnsi="宋体"/>
          <w:sz w:val="30"/>
          <w:szCs w:val="30"/>
        </w:rPr>
      </w:pPr>
    </w:p>
    <w:p w:rsidR="0007704B" w:rsidRDefault="0007704B">
      <w:pPr>
        <w:adjustRightInd w:val="0"/>
        <w:snapToGrid w:val="0"/>
        <w:spacing w:line="560" w:lineRule="exact"/>
        <w:jc w:val="center"/>
        <w:rPr>
          <w:rFonts w:ascii="仿宋_GB2312" w:eastAsia="仿宋_GB2312" w:hAnsi="宋体"/>
          <w:color w:val="000000"/>
          <w:sz w:val="30"/>
          <w:szCs w:val="30"/>
        </w:rPr>
      </w:pPr>
      <w:r>
        <w:rPr>
          <w:rFonts w:ascii="仿宋_GB2312" w:eastAsia="仿宋_GB2312" w:hAnsi="宋体"/>
          <w:color w:val="000000"/>
          <w:sz w:val="30"/>
          <w:szCs w:val="30"/>
        </w:rPr>
        <w:t>XXXX</w:t>
      </w:r>
      <w:r>
        <w:rPr>
          <w:rFonts w:ascii="仿宋_GB2312" w:eastAsia="仿宋_GB2312" w:hAnsi="宋体" w:hint="eastAsia"/>
          <w:color w:val="000000"/>
          <w:sz w:val="30"/>
          <w:szCs w:val="30"/>
        </w:rPr>
        <w:t>股份有限公司关联交易公告</w:t>
      </w:r>
    </w:p>
    <w:p w:rsidR="0007704B" w:rsidRDefault="0007704B">
      <w:pPr>
        <w:adjustRightInd w:val="0"/>
        <w:snapToGrid w:val="0"/>
        <w:spacing w:line="360" w:lineRule="auto"/>
        <w:jc w:val="center"/>
        <w:rPr>
          <w:rFonts w:ascii="宋体" w:hAnsi="宋体"/>
          <w:sz w:val="24"/>
        </w:rPr>
      </w:pPr>
    </w:p>
    <w:p w:rsidR="0007704B" w:rsidRDefault="0007704B">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宋体" w:hAnsi="宋体" w:hint="eastAsia"/>
          <w:color w:val="000000"/>
          <w:sz w:val="24"/>
        </w:rPr>
        <w:t xml:space="preserve">    </w:t>
      </w:r>
      <w:r>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本公司董事会及全体董事保证本公告内容不存在任何虚假记载、误导性陈述或者重大遗漏，并对其内容的真实性、准确性和完整性承担法律责任。</w:t>
      </w:r>
    </w:p>
    <w:p w:rsidR="0007704B" w:rsidRDefault="0007704B">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如有董事对临时公告内容的真实性、准确性和完整性无法保证或存在异议的，公司应当在公告中作特别提示。</w:t>
      </w:r>
    </w:p>
    <w:p w:rsidR="0007704B" w:rsidRDefault="0007704B">
      <w:pPr>
        <w:adjustRightInd w:val="0"/>
        <w:snapToGrid w:val="0"/>
        <w:spacing w:line="360" w:lineRule="auto"/>
        <w:rPr>
          <w:rFonts w:ascii="宋体" w:hAnsi="宋体"/>
          <w:color w:val="000000"/>
          <w:sz w:val="24"/>
        </w:rPr>
      </w:pPr>
    </w:p>
    <w:p w:rsidR="0007704B" w:rsidRDefault="0007704B">
      <w:pPr>
        <w:adjustRightInd w:val="0"/>
        <w:snapToGrid w:val="0"/>
        <w:spacing w:line="560" w:lineRule="exact"/>
        <w:ind w:firstLineChars="200" w:firstLine="602"/>
        <w:rPr>
          <w:rFonts w:ascii="仿宋_GB2312" w:eastAsia="仿宋_GB2312" w:hAnsi="仿宋_GB2312" w:cs="仿宋_GB2312"/>
          <w:b/>
          <w:bCs/>
          <w:color w:val="000000"/>
          <w:sz w:val="30"/>
          <w:szCs w:val="30"/>
        </w:rPr>
      </w:pPr>
      <w:r>
        <w:rPr>
          <w:rFonts w:ascii="仿宋_GB2312" w:eastAsia="仿宋_GB2312" w:hAnsi="仿宋_GB2312" w:cs="仿宋_GB2312" w:hint="eastAsia"/>
          <w:b/>
          <w:bCs/>
          <w:color w:val="000000"/>
          <w:sz w:val="30"/>
          <w:szCs w:val="30"/>
        </w:rPr>
        <w:t>重要内容提示：</w:t>
      </w:r>
    </w:p>
    <w:p w:rsidR="0007704B" w:rsidRDefault="0007704B">
      <w:pPr>
        <w:numPr>
          <w:ilvl w:val="0"/>
          <w:numId w:val="1"/>
        </w:numPr>
        <w:adjustRightInd w:val="0"/>
        <w:snapToGrid w:val="0"/>
        <w:spacing w:line="560" w:lineRule="exact"/>
        <w:rPr>
          <w:rFonts w:ascii="仿宋_GB2312" w:eastAsia="仿宋_GB2312"/>
          <w:sz w:val="30"/>
          <w:szCs w:val="30"/>
        </w:rPr>
      </w:pPr>
      <w:r>
        <w:rPr>
          <w:rFonts w:ascii="仿宋_GB2312" w:eastAsia="仿宋_GB2312" w:hint="eastAsia"/>
          <w:sz w:val="30"/>
          <w:szCs w:val="30"/>
        </w:rPr>
        <w:t>交易简要内容（交易标的名称；交易事项；交易各方当事人名称；交易金额等）</w:t>
      </w:r>
    </w:p>
    <w:p w:rsidR="0007704B" w:rsidRDefault="0007704B">
      <w:pPr>
        <w:numPr>
          <w:ilvl w:val="0"/>
          <w:numId w:val="1"/>
        </w:numPr>
        <w:adjustRightInd w:val="0"/>
        <w:snapToGrid w:val="0"/>
        <w:spacing w:line="560" w:lineRule="exact"/>
        <w:rPr>
          <w:rFonts w:ascii="仿宋_GB2312" w:eastAsia="仿宋_GB2312"/>
          <w:sz w:val="30"/>
          <w:szCs w:val="30"/>
        </w:rPr>
      </w:pPr>
      <w:r>
        <w:rPr>
          <w:rFonts w:ascii="仿宋_GB2312" w:eastAsia="仿宋_GB2312" w:hint="eastAsia"/>
          <w:sz w:val="30"/>
          <w:szCs w:val="30"/>
        </w:rPr>
        <w:t>本次交易构成关联交易</w:t>
      </w:r>
    </w:p>
    <w:p w:rsidR="0007704B" w:rsidRDefault="0007704B">
      <w:pPr>
        <w:numPr>
          <w:ilvl w:val="0"/>
          <w:numId w:val="1"/>
        </w:numPr>
        <w:adjustRightInd w:val="0"/>
        <w:snapToGrid w:val="0"/>
        <w:spacing w:line="560" w:lineRule="exact"/>
        <w:rPr>
          <w:rFonts w:ascii="仿宋_GB2312" w:eastAsia="仿宋_GB2312"/>
          <w:sz w:val="30"/>
          <w:szCs w:val="30"/>
        </w:rPr>
      </w:pPr>
      <w:r>
        <w:rPr>
          <w:rFonts w:ascii="仿宋_GB2312" w:eastAsia="仿宋_GB2312" w:hint="eastAsia"/>
          <w:sz w:val="30"/>
          <w:szCs w:val="30"/>
        </w:rPr>
        <w:t>本次交易未构成重大资产重组</w:t>
      </w:r>
    </w:p>
    <w:p w:rsidR="0007704B" w:rsidRDefault="0007704B">
      <w:pPr>
        <w:numPr>
          <w:ilvl w:val="0"/>
          <w:numId w:val="1"/>
        </w:numPr>
        <w:adjustRightInd w:val="0"/>
        <w:snapToGrid w:val="0"/>
        <w:spacing w:line="560" w:lineRule="exact"/>
        <w:rPr>
          <w:rFonts w:ascii="仿宋_GB2312" w:eastAsia="仿宋_GB2312"/>
          <w:sz w:val="30"/>
          <w:szCs w:val="30"/>
        </w:rPr>
      </w:pPr>
      <w:r>
        <w:rPr>
          <w:rFonts w:ascii="仿宋_GB2312" w:eastAsia="仿宋_GB2312" w:hint="eastAsia"/>
          <w:sz w:val="30"/>
          <w:szCs w:val="30"/>
        </w:rPr>
        <w:t>交易实施尚需履行的审批及其他相关程序</w:t>
      </w:r>
    </w:p>
    <w:p w:rsidR="0007704B" w:rsidRDefault="0007704B">
      <w:pPr>
        <w:numPr>
          <w:ilvl w:val="0"/>
          <w:numId w:val="1"/>
        </w:numPr>
        <w:adjustRightInd w:val="0"/>
        <w:snapToGrid w:val="0"/>
        <w:spacing w:line="560" w:lineRule="exact"/>
        <w:rPr>
          <w:rFonts w:ascii="仿宋_GB2312" w:eastAsia="仿宋_GB2312"/>
          <w:sz w:val="30"/>
          <w:szCs w:val="30"/>
        </w:rPr>
      </w:pPr>
      <w:r>
        <w:rPr>
          <w:rFonts w:ascii="仿宋_GB2312" w:eastAsia="仿宋_GB2312" w:hAnsi="仿宋_GB2312" w:cs="仿宋_GB2312" w:hint="eastAsia"/>
          <w:color w:val="000000"/>
          <w:sz w:val="30"/>
          <w:szCs w:val="30"/>
        </w:rPr>
        <w:t>过去12个月与同一关联人进行的交易以及与不同关联人进行的交易类别相关的交易的累计次数及其金额</w:t>
      </w:r>
    </w:p>
    <w:p w:rsidR="0007704B" w:rsidRDefault="0007704B">
      <w:pPr>
        <w:numPr>
          <w:ilvl w:val="0"/>
          <w:numId w:val="1"/>
        </w:numPr>
        <w:adjustRightInd w:val="0"/>
        <w:snapToGrid w:val="0"/>
        <w:spacing w:line="560" w:lineRule="exact"/>
        <w:rPr>
          <w:rFonts w:ascii="黑体" w:eastAsia="黑体" w:hAnsi="黑体"/>
          <w:b/>
          <w:sz w:val="30"/>
          <w:szCs w:val="30"/>
        </w:rPr>
      </w:pPr>
      <w:r>
        <w:rPr>
          <w:rFonts w:ascii="仿宋_GB2312" w:eastAsia="仿宋_GB2312" w:hint="eastAsia"/>
          <w:sz w:val="30"/>
          <w:szCs w:val="30"/>
          <w:lang/>
        </w:rPr>
        <w:t>其</w:t>
      </w:r>
      <w:r>
        <w:rPr>
          <w:rFonts w:ascii="仿宋_GB2312" w:eastAsia="仿宋_GB2312" w:hint="eastAsia"/>
          <w:sz w:val="30"/>
          <w:szCs w:val="30"/>
        </w:rPr>
        <w:t>他需要提醒投资者重点关注的风险事项</w:t>
      </w:r>
    </w:p>
    <w:p w:rsidR="0007704B" w:rsidRDefault="0007704B">
      <w:pPr>
        <w:autoSpaceDE w:val="0"/>
        <w:autoSpaceDN w:val="0"/>
        <w:adjustRightInd w:val="0"/>
        <w:snapToGrid w:val="0"/>
        <w:spacing w:line="560" w:lineRule="exact"/>
        <w:ind w:firstLineChars="200" w:firstLine="602"/>
        <w:rPr>
          <w:rFonts w:ascii="黑体" w:eastAsia="黑体" w:hAnsi="黑体"/>
          <w:b/>
          <w:color w:val="000000"/>
          <w:sz w:val="30"/>
          <w:szCs w:val="30"/>
        </w:rPr>
      </w:pPr>
    </w:p>
    <w:p w:rsidR="0007704B" w:rsidRDefault="0007704B">
      <w:pPr>
        <w:autoSpaceDE w:val="0"/>
        <w:autoSpaceDN w:val="0"/>
        <w:adjustRightInd w:val="0"/>
        <w:snapToGrid w:val="0"/>
        <w:spacing w:line="560" w:lineRule="exact"/>
        <w:ind w:firstLineChars="200" w:firstLine="602"/>
        <w:rPr>
          <w:rFonts w:ascii="黑体" w:eastAsia="黑体" w:hAnsi="黑体"/>
          <w:b/>
          <w:color w:val="000000"/>
          <w:sz w:val="30"/>
          <w:szCs w:val="30"/>
        </w:rPr>
      </w:pPr>
      <w:r>
        <w:rPr>
          <w:rFonts w:ascii="黑体" w:eastAsia="黑体" w:hAnsi="黑体" w:hint="eastAsia"/>
          <w:b/>
          <w:color w:val="000000"/>
          <w:sz w:val="30"/>
          <w:szCs w:val="30"/>
        </w:rPr>
        <w:t>一、关联交易概述</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简要介绍本次交易的基本情况，例如交易各方当事人名称、交易标的名称（股权类资产的，说明股权比例）、交易事项（购买或出售、债权债务转移）、交易价格及与账面值相比的溢价情况、购买资产的资金来源</w:t>
      </w:r>
      <w:r>
        <w:rPr>
          <w:rFonts w:ascii="仿宋_GB2312" w:eastAsia="仿宋_GB2312" w:hint="eastAsia"/>
          <w:sz w:val="30"/>
          <w:szCs w:val="30"/>
          <w:lang/>
        </w:rPr>
        <w:t>（是否属于募集资金）、</w:t>
      </w:r>
      <w:r>
        <w:rPr>
          <w:rFonts w:ascii="仿宋_GB2312" w:eastAsia="仿宋_GB2312" w:hint="eastAsia"/>
          <w:sz w:val="30"/>
          <w:szCs w:val="30"/>
        </w:rPr>
        <w:t>协议签署日期（如适用）等。</w:t>
      </w:r>
    </w:p>
    <w:p w:rsidR="0007704B" w:rsidRDefault="0007704B">
      <w:pPr>
        <w:widowControl/>
        <w:adjustRightInd w:val="0"/>
        <w:snapToGrid w:val="0"/>
        <w:spacing w:line="560" w:lineRule="exact"/>
        <w:ind w:firstLineChars="200" w:firstLine="600"/>
        <w:rPr>
          <w:rFonts w:ascii="仿宋_GB2312" w:eastAsia="仿宋_GB2312"/>
          <w:sz w:val="30"/>
          <w:szCs w:val="30"/>
          <w:lang/>
        </w:rPr>
      </w:pPr>
      <w:r>
        <w:rPr>
          <w:rFonts w:ascii="仿宋_GB2312" w:eastAsia="仿宋_GB2312" w:hint="eastAsia"/>
          <w:sz w:val="30"/>
          <w:szCs w:val="30"/>
          <w:lang/>
        </w:rPr>
        <w:t>（二）本次交易</w:t>
      </w:r>
      <w:r>
        <w:rPr>
          <w:rFonts w:ascii="仿宋_GB2312" w:eastAsia="仿宋_GB2312" w:hint="eastAsia"/>
          <w:sz w:val="30"/>
          <w:szCs w:val="30"/>
        </w:rPr>
        <w:t>的</w:t>
      </w:r>
      <w:r>
        <w:rPr>
          <w:rFonts w:ascii="仿宋_GB2312" w:eastAsia="仿宋_GB2312" w:hint="eastAsia"/>
          <w:sz w:val="30"/>
          <w:szCs w:val="30"/>
          <w:lang/>
        </w:rPr>
        <w:t>目的和原因；</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lang/>
        </w:rPr>
        <w:t>三</w:t>
      </w:r>
      <w:r>
        <w:rPr>
          <w:rFonts w:ascii="仿宋_GB2312" w:eastAsia="仿宋_GB2312" w:hint="eastAsia"/>
          <w:sz w:val="30"/>
          <w:szCs w:val="30"/>
        </w:rPr>
        <w:t>）简要说明公司董事会审议本次交易相关议案的表决情况；</w:t>
      </w:r>
    </w:p>
    <w:p w:rsidR="0007704B" w:rsidRDefault="0007704B">
      <w:pPr>
        <w:autoSpaceDE w:val="0"/>
        <w:autoSpaceDN w:val="0"/>
        <w:adjustRightInd w:val="0"/>
        <w:snapToGrid w:val="0"/>
        <w:spacing w:line="560" w:lineRule="exact"/>
        <w:ind w:firstLineChars="200" w:firstLine="600"/>
        <w:rPr>
          <w:rFonts w:ascii="仿宋_GB2312" w:eastAsia="仿宋_GB2312" w:hAnsi="仿宋_GB2312" w:cs="仿宋_GB2312"/>
          <w:bCs/>
          <w:sz w:val="30"/>
          <w:szCs w:val="30"/>
        </w:rPr>
      </w:pPr>
      <w:r>
        <w:rPr>
          <w:rFonts w:ascii="仿宋_GB2312" w:eastAsia="仿宋_GB2312" w:hint="eastAsia"/>
          <w:sz w:val="30"/>
          <w:szCs w:val="30"/>
        </w:rPr>
        <w:t>（</w:t>
      </w:r>
      <w:r>
        <w:rPr>
          <w:rFonts w:ascii="仿宋_GB2312" w:eastAsia="仿宋_GB2312" w:hint="eastAsia"/>
          <w:sz w:val="30"/>
          <w:szCs w:val="30"/>
          <w:lang/>
        </w:rPr>
        <w:t>四</w:t>
      </w:r>
      <w:r>
        <w:rPr>
          <w:rFonts w:ascii="仿宋_GB2312" w:eastAsia="仿宋_GB2312" w:hint="eastAsia"/>
          <w:sz w:val="30"/>
          <w:szCs w:val="30"/>
        </w:rPr>
        <w:t>）交易生效尚需履行的审批及其他程序（例如，是否需经过股东大会或政府有关部门批准、是否需征得债权人同意、是否需征得其他第三方同意等）以及公司履行程序的情况。</w:t>
      </w:r>
    </w:p>
    <w:p w:rsidR="0007704B" w:rsidRDefault="0007704B">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bCs/>
          <w:sz w:val="30"/>
          <w:szCs w:val="30"/>
          <w:lang/>
        </w:rPr>
        <w:t>（五）</w:t>
      </w:r>
      <w:r>
        <w:rPr>
          <w:rFonts w:ascii="仿宋_GB2312" w:eastAsia="仿宋_GB2312" w:hAnsi="仿宋_GB2312" w:cs="仿宋_GB2312" w:hint="eastAsia"/>
          <w:sz w:val="30"/>
          <w:szCs w:val="30"/>
        </w:rPr>
        <w:t>说明至本次关联交易为止，过去12个月内</w:t>
      </w:r>
      <w:r>
        <w:rPr>
          <w:rFonts w:ascii="仿宋_GB2312" w:eastAsia="仿宋_GB2312" w:hAnsi="仿宋_GB2312" w:cs="仿宋_GB2312" w:hint="eastAsia"/>
          <w:color w:val="000000"/>
          <w:sz w:val="30"/>
          <w:szCs w:val="30"/>
        </w:rPr>
        <w:t>上市</w:t>
      </w:r>
      <w:r>
        <w:rPr>
          <w:rFonts w:ascii="仿宋_GB2312" w:eastAsia="仿宋_GB2312" w:hAnsi="仿宋_GB2312" w:cs="仿宋_GB2312" w:hint="eastAsia"/>
          <w:sz w:val="30"/>
          <w:szCs w:val="30"/>
        </w:rPr>
        <w:t>公司与同一关联人或与不同关联人之间相同交易类别下</w:t>
      </w:r>
      <w:r>
        <w:rPr>
          <w:rFonts w:ascii="仿宋_GB2312" w:eastAsia="仿宋_GB2312" w:hAnsi="仿宋_GB2312" w:cs="仿宋_GB2312"/>
          <w:sz w:val="30"/>
          <w:szCs w:val="30"/>
        </w:rPr>
        <w:t>标的</w:t>
      </w:r>
      <w:r>
        <w:rPr>
          <w:rFonts w:ascii="仿宋_GB2312" w:eastAsia="仿宋_GB2312" w:hAnsi="仿宋_GB2312" w:cs="仿宋_GB2312" w:hint="eastAsia"/>
          <w:sz w:val="30"/>
          <w:szCs w:val="30"/>
        </w:rPr>
        <w:t>相关的</w:t>
      </w:r>
      <w:r>
        <w:rPr>
          <w:rFonts w:ascii="仿宋_GB2312" w:eastAsia="仿宋_GB2312" w:hAnsi="仿宋_GB2312" w:cs="仿宋_GB2312" w:hint="eastAsia"/>
          <w:sz w:val="30"/>
          <w:szCs w:val="30"/>
        </w:rPr>
        <w:lastRenderedPageBreak/>
        <w:t>关联交易是否达到3000万元以上，且占</w:t>
      </w:r>
      <w:r>
        <w:rPr>
          <w:rFonts w:ascii="仿宋_GB2312" w:eastAsia="仿宋_GB2312" w:hAnsi="仿宋_GB2312" w:cs="仿宋_GB2312" w:hint="eastAsia"/>
          <w:color w:val="000000"/>
          <w:sz w:val="30"/>
          <w:szCs w:val="30"/>
        </w:rPr>
        <w:t>上市</w:t>
      </w:r>
      <w:r>
        <w:rPr>
          <w:rFonts w:ascii="仿宋_GB2312" w:eastAsia="仿宋_GB2312" w:hAnsi="仿宋_GB2312" w:cs="仿宋_GB2312" w:hint="eastAsia"/>
          <w:sz w:val="30"/>
          <w:szCs w:val="30"/>
        </w:rPr>
        <w:t>公司最近一期经审计净资产绝对值5%</w:t>
      </w:r>
      <w:r>
        <w:rPr>
          <w:rFonts w:ascii="仿宋_GB2312" w:eastAsia="仿宋_GB2312" w:hAnsi="仿宋_GB2312" w:cs="仿宋_GB2312" w:hint="eastAsia"/>
          <w:sz w:val="30"/>
          <w:szCs w:val="30"/>
          <w:lang/>
        </w:rPr>
        <w:t>以上。</w:t>
      </w:r>
    </w:p>
    <w:p w:rsidR="0007704B" w:rsidRDefault="0007704B">
      <w:pPr>
        <w:adjustRightInd w:val="0"/>
        <w:snapToGrid w:val="0"/>
        <w:spacing w:line="560" w:lineRule="exact"/>
        <w:ind w:firstLineChars="200" w:firstLine="600"/>
        <w:rPr>
          <w:rFonts w:ascii="仿宋_GB2312" w:eastAsia="仿宋_GB2312" w:hAnsi="仿宋_GB2312" w:cs="仿宋_GB2312"/>
          <w:sz w:val="30"/>
          <w:szCs w:val="30"/>
        </w:rPr>
      </w:pPr>
    </w:p>
    <w:p w:rsidR="0007704B" w:rsidRDefault="0007704B">
      <w:pPr>
        <w:autoSpaceDE w:val="0"/>
        <w:autoSpaceDN w:val="0"/>
        <w:adjustRightInd w:val="0"/>
        <w:snapToGrid w:val="0"/>
        <w:spacing w:line="560" w:lineRule="exact"/>
        <w:ind w:firstLineChars="200" w:firstLine="602"/>
        <w:rPr>
          <w:rFonts w:ascii="黑体" w:eastAsia="黑体" w:hAnsi="黑体"/>
          <w:b/>
          <w:color w:val="000000"/>
          <w:sz w:val="30"/>
          <w:szCs w:val="30"/>
        </w:rPr>
      </w:pPr>
      <w:r>
        <w:rPr>
          <w:rFonts w:ascii="黑体" w:eastAsia="黑体" w:hAnsi="黑体" w:hint="eastAsia"/>
          <w:b/>
          <w:color w:val="000000"/>
          <w:sz w:val="30"/>
          <w:szCs w:val="30"/>
        </w:rPr>
        <w:t>二、关联人介绍</w:t>
      </w:r>
    </w:p>
    <w:p w:rsidR="0007704B" w:rsidRDefault="0007704B">
      <w:pPr>
        <w:adjustRightInd w:val="0"/>
        <w:snapToGrid w:val="0"/>
        <w:spacing w:line="5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（一）关联人关系介绍</w:t>
      </w:r>
    </w:p>
    <w:p w:rsidR="0007704B" w:rsidRDefault="0007704B">
      <w:pPr>
        <w:adjustRightInd w:val="0"/>
        <w:snapToGrid w:val="0"/>
        <w:spacing w:line="600" w:lineRule="exact"/>
        <w:ind w:firstLineChars="200" w:firstLine="600"/>
        <w:rPr>
          <w:rFonts w:ascii="仿宋_GB2312" w:eastAsia="仿宋_GB2312" w:hAnsi="仿宋_GB2312" w:cs="仿宋_GB2312"/>
          <w:color w:val="000000"/>
          <w:sz w:val="30"/>
          <w:szCs w:val="30"/>
        </w:rPr>
      </w:pPr>
      <w:r>
        <w:rPr>
          <w:rFonts w:ascii="仿宋_GB2312" w:eastAsia="仿宋_GB2312" w:hAnsi="宋体" w:hint="eastAsia"/>
          <w:sz w:val="30"/>
          <w:szCs w:val="30"/>
        </w:rPr>
        <w:t>说明该关联人符合</w:t>
      </w:r>
      <w:r>
        <w:rPr>
          <w:rFonts w:ascii="仿宋_GB2312" w:eastAsia="仿宋_GB2312" w:hAnsi="仿宋_GB2312" w:cs="仿宋_GB2312" w:hint="eastAsia"/>
          <w:color w:val="000000"/>
          <w:sz w:val="30"/>
          <w:szCs w:val="30"/>
        </w:rPr>
        <w:t>《股票上市规则》</w:t>
      </w:r>
      <w:r>
        <w:rPr>
          <w:rFonts w:ascii="仿宋_GB2312" w:eastAsia="仿宋_GB2312" w:hAnsi="宋体" w:hint="eastAsia"/>
          <w:sz w:val="30"/>
          <w:szCs w:val="30"/>
        </w:rPr>
        <w:t>规定的何种关联关系情形。</w:t>
      </w:r>
    </w:p>
    <w:p w:rsidR="0007704B" w:rsidRDefault="0007704B">
      <w:pPr>
        <w:adjustRightInd w:val="0"/>
        <w:snapToGrid w:val="0"/>
        <w:spacing w:line="5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（二）关联人基本情况</w:t>
      </w:r>
    </w:p>
    <w:p w:rsidR="0007704B" w:rsidRDefault="0007704B">
      <w:pPr>
        <w:widowControl/>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1.关联人为法人</w:t>
      </w:r>
      <w:r>
        <w:rPr>
          <w:rFonts w:ascii="仿宋_GB2312" w:eastAsia="仿宋_GB2312" w:hAnsi="仿宋_GB2312" w:cs="仿宋_GB2312" w:hint="eastAsia"/>
          <w:sz w:val="30"/>
          <w:szCs w:val="30"/>
          <w:lang/>
        </w:rPr>
        <w:t>或其他组织</w:t>
      </w:r>
      <w:r>
        <w:rPr>
          <w:rFonts w:ascii="仿宋_GB2312" w:eastAsia="仿宋_GB2312" w:hAnsi="仿宋_GB2312" w:cs="仿宋_GB2312" w:hint="eastAsia"/>
          <w:sz w:val="30"/>
          <w:szCs w:val="30"/>
        </w:rPr>
        <w:t>的，</w:t>
      </w:r>
      <w:r>
        <w:rPr>
          <w:rFonts w:ascii="仿宋_GB2312" w:eastAsia="仿宋_GB2312" w:hAnsi="宋体" w:hint="eastAsia"/>
          <w:color w:val="000000"/>
          <w:kern w:val="0"/>
          <w:sz w:val="30"/>
          <w:szCs w:val="30"/>
        </w:rPr>
        <w:t>说明关联人的基本法人信息，例如</w:t>
      </w:r>
      <w:r>
        <w:rPr>
          <w:rFonts w:ascii="仿宋_GB2312" w:eastAsia="仿宋_GB2312" w:hint="eastAsia"/>
          <w:sz w:val="30"/>
          <w:szCs w:val="30"/>
        </w:rPr>
        <w:t>名称、统一社会信用代码、成立时间、注册地、主要办公地点、法定代表人、注册资本、主营业务、主要股东或实际控制人，</w:t>
      </w:r>
      <w:r>
        <w:rPr>
          <w:rFonts w:ascii="仿宋_GB2312" w:eastAsia="仿宋_GB2312" w:hAnsi="仿宋_GB2312" w:cs="仿宋_GB2312" w:hint="eastAsia"/>
          <w:sz w:val="30"/>
          <w:szCs w:val="30"/>
        </w:rPr>
        <w:t>若</w:t>
      </w:r>
      <w:r>
        <w:rPr>
          <w:rFonts w:ascii="仿宋_GB2312" w:eastAsia="仿宋_GB2312" w:hint="eastAsia"/>
          <w:sz w:val="30"/>
          <w:szCs w:val="30"/>
        </w:rPr>
        <w:t>上市公司向其出售资产的，应当披露关联人最近一年又一期的主要财务数据（关联人成立时间不足一年或是专为本次交易而设立的，应当披露关联人的实际控制人或者控股方的主要财务数据）。</w:t>
      </w:r>
    </w:p>
    <w:p w:rsidR="0007704B" w:rsidRDefault="0007704B">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lang/>
        </w:rPr>
        <w:t>.</w:t>
      </w:r>
      <w:r>
        <w:rPr>
          <w:rFonts w:ascii="仿宋_GB2312" w:eastAsia="仿宋_GB2312" w:hAnsi="仿宋_GB2312" w:cs="仿宋_GB2312" w:hint="eastAsia"/>
          <w:sz w:val="30"/>
          <w:szCs w:val="30"/>
        </w:rPr>
        <w:t>关联人为自然人的，</w:t>
      </w:r>
      <w:r>
        <w:rPr>
          <w:rFonts w:ascii="仿宋_GB2312" w:eastAsia="仿宋_GB2312" w:hint="eastAsia"/>
          <w:sz w:val="30"/>
          <w:szCs w:val="30"/>
        </w:rPr>
        <w:t>披露其姓名</w:t>
      </w:r>
      <w:r>
        <w:rPr>
          <w:rFonts w:ascii="仿宋_GB2312" w:eastAsia="仿宋_GB2312" w:hAnsi="仿宋_GB2312" w:cs="仿宋_GB2312" w:hint="eastAsia"/>
          <w:sz w:val="30"/>
          <w:szCs w:val="30"/>
        </w:rPr>
        <w:t>、</w:t>
      </w:r>
      <w:r>
        <w:rPr>
          <w:rFonts w:ascii="仿宋_GB2312" w:eastAsia="仿宋_GB2312" w:hAnsi="Calibri" w:hint="eastAsia"/>
          <w:color w:val="000000"/>
          <w:sz w:val="30"/>
          <w:szCs w:val="30"/>
        </w:rPr>
        <w:t>就职单位</w:t>
      </w:r>
      <w:r>
        <w:rPr>
          <w:rFonts w:ascii="仿宋_GB2312" w:eastAsia="仿宋_GB2312" w:hint="eastAsia"/>
          <w:sz w:val="30"/>
          <w:szCs w:val="30"/>
        </w:rPr>
        <w:t>等基本情况</w:t>
      </w:r>
      <w:r>
        <w:rPr>
          <w:rFonts w:ascii="仿宋_GB2312" w:eastAsia="仿宋_GB2312" w:hint="eastAsia"/>
          <w:color w:val="000000"/>
          <w:sz w:val="30"/>
          <w:szCs w:val="30"/>
        </w:rPr>
        <w:t>；若上市公司向其出售资产的，披露其具有履约能力的证明</w:t>
      </w:r>
      <w:r>
        <w:rPr>
          <w:rFonts w:ascii="仿宋_GB2312" w:eastAsia="仿宋_GB2312" w:hAnsi="宋体" w:hint="eastAsia"/>
          <w:color w:val="000000"/>
          <w:kern w:val="0"/>
          <w:sz w:val="30"/>
          <w:szCs w:val="30"/>
        </w:rPr>
        <w:t>。</w:t>
      </w:r>
    </w:p>
    <w:p w:rsidR="0007704B" w:rsidRDefault="0007704B">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3.关联人与上市公司之间存在产权、业务、资产、债权债务、人员等方面的其它关系的说明。</w:t>
      </w:r>
    </w:p>
    <w:p w:rsidR="0007704B" w:rsidRDefault="0007704B">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4.关联人</w:t>
      </w:r>
      <w:r>
        <w:rPr>
          <w:rFonts w:ascii="仿宋_GB2312" w:eastAsia="仿宋_GB2312" w:hAnsi="仿宋_GB2312" w:cs="仿宋_GB2312" w:hint="eastAsia"/>
          <w:sz w:val="30"/>
          <w:szCs w:val="30"/>
          <w:lang/>
        </w:rPr>
        <w:t>的资信状况，若被列为失信被执行人，披露其失信情况，及对本次交易的影响。</w:t>
      </w:r>
    </w:p>
    <w:p w:rsidR="0007704B" w:rsidRDefault="0007704B">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5.本所要求的其他内容。</w:t>
      </w:r>
    </w:p>
    <w:p w:rsidR="0007704B" w:rsidRDefault="0007704B">
      <w:pPr>
        <w:adjustRightInd w:val="0"/>
        <w:snapToGrid w:val="0"/>
        <w:spacing w:line="560" w:lineRule="exact"/>
        <w:ind w:firstLineChars="200" w:firstLine="600"/>
        <w:rPr>
          <w:rFonts w:ascii="仿宋_GB2312" w:eastAsia="仿宋_GB2312" w:hAnsi="仿宋_GB2312" w:cs="仿宋_GB2312"/>
          <w:sz w:val="30"/>
          <w:szCs w:val="30"/>
        </w:rPr>
      </w:pPr>
    </w:p>
    <w:p w:rsidR="0007704B" w:rsidRDefault="0007704B">
      <w:pPr>
        <w:widowControl/>
        <w:adjustRightInd w:val="0"/>
        <w:snapToGrid w:val="0"/>
        <w:spacing w:line="560" w:lineRule="exact"/>
        <w:ind w:firstLineChars="200" w:firstLine="602"/>
        <w:rPr>
          <w:rFonts w:ascii="黑体" w:eastAsia="黑体" w:hAnsi="黑体"/>
          <w:b/>
          <w:color w:val="000000"/>
          <w:sz w:val="30"/>
          <w:szCs w:val="30"/>
        </w:rPr>
      </w:pPr>
      <w:r>
        <w:rPr>
          <w:rFonts w:ascii="黑体" w:eastAsia="黑体" w:hAnsi="黑体" w:hint="eastAsia"/>
          <w:b/>
          <w:color w:val="000000"/>
          <w:sz w:val="30"/>
          <w:szCs w:val="30"/>
        </w:rPr>
        <w:t>三、关联交易标的基本情况</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（一）交易标的</w:t>
      </w:r>
      <w:r>
        <w:rPr>
          <w:rFonts w:ascii="仿宋_GB2312" w:eastAsia="仿宋_GB2312" w:hint="eastAsia"/>
          <w:sz w:val="30"/>
          <w:szCs w:val="30"/>
          <w:lang/>
        </w:rPr>
        <w:t>概况</w:t>
      </w:r>
    </w:p>
    <w:p w:rsidR="0007704B" w:rsidRDefault="0007704B">
      <w:pPr>
        <w:widowControl/>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hint="eastAsia"/>
          <w:sz w:val="30"/>
          <w:szCs w:val="30"/>
        </w:rPr>
        <w:t>1.交易的名称和类别，例如</w:t>
      </w:r>
      <w:r>
        <w:rPr>
          <w:rFonts w:ascii="仿宋_GB2312" w:eastAsia="仿宋_GB2312" w:hint="eastAsia"/>
          <w:color w:val="000000"/>
          <w:sz w:val="30"/>
          <w:szCs w:val="30"/>
        </w:rPr>
        <w:t>该交易属于《</w:t>
      </w:r>
      <w:r>
        <w:rPr>
          <w:rFonts w:ascii="仿宋_GB2312" w:eastAsia="仿宋_GB2312" w:hint="eastAsia"/>
          <w:color w:val="000000"/>
          <w:sz w:val="30"/>
          <w:szCs w:val="30"/>
          <w:lang/>
        </w:rPr>
        <w:t>股票</w:t>
      </w:r>
      <w:r>
        <w:rPr>
          <w:rFonts w:ascii="仿宋_GB2312" w:eastAsia="仿宋_GB2312" w:hint="eastAsia"/>
          <w:color w:val="000000"/>
          <w:sz w:val="30"/>
          <w:szCs w:val="30"/>
        </w:rPr>
        <w:t>上市规则》中的何种交易类型，交易标的名称和类别。</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2.权属状况说明，例如交易标的产权是否清晰，是否存在抵押、质押及其他任何限制转让的情况，是否涉及诉讼、仲裁事项或查封、冻结等司法措施，以及是否存在妨碍权属转移的其他情况。</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3.相关资产运营情况的说明，例如出让方经营该项资产的时间或者获得该资产的时间、方式和价格、该项资产投入使用的时间、已计提折旧或摊销的年限、</w:t>
      </w:r>
      <w:r>
        <w:rPr>
          <w:rFonts w:ascii="仿宋_GB2312" w:eastAsia="仿宋_GB2312" w:hint="eastAsia"/>
          <w:sz w:val="30"/>
          <w:szCs w:val="30"/>
          <w:lang/>
        </w:rPr>
        <w:t>资产目前使用状况</w:t>
      </w:r>
      <w:r>
        <w:rPr>
          <w:rFonts w:ascii="仿宋_GB2312" w:eastAsia="仿宋_GB2312" w:hint="eastAsia"/>
          <w:sz w:val="30"/>
          <w:szCs w:val="30"/>
        </w:rPr>
        <w:t>及其他需要特别说明的事项。</w:t>
      </w:r>
    </w:p>
    <w:p w:rsidR="0007704B" w:rsidRDefault="0007704B">
      <w:pPr>
        <w:adjustRightInd w:val="0"/>
        <w:snapToGrid w:val="0"/>
        <w:spacing w:line="560" w:lineRule="exact"/>
        <w:ind w:firstLineChars="200" w:firstLine="600"/>
        <w:rPr>
          <w:rFonts w:ascii="仿宋_GB2312" w:eastAsia="仿宋_GB2312"/>
          <w:sz w:val="30"/>
          <w:szCs w:val="30"/>
        </w:rPr>
      </w:pPr>
      <w:r>
        <w:rPr>
          <w:rFonts w:ascii="仿宋_GB2312" w:eastAsia="仿宋_GB2312"/>
          <w:sz w:val="30"/>
          <w:szCs w:val="30"/>
        </w:rPr>
        <w:t>4</w:t>
      </w:r>
      <w:r>
        <w:rPr>
          <w:rFonts w:ascii="仿宋_GB2312" w:eastAsia="仿宋_GB2312" w:hint="eastAsia"/>
          <w:sz w:val="30"/>
          <w:szCs w:val="30"/>
        </w:rPr>
        <w:t>.</w:t>
      </w:r>
      <w:r>
        <w:rPr>
          <w:rFonts w:ascii="仿宋_GB2312" w:eastAsia="仿宋_GB2312" w:hint="eastAsia"/>
          <w:sz w:val="30"/>
          <w:szCs w:val="30"/>
          <w:lang/>
        </w:rPr>
        <w:t>交易</w:t>
      </w:r>
      <w:r>
        <w:rPr>
          <w:rFonts w:ascii="仿宋_GB2312" w:eastAsia="仿宋_GB2312" w:hAnsi="宋体" w:hint="eastAsia"/>
          <w:sz w:val="30"/>
          <w:szCs w:val="30"/>
        </w:rPr>
        <w:t>标的对应实体是否为失信被执行人，如是，进一步披露其失信情况、受到的惩戒措施、对本次交易的影响，以及公司所采取的</w:t>
      </w:r>
      <w:r w:rsidR="00967965">
        <w:rPr>
          <w:rFonts w:ascii="仿宋_GB2312" w:eastAsia="仿宋_GB2312" w:hAnsi="宋体"/>
          <w:sz w:val="30"/>
          <w:szCs w:val="30"/>
        </w:rPr>
        <w:t>应</w:t>
      </w:r>
      <w:r>
        <w:rPr>
          <w:rFonts w:ascii="仿宋_GB2312" w:eastAsia="仿宋_GB2312" w:hAnsi="宋体" w:hint="eastAsia"/>
          <w:sz w:val="30"/>
          <w:szCs w:val="30"/>
        </w:rPr>
        <w:t>对措施等。</w:t>
      </w:r>
    </w:p>
    <w:p w:rsidR="0007704B" w:rsidRDefault="0007704B">
      <w:pPr>
        <w:widowControl/>
        <w:adjustRightInd w:val="0"/>
        <w:snapToGrid w:val="0"/>
        <w:spacing w:line="560" w:lineRule="exact"/>
        <w:ind w:firstLineChars="200" w:firstLine="600"/>
        <w:rPr>
          <w:rFonts w:ascii="仿宋_GB2312" w:eastAsia="仿宋_GB2312"/>
          <w:sz w:val="30"/>
          <w:szCs w:val="30"/>
          <w:lang/>
        </w:rPr>
      </w:pPr>
      <w:r>
        <w:rPr>
          <w:rFonts w:ascii="仿宋_GB2312" w:eastAsia="仿宋_GB2312" w:hint="eastAsia"/>
          <w:sz w:val="30"/>
          <w:szCs w:val="30"/>
          <w:lang/>
        </w:rPr>
        <w:t>（二）交易标的主要财务信息</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交易标的</w:t>
      </w:r>
      <w:r>
        <w:rPr>
          <w:rFonts w:ascii="仿宋_GB2312" w:eastAsia="仿宋_GB2312" w:hint="eastAsia"/>
          <w:sz w:val="30"/>
          <w:szCs w:val="30"/>
          <w:lang/>
        </w:rPr>
        <w:t>如为非股权资产，披露</w:t>
      </w:r>
      <w:r>
        <w:rPr>
          <w:rFonts w:ascii="仿宋_GB2312" w:eastAsia="仿宋_GB2312" w:hint="eastAsia"/>
          <w:sz w:val="30"/>
          <w:szCs w:val="30"/>
        </w:rPr>
        <w:t>最近一年又一期财务报表的账面价值（包括账面原值、已计提的折旧、摊销或减值准备、账面净值等），并注明是否经过审计。</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lang/>
        </w:rPr>
        <w:t>若</w:t>
      </w:r>
      <w:r>
        <w:rPr>
          <w:rFonts w:ascii="仿宋_GB2312" w:eastAsia="仿宋_GB2312" w:hint="eastAsia"/>
          <w:sz w:val="30"/>
          <w:szCs w:val="30"/>
        </w:rPr>
        <w:t>收购的资产为商标等无形资产的，</w:t>
      </w:r>
      <w:r>
        <w:rPr>
          <w:rFonts w:ascii="仿宋_GB2312" w:eastAsia="仿宋_GB2312" w:hint="eastAsia"/>
          <w:sz w:val="30"/>
          <w:szCs w:val="30"/>
          <w:lang/>
        </w:rPr>
        <w:t>还</w:t>
      </w:r>
      <w:r>
        <w:rPr>
          <w:rFonts w:ascii="仿宋_GB2312" w:eastAsia="仿宋_GB2312" w:hint="eastAsia"/>
          <w:sz w:val="30"/>
          <w:szCs w:val="30"/>
        </w:rPr>
        <w:t>需要披露以下内容：</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1）此次交易完成后，该无形资产的预计使用寿命、是否需要摊销以及摊销对上市公司未来经营产生的影响，披露该项交易对经营财务指标的预计影响，尤其是对净利润的影响。若公司预计该项无形资产使用寿命不确定而无需摊销，</w:t>
      </w:r>
      <w:r>
        <w:rPr>
          <w:rFonts w:ascii="仿宋_GB2312" w:eastAsia="仿宋_GB2312"/>
          <w:sz w:val="30"/>
          <w:szCs w:val="30"/>
        </w:rPr>
        <w:t>应当</w:t>
      </w:r>
      <w:r>
        <w:rPr>
          <w:rFonts w:ascii="仿宋_GB2312" w:eastAsia="仿宋_GB2312" w:hint="eastAsia"/>
          <w:sz w:val="30"/>
          <w:szCs w:val="30"/>
        </w:rPr>
        <w:t>充分说明原因，说明</w:t>
      </w:r>
      <w:r>
        <w:rPr>
          <w:rFonts w:ascii="仿宋_GB2312" w:eastAsia="仿宋_GB2312"/>
          <w:sz w:val="30"/>
          <w:szCs w:val="30"/>
        </w:rPr>
        <w:t>是否</w:t>
      </w:r>
      <w:r>
        <w:rPr>
          <w:rFonts w:ascii="仿宋_GB2312" w:eastAsia="仿宋_GB2312" w:hint="eastAsia"/>
          <w:sz w:val="30"/>
          <w:szCs w:val="30"/>
        </w:rPr>
        <w:t>已在</w:t>
      </w:r>
      <w:r>
        <w:rPr>
          <w:rFonts w:ascii="仿宋_GB2312" w:eastAsia="仿宋_GB2312"/>
          <w:sz w:val="30"/>
          <w:szCs w:val="30"/>
        </w:rPr>
        <w:t>交易对价中考虑</w:t>
      </w:r>
      <w:r>
        <w:rPr>
          <w:rFonts w:ascii="仿宋_GB2312" w:eastAsia="仿宋_GB2312" w:hint="eastAsia"/>
          <w:sz w:val="30"/>
          <w:szCs w:val="30"/>
        </w:rPr>
        <w:t>。</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（2）此次交易完成后，交易对方是否还使用此无形资产，如果继续使用的，</w:t>
      </w:r>
      <w:r>
        <w:rPr>
          <w:rFonts w:ascii="仿宋_GB2312" w:eastAsia="仿宋_GB2312"/>
          <w:sz w:val="30"/>
          <w:szCs w:val="30"/>
        </w:rPr>
        <w:t>应当</w:t>
      </w:r>
      <w:r>
        <w:rPr>
          <w:rFonts w:ascii="仿宋_GB2312" w:eastAsia="仿宋_GB2312" w:hint="eastAsia"/>
          <w:sz w:val="30"/>
          <w:szCs w:val="30"/>
        </w:rPr>
        <w:t>说明对上市公司的影响。</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lang/>
        </w:rPr>
        <w:t>.</w:t>
      </w:r>
      <w:r>
        <w:rPr>
          <w:rFonts w:ascii="仿宋_GB2312" w:eastAsia="仿宋_GB2312" w:hint="eastAsia"/>
          <w:sz w:val="30"/>
          <w:szCs w:val="30"/>
        </w:rPr>
        <w:t>交易标的</w:t>
      </w:r>
      <w:r>
        <w:rPr>
          <w:rFonts w:ascii="仿宋_GB2312" w:eastAsia="仿宋_GB2312" w:hint="eastAsia"/>
          <w:sz w:val="30"/>
          <w:szCs w:val="30"/>
          <w:lang/>
        </w:rPr>
        <w:t>如</w:t>
      </w:r>
      <w:r>
        <w:rPr>
          <w:rFonts w:ascii="仿宋_GB2312" w:eastAsia="仿宋_GB2312" w:hint="eastAsia"/>
          <w:sz w:val="30"/>
          <w:szCs w:val="30"/>
        </w:rPr>
        <w:t>为公司股权，需要披露的内容</w:t>
      </w:r>
      <w:r>
        <w:rPr>
          <w:rFonts w:ascii="仿宋_GB2312" w:eastAsia="仿宋_GB2312" w:hint="eastAsia"/>
          <w:sz w:val="30"/>
          <w:szCs w:val="30"/>
          <w:lang/>
        </w:rPr>
        <w:t>包括以下方面：</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lang/>
        </w:rPr>
        <w:t>（</w:t>
      </w:r>
      <w:r>
        <w:rPr>
          <w:rFonts w:ascii="仿宋_GB2312" w:eastAsia="仿宋_GB2312" w:hint="eastAsia"/>
          <w:sz w:val="30"/>
          <w:szCs w:val="30"/>
        </w:rPr>
        <w:t>1</w:t>
      </w:r>
      <w:r>
        <w:rPr>
          <w:rFonts w:ascii="仿宋_GB2312" w:eastAsia="仿宋_GB2312" w:hint="eastAsia"/>
          <w:sz w:val="30"/>
          <w:szCs w:val="30"/>
          <w:lang/>
        </w:rPr>
        <w:t>）</w:t>
      </w:r>
      <w:r>
        <w:rPr>
          <w:rFonts w:ascii="仿宋_GB2312" w:eastAsia="仿宋_GB2312" w:hint="eastAsia"/>
          <w:sz w:val="30"/>
          <w:szCs w:val="30"/>
        </w:rPr>
        <w:t>该公司主要股东及各自持股比例、主营业务、注册资本、成立时间、注册地点等基本</w:t>
      </w:r>
      <w:r>
        <w:rPr>
          <w:rFonts w:ascii="仿宋_GB2312" w:eastAsia="仿宋_GB2312"/>
          <w:sz w:val="30"/>
          <w:szCs w:val="30"/>
        </w:rPr>
        <w:t>情况。</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lang/>
        </w:rPr>
        <w:t>（</w:t>
      </w:r>
      <w:r>
        <w:rPr>
          <w:rFonts w:ascii="仿宋_GB2312" w:eastAsia="仿宋_GB2312" w:hint="eastAsia"/>
          <w:sz w:val="30"/>
          <w:szCs w:val="30"/>
        </w:rPr>
        <w:t>2</w:t>
      </w:r>
      <w:r>
        <w:rPr>
          <w:rFonts w:ascii="仿宋_GB2312" w:eastAsia="仿宋_GB2312" w:hint="eastAsia"/>
          <w:sz w:val="30"/>
          <w:szCs w:val="30"/>
          <w:lang/>
        </w:rPr>
        <w:t>）</w:t>
      </w:r>
      <w:r>
        <w:rPr>
          <w:rFonts w:ascii="仿宋_GB2312" w:eastAsia="仿宋_GB2312" w:hint="eastAsia"/>
          <w:sz w:val="30"/>
          <w:szCs w:val="30"/>
        </w:rPr>
        <w:t>有优先受让权的其他股东是否放弃优先受让权。</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lang/>
        </w:rPr>
        <w:t>（</w:t>
      </w:r>
      <w:r>
        <w:rPr>
          <w:rFonts w:ascii="仿宋_GB2312" w:eastAsia="仿宋_GB2312" w:hint="eastAsia"/>
          <w:sz w:val="30"/>
          <w:szCs w:val="30"/>
        </w:rPr>
        <w:t>3</w:t>
      </w:r>
      <w:r>
        <w:rPr>
          <w:rFonts w:ascii="仿宋_GB2312" w:eastAsia="仿宋_GB2312" w:hint="eastAsia"/>
          <w:sz w:val="30"/>
          <w:szCs w:val="30"/>
          <w:lang/>
        </w:rPr>
        <w:t>）</w:t>
      </w:r>
      <w:r>
        <w:rPr>
          <w:rFonts w:ascii="仿宋_GB2312" w:eastAsia="仿宋_GB2312" w:hint="eastAsia"/>
          <w:sz w:val="30"/>
          <w:szCs w:val="30"/>
        </w:rPr>
        <w:t>该公司最近一年又一期的主要财务指标，并注明是否经过审计、审计机构名称、是否为符合规定条件的审计机构，审计报告需为标准无保留意见。</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lang/>
        </w:rPr>
        <w:t>（</w:t>
      </w:r>
      <w:r>
        <w:rPr>
          <w:rFonts w:ascii="仿宋_GB2312" w:eastAsia="仿宋_GB2312" w:hint="eastAsia"/>
          <w:sz w:val="30"/>
          <w:szCs w:val="30"/>
        </w:rPr>
        <w:t>4</w:t>
      </w:r>
      <w:r>
        <w:rPr>
          <w:rFonts w:ascii="仿宋_GB2312" w:eastAsia="仿宋_GB2312" w:hint="eastAsia"/>
          <w:sz w:val="30"/>
          <w:szCs w:val="30"/>
          <w:lang/>
        </w:rPr>
        <w:t>）</w:t>
      </w:r>
      <w:r>
        <w:rPr>
          <w:rFonts w:ascii="仿宋_GB2312" w:eastAsia="仿宋_GB2312" w:hint="eastAsia"/>
          <w:sz w:val="30"/>
          <w:szCs w:val="30"/>
        </w:rPr>
        <w:t>如该公司最近12个月内曾进行资产评估、增资、减资或改制的，披露相关评估、增资、减资或改制的基本情况。</w:t>
      </w:r>
    </w:p>
    <w:p w:rsidR="0007704B" w:rsidRDefault="0007704B">
      <w:pPr>
        <w:widowControl/>
        <w:adjustRightInd w:val="0"/>
        <w:snapToGrid w:val="0"/>
        <w:spacing w:line="560" w:lineRule="exact"/>
        <w:ind w:firstLineChars="200" w:firstLine="602"/>
        <w:rPr>
          <w:rFonts w:ascii="黑体" w:eastAsia="黑体" w:hAnsi="黑体"/>
          <w:b/>
          <w:color w:val="000000"/>
          <w:sz w:val="30"/>
          <w:szCs w:val="30"/>
          <w:lang/>
        </w:rPr>
      </w:pPr>
    </w:p>
    <w:p w:rsidR="0007704B" w:rsidRDefault="0007704B">
      <w:pPr>
        <w:adjustRightInd w:val="0"/>
        <w:snapToGrid w:val="0"/>
        <w:spacing w:line="560" w:lineRule="exact"/>
        <w:ind w:firstLineChars="200" w:firstLine="602"/>
        <w:rPr>
          <w:rFonts w:ascii="黑体" w:eastAsia="黑体" w:hAnsi="黑体"/>
          <w:b/>
          <w:sz w:val="30"/>
          <w:szCs w:val="30"/>
          <w:lang/>
        </w:rPr>
      </w:pPr>
      <w:r>
        <w:rPr>
          <w:rFonts w:ascii="黑体" w:eastAsia="黑体" w:hAnsi="黑体" w:hint="eastAsia"/>
          <w:b/>
          <w:sz w:val="30"/>
          <w:szCs w:val="30"/>
          <w:lang/>
        </w:rPr>
        <w:t>四、交易标的的评估、定价情况</w:t>
      </w:r>
    </w:p>
    <w:p w:rsidR="0007704B" w:rsidRDefault="0007704B">
      <w:pPr>
        <w:widowControl/>
        <w:adjustRightInd w:val="0"/>
        <w:snapToGrid w:val="0"/>
        <w:spacing w:line="560" w:lineRule="exact"/>
        <w:ind w:firstLineChars="200" w:firstLine="600"/>
        <w:rPr>
          <w:rFonts w:ascii="仿宋_GB2312" w:eastAsia="仿宋_GB2312"/>
          <w:color w:val="000000"/>
          <w:sz w:val="30"/>
          <w:szCs w:val="30"/>
          <w:lang/>
        </w:rPr>
      </w:pPr>
      <w:r>
        <w:rPr>
          <w:rFonts w:ascii="仿宋_GB2312" w:eastAsia="仿宋_GB2312" w:hint="eastAsia"/>
          <w:color w:val="000000"/>
          <w:sz w:val="30"/>
          <w:szCs w:val="30"/>
          <w:lang/>
        </w:rPr>
        <w:t>（一）定价情况及依据</w:t>
      </w:r>
    </w:p>
    <w:p w:rsidR="0007704B" w:rsidRDefault="0007704B">
      <w:pPr>
        <w:widowControl/>
        <w:adjustRightInd w:val="0"/>
        <w:snapToGrid w:val="0"/>
        <w:spacing w:line="560" w:lineRule="exact"/>
        <w:ind w:firstLineChars="200" w:firstLine="600"/>
        <w:rPr>
          <w:rFonts w:ascii="仿宋_GB2312" w:eastAsia="仿宋_GB2312"/>
          <w:color w:val="000000"/>
          <w:sz w:val="30"/>
          <w:szCs w:val="30"/>
          <w:lang/>
        </w:rPr>
      </w:pPr>
      <w:r>
        <w:rPr>
          <w:rFonts w:ascii="仿宋_GB2312" w:eastAsia="仿宋_GB2312"/>
          <w:sz w:val="30"/>
          <w:szCs w:val="30"/>
          <w:lang/>
        </w:rPr>
        <w:t>1</w:t>
      </w:r>
      <w:r>
        <w:rPr>
          <w:rFonts w:ascii="仿宋_GB2312" w:eastAsia="仿宋_GB2312" w:hint="eastAsia"/>
          <w:sz w:val="30"/>
          <w:szCs w:val="30"/>
          <w:lang/>
        </w:rPr>
        <w:t>.</w:t>
      </w:r>
      <w:r>
        <w:rPr>
          <w:rFonts w:ascii="仿宋_GB2312" w:eastAsia="仿宋_GB2312" w:hint="eastAsia"/>
          <w:sz w:val="30"/>
          <w:szCs w:val="30"/>
        </w:rPr>
        <w:t>简要介绍本次</w:t>
      </w:r>
      <w:r>
        <w:rPr>
          <w:rFonts w:ascii="仿宋_GB2312" w:eastAsia="仿宋_GB2312" w:hint="eastAsia"/>
          <w:color w:val="000000"/>
          <w:sz w:val="30"/>
          <w:szCs w:val="30"/>
          <w:lang/>
        </w:rPr>
        <w:t>交易的定价</w:t>
      </w:r>
      <w:r>
        <w:rPr>
          <w:rFonts w:ascii="仿宋_GB2312" w:eastAsia="仿宋_GB2312" w:hint="eastAsia"/>
          <w:sz w:val="30"/>
          <w:szCs w:val="30"/>
          <w:lang/>
        </w:rPr>
        <w:t>方法和结果</w:t>
      </w:r>
      <w:r>
        <w:rPr>
          <w:rFonts w:ascii="仿宋_GB2312" w:eastAsia="仿宋_GB2312" w:hint="eastAsia"/>
          <w:color w:val="000000"/>
          <w:sz w:val="30"/>
          <w:szCs w:val="30"/>
          <w:lang/>
        </w:rPr>
        <w:t>。</w:t>
      </w:r>
    </w:p>
    <w:p w:rsidR="0007704B" w:rsidRDefault="0007704B">
      <w:pPr>
        <w:widowControl/>
        <w:adjustRightInd w:val="0"/>
        <w:snapToGrid w:val="0"/>
        <w:spacing w:line="560" w:lineRule="exact"/>
        <w:ind w:firstLineChars="200" w:firstLine="600"/>
        <w:rPr>
          <w:rFonts w:ascii="仿宋_GB2312" w:eastAsia="仿宋_GB2312"/>
          <w:color w:val="000000"/>
          <w:sz w:val="30"/>
          <w:szCs w:val="30"/>
          <w:lang/>
        </w:rPr>
      </w:pPr>
      <w:r>
        <w:rPr>
          <w:rFonts w:ascii="仿宋_GB2312" w:eastAsia="仿宋_GB2312"/>
          <w:sz w:val="30"/>
          <w:szCs w:val="30"/>
          <w:lang/>
        </w:rPr>
        <w:t>2</w:t>
      </w:r>
      <w:r>
        <w:rPr>
          <w:rFonts w:ascii="仿宋_GB2312" w:eastAsia="仿宋_GB2312"/>
          <w:color w:val="000000"/>
          <w:sz w:val="30"/>
          <w:szCs w:val="30"/>
          <w:lang/>
        </w:rPr>
        <w:t>.上市</w:t>
      </w:r>
      <w:r>
        <w:rPr>
          <w:rFonts w:ascii="仿宋_GB2312" w:eastAsia="仿宋_GB2312" w:hint="eastAsia"/>
          <w:color w:val="000000"/>
          <w:sz w:val="30"/>
          <w:szCs w:val="30"/>
          <w:lang/>
        </w:rPr>
        <w:t>公司以协商定价的，披露定价的原则、方法和依据。</w:t>
      </w:r>
    </w:p>
    <w:p w:rsidR="0007704B" w:rsidRDefault="0007704B">
      <w:pPr>
        <w:widowControl/>
        <w:adjustRightInd w:val="0"/>
        <w:snapToGrid w:val="0"/>
        <w:spacing w:line="560" w:lineRule="exact"/>
        <w:ind w:firstLineChars="200" w:firstLine="600"/>
        <w:rPr>
          <w:rFonts w:ascii="仿宋_GB2312" w:eastAsia="仿宋_GB2312"/>
          <w:color w:val="000000"/>
          <w:sz w:val="30"/>
          <w:szCs w:val="30"/>
          <w:lang/>
        </w:rPr>
      </w:pPr>
      <w:r>
        <w:rPr>
          <w:rFonts w:ascii="仿宋_GB2312" w:eastAsia="仿宋_GB2312"/>
          <w:sz w:val="30"/>
          <w:szCs w:val="30"/>
          <w:lang/>
        </w:rPr>
        <w:t>3</w:t>
      </w:r>
      <w:r>
        <w:rPr>
          <w:rFonts w:ascii="仿宋_GB2312" w:eastAsia="仿宋_GB2312"/>
          <w:color w:val="000000"/>
          <w:sz w:val="30"/>
          <w:szCs w:val="30"/>
          <w:lang/>
        </w:rPr>
        <w:t>.上市</w:t>
      </w:r>
      <w:r>
        <w:rPr>
          <w:rFonts w:ascii="仿宋_GB2312" w:eastAsia="仿宋_GB2312" w:hint="eastAsia"/>
          <w:color w:val="000000"/>
          <w:sz w:val="30"/>
          <w:szCs w:val="30"/>
          <w:lang/>
        </w:rPr>
        <w:t>公司以评估结果为依据确定交易价格的，披露以下信息：</w:t>
      </w:r>
    </w:p>
    <w:p w:rsidR="0007704B" w:rsidRDefault="0007704B">
      <w:pPr>
        <w:widowControl/>
        <w:adjustRightInd w:val="0"/>
        <w:snapToGrid w:val="0"/>
        <w:spacing w:line="560" w:lineRule="exact"/>
        <w:ind w:firstLineChars="200" w:firstLine="600"/>
        <w:rPr>
          <w:rFonts w:ascii="仿宋_GB2312" w:eastAsia="仿宋_GB2312"/>
          <w:color w:val="000000"/>
          <w:sz w:val="30"/>
          <w:szCs w:val="30"/>
          <w:lang/>
        </w:rPr>
      </w:pPr>
      <w:r>
        <w:rPr>
          <w:rFonts w:ascii="仿宋_GB2312" w:eastAsia="仿宋_GB2312" w:hint="eastAsia"/>
          <w:color w:val="000000"/>
          <w:sz w:val="30"/>
          <w:szCs w:val="30"/>
          <w:lang/>
        </w:rPr>
        <w:t>（1）评估方法、评估基准日、重要评估假设和评估参数</w:t>
      </w:r>
      <w:r>
        <w:rPr>
          <w:rFonts w:ascii="仿宋_GB2312" w:eastAsia="仿宋_GB2312" w:hint="eastAsia"/>
          <w:sz w:val="30"/>
          <w:szCs w:val="30"/>
          <w:lang/>
        </w:rPr>
        <w:t>及其合理性</w:t>
      </w:r>
      <w:r>
        <w:rPr>
          <w:rFonts w:ascii="仿宋_GB2312" w:eastAsia="仿宋_GB2312" w:hint="eastAsia"/>
          <w:color w:val="000000"/>
          <w:sz w:val="30"/>
          <w:szCs w:val="30"/>
          <w:lang/>
        </w:rPr>
        <w:t>；</w:t>
      </w:r>
    </w:p>
    <w:p w:rsidR="0007704B" w:rsidRDefault="0007704B">
      <w:pPr>
        <w:widowControl/>
        <w:adjustRightInd w:val="0"/>
        <w:snapToGrid w:val="0"/>
        <w:spacing w:line="560" w:lineRule="exact"/>
        <w:ind w:firstLineChars="200" w:firstLine="600"/>
        <w:rPr>
          <w:rFonts w:ascii="仿宋_GB2312" w:eastAsia="仿宋_GB2312"/>
          <w:color w:val="000000"/>
          <w:sz w:val="30"/>
          <w:szCs w:val="30"/>
          <w:lang/>
        </w:rPr>
      </w:pPr>
      <w:r>
        <w:rPr>
          <w:rFonts w:ascii="仿宋_GB2312" w:eastAsia="仿宋_GB2312" w:hint="eastAsia"/>
          <w:color w:val="000000"/>
          <w:sz w:val="30"/>
          <w:szCs w:val="30"/>
          <w:lang/>
        </w:rPr>
        <w:t>（2）为其提供评估服务的评估机构名称。</w:t>
      </w:r>
    </w:p>
    <w:p w:rsidR="0007704B" w:rsidRDefault="0007704B">
      <w:pPr>
        <w:widowControl/>
        <w:adjustRightInd w:val="0"/>
        <w:snapToGrid w:val="0"/>
        <w:spacing w:line="560" w:lineRule="exact"/>
        <w:ind w:firstLineChars="200" w:firstLine="600"/>
        <w:rPr>
          <w:rFonts w:ascii="仿宋_GB2312" w:eastAsia="仿宋_GB2312"/>
          <w:sz w:val="30"/>
          <w:szCs w:val="30"/>
          <w:lang/>
        </w:rPr>
      </w:pPr>
      <w:r>
        <w:rPr>
          <w:rFonts w:ascii="仿宋_GB2312" w:eastAsia="仿宋_GB2312" w:hint="eastAsia"/>
          <w:color w:val="000000"/>
          <w:sz w:val="30"/>
          <w:szCs w:val="30"/>
          <w:lang/>
        </w:rPr>
        <w:t>（3）如最近12个月内有关机构出具评估报告或估值报告的，披露与本次定价的差异情况及原因。</w:t>
      </w:r>
    </w:p>
    <w:p w:rsidR="0007704B" w:rsidRDefault="0007704B">
      <w:pPr>
        <w:adjustRightInd w:val="0"/>
        <w:snapToGrid w:val="0"/>
        <w:spacing w:line="56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（4）评估基准日至相关评估结果披露日期间，发生可能对</w:t>
      </w:r>
      <w:r>
        <w:rPr>
          <w:rFonts w:ascii="仿宋_GB2312" w:eastAsia="仿宋_GB2312" w:hAnsi="宋体" w:hint="eastAsia"/>
          <w:color w:val="000000"/>
          <w:sz w:val="30"/>
          <w:szCs w:val="30"/>
        </w:rPr>
        <w:lastRenderedPageBreak/>
        <w:t>评估结论产生重大影响的事项的，充分披露相关事项对评估结论的影响程度，并结合资产评估报告书“特别事项说明”的相关事项，在公告中充分提示资产评估事项的风险。</w:t>
      </w:r>
    </w:p>
    <w:p w:rsidR="0007704B" w:rsidRDefault="0007704B">
      <w:pPr>
        <w:spacing w:line="560" w:lineRule="exact"/>
        <w:ind w:firstLineChars="200" w:firstLine="600"/>
        <w:rPr>
          <w:rFonts w:ascii="仿宋_GB2312" w:eastAsia="仿宋_GB2312"/>
          <w:color w:val="000000"/>
          <w:sz w:val="30"/>
          <w:szCs w:val="30"/>
          <w:lang/>
        </w:rPr>
      </w:pPr>
      <w:r>
        <w:rPr>
          <w:rFonts w:ascii="仿宋_GB2312" w:eastAsia="仿宋_GB2312" w:hAnsi="宋体"/>
          <w:color w:val="000000"/>
          <w:sz w:val="30"/>
          <w:szCs w:val="30"/>
        </w:rPr>
        <w:t>4</w:t>
      </w:r>
      <w:r>
        <w:rPr>
          <w:rFonts w:ascii="仿宋_GB2312" w:eastAsia="仿宋_GB2312" w:hAnsi="宋体" w:hint="eastAsia"/>
          <w:color w:val="000000"/>
          <w:sz w:val="30"/>
          <w:szCs w:val="30"/>
          <w:lang/>
        </w:rPr>
        <w:t>.交易金额达到《股票上市规则》规定的股东大会审议标准的</w:t>
      </w:r>
      <w:r>
        <w:rPr>
          <w:rFonts w:ascii="仿宋_GB2312" w:eastAsia="仿宋_GB2312" w:hAnsi="宋体" w:hint="eastAsia"/>
          <w:color w:val="000000"/>
          <w:sz w:val="30"/>
          <w:szCs w:val="30"/>
        </w:rPr>
        <w:t>，若交易标的为公司股权，上市公司</w:t>
      </w:r>
      <w:r>
        <w:rPr>
          <w:rFonts w:ascii="仿宋_GB2312" w:eastAsia="仿宋_GB2312" w:hAnsi="宋体"/>
          <w:color w:val="000000"/>
          <w:sz w:val="30"/>
          <w:szCs w:val="30"/>
        </w:rPr>
        <w:t>需要</w:t>
      </w:r>
      <w:r>
        <w:rPr>
          <w:rFonts w:ascii="仿宋_GB2312" w:eastAsia="仿宋_GB2312" w:hAnsi="宋体" w:hint="eastAsia"/>
          <w:color w:val="000000"/>
          <w:sz w:val="30"/>
          <w:szCs w:val="30"/>
        </w:rPr>
        <w:t>披露符合规定的标的资产经会计师事务所审计的最近一年又一期财务会计报告。</w:t>
      </w:r>
      <w:r>
        <w:rPr>
          <w:rFonts w:ascii="仿宋_GB2312" w:eastAsia="仿宋_GB2312" w:hAnsi="宋体" w:hint="eastAsia"/>
          <w:color w:val="000000"/>
          <w:sz w:val="30"/>
          <w:szCs w:val="30"/>
          <w:lang/>
        </w:rPr>
        <w:t>如因上市公司在交易前后均无法对交易标的形成控制、共同控制或重大影响等客观原因，导致确实无法对交易标的最近一年又一期财务会计报告进行审计或者提供相</w:t>
      </w:r>
      <w:r>
        <w:rPr>
          <w:rFonts w:ascii="仿宋_GB2312" w:eastAsia="仿宋_GB2312" w:hAnsi="宋体"/>
          <w:color w:val="000000"/>
          <w:sz w:val="30"/>
          <w:szCs w:val="30"/>
          <w:lang/>
        </w:rPr>
        <w:t>应当</w:t>
      </w:r>
      <w:r>
        <w:rPr>
          <w:rFonts w:ascii="仿宋_GB2312" w:eastAsia="仿宋_GB2312" w:hAnsi="宋体" w:hint="eastAsia"/>
          <w:color w:val="000000"/>
          <w:sz w:val="30"/>
          <w:szCs w:val="30"/>
          <w:lang/>
        </w:rPr>
        <w:t>审计报告的，上市公司可以充分披露相关情况。</w:t>
      </w:r>
    </w:p>
    <w:p w:rsidR="0007704B" w:rsidRDefault="0007704B">
      <w:pPr>
        <w:widowControl/>
        <w:adjustRightInd w:val="0"/>
        <w:snapToGrid w:val="0"/>
        <w:spacing w:line="560" w:lineRule="exact"/>
        <w:ind w:firstLineChars="200" w:firstLine="600"/>
        <w:rPr>
          <w:rFonts w:ascii="仿宋_GB2312" w:eastAsia="仿宋_GB2312"/>
          <w:color w:val="000000"/>
          <w:sz w:val="30"/>
          <w:szCs w:val="30"/>
          <w:lang/>
        </w:rPr>
      </w:pPr>
      <w:r>
        <w:rPr>
          <w:rFonts w:ascii="仿宋_GB2312" w:eastAsia="仿宋_GB2312" w:hint="eastAsia"/>
          <w:color w:val="000000"/>
          <w:sz w:val="30"/>
          <w:szCs w:val="30"/>
          <w:lang/>
        </w:rPr>
        <w:t>（二）定价合理性分析</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Ansi="宋体" w:hint="eastAsia"/>
          <w:color w:val="000000"/>
          <w:sz w:val="30"/>
          <w:szCs w:val="30"/>
        </w:rPr>
        <w:t>1.</w:t>
      </w:r>
      <w:r>
        <w:rPr>
          <w:rFonts w:ascii="仿宋_GB2312" w:eastAsia="仿宋_GB2312" w:hAnsi="宋体" w:hint="eastAsia"/>
          <w:color w:val="000000"/>
          <w:sz w:val="30"/>
          <w:szCs w:val="30"/>
          <w:lang/>
        </w:rPr>
        <w:t>说明</w:t>
      </w:r>
      <w:r>
        <w:rPr>
          <w:rFonts w:ascii="仿宋_GB2312" w:eastAsia="仿宋_GB2312" w:hAnsi="宋体" w:hint="eastAsia"/>
          <w:color w:val="000000"/>
          <w:sz w:val="30"/>
          <w:szCs w:val="30"/>
        </w:rPr>
        <w:t>成交价格与交易标的账面值、评估值</w:t>
      </w:r>
      <w:r>
        <w:rPr>
          <w:rFonts w:ascii="仿宋_GB2312" w:eastAsia="仿宋_GB2312" w:hAnsi="宋体" w:hint="eastAsia"/>
          <w:sz w:val="30"/>
          <w:szCs w:val="30"/>
        </w:rPr>
        <w:t>（如有）、公开市场价格（如有）</w:t>
      </w:r>
      <w:r>
        <w:rPr>
          <w:rFonts w:ascii="仿宋_GB2312" w:eastAsia="仿宋_GB2312" w:hAnsi="宋体" w:hint="eastAsia"/>
          <w:color w:val="000000"/>
          <w:sz w:val="30"/>
          <w:szCs w:val="30"/>
        </w:rPr>
        <w:t>之间的差异情况、潜在风险，及公平合理性分析，以及因交易标的特殊而需要说明的与定价有关的其他特定事项。如果相关差异较大的，应当视其所采用的不同评估方法，详细披露评估结果的推算过程。</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eastAsia="仿宋_GB2312" w:hint="eastAsia"/>
          <w:sz w:val="30"/>
          <w:szCs w:val="30"/>
          <w:lang/>
        </w:rPr>
        <w:t>.上市公司向关联人购买资产，按照规定须提交股东大会审议且成交价格相比交易标的账面值溢价超过100%的，如交易对方未提供在一定期限内交易标的盈利担保、补偿承诺或者交易标的回购承诺，上市公司应当说明具体原因，是否采取相关保障措施，是否有利于保护上市公司利益和中小股东合法权益。</w:t>
      </w:r>
    </w:p>
    <w:p w:rsidR="0007704B" w:rsidRDefault="0007704B">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int="eastAsia"/>
          <w:sz w:val="30"/>
          <w:szCs w:val="30"/>
        </w:rPr>
        <w:t>3</w:t>
      </w:r>
      <w:r>
        <w:rPr>
          <w:rFonts w:ascii="仿宋_GB2312" w:eastAsia="仿宋_GB2312"/>
          <w:sz w:val="30"/>
          <w:szCs w:val="30"/>
        </w:rPr>
        <w:t>.</w:t>
      </w:r>
      <w:r>
        <w:rPr>
          <w:rFonts w:ascii="仿宋_GB2312" w:eastAsia="仿宋_GB2312" w:hAnsi="仿宋_GB2312" w:cs="仿宋_GB2312"/>
          <w:sz w:val="30"/>
          <w:szCs w:val="30"/>
          <w:lang w:val="zh-TW" w:eastAsia="zh-TW"/>
        </w:rPr>
        <w:t>交易有商誉产生的，结合公司当前商誉占净资产比例的变化情况、标的资产行业情况、经营发展方向等对商誉减值风险进行充分的提示。</w:t>
      </w:r>
    </w:p>
    <w:p w:rsidR="0007704B" w:rsidRDefault="0007704B">
      <w:pPr>
        <w:adjustRightInd w:val="0"/>
        <w:snapToGrid w:val="0"/>
        <w:spacing w:line="560" w:lineRule="exact"/>
        <w:ind w:firstLineChars="200" w:firstLine="600"/>
        <w:rPr>
          <w:rFonts w:ascii="仿宋_GB2312" w:eastAsia="仿宋_GB2312" w:hAnsi="仿宋_GB2312" w:cs="仿宋_GB2312"/>
          <w:sz w:val="30"/>
          <w:szCs w:val="30"/>
          <w:lang w:val="zh-TW"/>
        </w:rPr>
      </w:pPr>
    </w:p>
    <w:p w:rsidR="0007704B" w:rsidRDefault="0007704B">
      <w:pPr>
        <w:adjustRightInd w:val="0"/>
        <w:snapToGrid w:val="0"/>
        <w:spacing w:line="560" w:lineRule="exact"/>
        <w:ind w:firstLineChars="200" w:firstLine="602"/>
        <w:rPr>
          <w:rFonts w:ascii="黑体" w:eastAsia="黑体" w:hAnsi="黑体"/>
          <w:b/>
          <w:sz w:val="30"/>
          <w:szCs w:val="30"/>
          <w:lang/>
        </w:rPr>
      </w:pPr>
      <w:r>
        <w:rPr>
          <w:rFonts w:ascii="黑体" w:eastAsia="黑体" w:hAnsi="黑体" w:hint="eastAsia"/>
          <w:b/>
          <w:sz w:val="30"/>
          <w:szCs w:val="30"/>
          <w:lang/>
        </w:rPr>
        <w:t>五、关联交易</w:t>
      </w:r>
      <w:r>
        <w:rPr>
          <w:rFonts w:ascii="黑体" w:eastAsia="黑体" w:hAnsi="黑体" w:hint="eastAsia"/>
          <w:b/>
          <w:sz w:val="30"/>
          <w:szCs w:val="30"/>
        </w:rPr>
        <w:t>合同或协议</w:t>
      </w:r>
      <w:r>
        <w:rPr>
          <w:rFonts w:ascii="黑体" w:eastAsia="黑体" w:hAnsi="黑体" w:hint="eastAsia"/>
          <w:b/>
          <w:sz w:val="30"/>
          <w:szCs w:val="30"/>
          <w:lang/>
        </w:rPr>
        <w:t>的主要内容和履约安排</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color w:val="000000"/>
          <w:sz w:val="30"/>
          <w:szCs w:val="30"/>
        </w:rPr>
        <w:t>（一）关联交易合同的主要条款。</w:t>
      </w:r>
      <w:r>
        <w:rPr>
          <w:rFonts w:ascii="仿宋_GB2312" w:eastAsia="仿宋_GB2312" w:hint="eastAsia"/>
          <w:sz w:val="30"/>
          <w:szCs w:val="30"/>
        </w:rPr>
        <w:t>例如，合同主体、交易价格、支付方式（现金、股权、承债、资产置换等）、支付期限（全额一次付清、分期付款）、</w:t>
      </w:r>
      <w:r>
        <w:rPr>
          <w:rFonts w:ascii="仿宋_GB2312" w:eastAsia="仿宋_GB2312" w:hint="eastAsia"/>
          <w:sz w:val="30"/>
          <w:szCs w:val="30"/>
          <w:lang/>
        </w:rPr>
        <w:t>过渡期安排、</w:t>
      </w:r>
      <w:r>
        <w:rPr>
          <w:rFonts w:ascii="仿宋_GB2312" w:eastAsia="仿宋_GB2312" w:hint="eastAsia"/>
          <w:sz w:val="30"/>
          <w:szCs w:val="30"/>
        </w:rPr>
        <w:t>交付或过户时间安排、合同的生效条件、生效时间、违约责任等。如该协议附带有任何形式的附加或保留条款（如约定将某种情况发生时资产需恢复原状等）的，需特别说明。</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（二）交易涉及关联人或其他方向上市公司支付款项的，上市公司董事会需要对付款方的支付能力及该等款项收回的或有风险作出判断和说明。</w:t>
      </w:r>
    </w:p>
    <w:p w:rsidR="0007704B" w:rsidRDefault="0007704B">
      <w:pPr>
        <w:widowControl/>
        <w:adjustRightInd w:val="0"/>
        <w:snapToGrid w:val="0"/>
        <w:spacing w:line="560" w:lineRule="exact"/>
        <w:ind w:firstLineChars="200" w:firstLine="600"/>
        <w:rPr>
          <w:rFonts w:ascii="仿宋_GB2312" w:eastAsia="仿宋_GB2312"/>
          <w:sz w:val="30"/>
          <w:szCs w:val="30"/>
        </w:rPr>
      </w:pPr>
    </w:p>
    <w:p w:rsidR="0007704B" w:rsidRDefault="0007704B">
      <w:pPr>
        <w:adjustRightInd w:val="0"/>
        <w:snapToGrid w:val="0"/>
        <w:spacing w:line="560" w:lineRule="exact"/>
        <w:ind w:firstLineChars="200" w:firstLine="602"/>
        <w:rPr>
          <w:rFonts w:ascii="黑体" w:eastAsia="黑体" w:hAnsi="黑体"/>
          <w:b/>
          <w:sz w:val="30"/>
          <w:szCs w:val="30"/>
          <w:lang/>
        </w:rPr>
      </w:pPr>
      <w:r>
        <w:rPr>
          <w:rFonts w:ascii="黑体" w:eastAsia="黑体" w:hAnsi="黑体" w:hint="eastAsia"/>
          <w:b/>
          <w:sz w:val="30"/>
          <w:szCs w:val="30"/>
          <w:lang/>
        </w:rPr>
        <w:t>六、关联交易对上市公司的影响</w:t>
      </w:r>
    </w:p>
    <w:p w:rsidR="0007704B" w:rsidRDefault="0007704B">
      <w:pPr>
        <w:widowControl/>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（一）披露进行此次关联交易的必要性，阐述本次关联交易对上市公司财务状况和经营成果所产生的影响。</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lang/>
        </w:rPr>
        <w:t>二</w:t>
      </w:r>
      <w:r>
        <w:rPr>
          <w:rFonts w:ascii="仿宋_GB2312" w:eastAsia="仿宋_GB2312" w:hint="eastAsia"/>
          <w:sz w:val="30"/>
          <w:szCs w:val="30"/>
        </w:rPr>
        <w:t>）</w:t>
      </w:r>
      <w:r>
        <w:rPr>
          <w:rFonts w:ascii="仿宋_GB2312" w:eastAsia="仿宋_GB2312" w:hint="eastAsia"/>
          <w:sz w:val="30"/>
          <w:szCs w:val="30"/>
          <w:lang/>
        </w:rPr>
        <w:t>关联交易</w:t>
      </w:r>
      <w:r>
        <w:rPr>
          <w:rFonts w:ascii="仿宋_GB2312" w:eastAsia="仿宋_GB2312" w:hint="eastAsia"/>
          <w:sz w:val="30"/>
          <w:szCs w:val="30"/>
        </w:rPr>
        <w:t>所涉及的</w:t>
      </w:r>
      <w:r>
        <w:rPr>
          <w:rFonts w:ascii="仿宋_GB2312" w:eastAsia="仿宋_GB2312" w:hint="eastAsia"/>
          <w:sz w:val="30"/>
          <w:szCs w:val="30"/>
          <w:lang/>
        </w:rPr>
        <w:t>管理层变动、</w:t>
      </w:r>
      <w:r>
        <w:rPr>
          <w:rFonts w:ascii="仿宋_GB2312" w:eastAsia="仿宋_GB2312" w:hint="eastAsia"/>
          <w:sz w:val="30"/>
          <w:szCs w:val="30"/>
        </w:rPr>
        <w:t>人员安置</w:t>
      </w:r>
      <w:r>
        <w:rPr>
          <w:rFonts w:ascii="仿宋_GB2312" w:eastAsia="仿宋_GB2312" w:hint="eastAsia"/>
          <w:sz w:val="30"/>
          <w:szCs w:val="30"/>
          <w:lang/>
        </w:rPr>
        <w:t>、</w:t>
      </w:r>
      <w:r>
        <w:rPr>
          <w:rFonts w:ascii="仿宋_GB2312" w:eastAsia="仿宋_GB2312" w:hint="eastAsia"/>
          <w:sz w:val="30"/>
          <w:szCs w:val="30"/>
        </w:rPr>
        <w:t>土地租赁等情况。</w:t>
      </w:r>
    </w:p>
    <w:p w:rsidR="0007704B" w:rsidRDefault="0007704B">
      <w:pPr>
        <w:widowControl/>
        <w:adjustRightInd w:val="0"/>
        <w:snapToGrid w:val="0"/>
        <w:spacing w:line="560" w:lineRule="exact"/>
        <w:ind w:firstLineChars="200" w:firstLine="600"/>
        <w:rPr>
          <w:rFonts w:ascii="仿宋_GB2312" w:eastAsia="仿宋_GB2312"/>
          <w:color w:val="000000"/>
          <w:sz w:val="30"/>
          <w:szCs w:val="30"/>
          <w:lang/>
        </w:rPr>
      </w:pPr>
      <w:r>
        <w:rPr>
          <w:rFonts w:ascii="仿宋_GB2312" w:eastAsia="仿宋_GB2312" w:hint="eastAsia"/>
          <w:sz w:val="30"/>
          <w:szCs w:val="30"/>
        </w:rPr>
        <w:t>（</w:t>
      </w:r>
      <w:r>
        <w:rPr>
          <w:rFonts w:ascii="仿宋_GB2312" w:eastAsia="仿宋_GB2312" w:hint="eastAsia"/>
          <w:sz w:val="30"/>
          <w:szCs w:val="30"/>
          <w:lang/>
        </w:rPr>
        <w:t>三</w:t>
      </w:r>
      <w:r>
        <w:rPr>
          <w:rFonts w:ascii="仿宋_GB2312" w:eastAsia="仿宋_GB2312" w:hint="eastAsia"/>
          <w:sz w:val="30"/>
          <w:szCs w:val="30"/>
        </w:rPr>
        <w:t>）交易完成后是否可能新增关联交易的说明。</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（四）本次交易是否会产生同业竞争的说明以及解决措施。</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color w:val="000000"/>
          <w:sz w:val="30"/>
          <w:szCs w:val="30"/>
          <w:lang/>
        </w:rPr>
        <w:t>（</w:t>
      </w:r>
      <w:r>
        <w:rPr>
          <w:rFonts w:ascii="仿宋_GB2312" w:eastAsia="仿宋_GB2312" w:hint="eastAsia"/>
          <w:sz w:val="30"/>
          <w:szCs w:val="30"/>
        </w:rPr>
        <w:t>五</w:t>
      </w:r>
      <w:r>
        <w:rPr>
          <w:rFonts w:ascii="仿宋_GB2312" w:eastAsia="仿宋_GB2312" w:hint="eastAsia"/>
          <w:color w:val="000000"/>
          <w:sz w:val="30"/>
          <w:szCs w:val="30"/>
          <w:lang/>
        </w:rPr>
        <w:t>）</w:t>
      </w:r>
      <w:r>
        <w:rPr>
          <w:rFonts w:ascii="仿宋_GB2312" w:eastAsia="仿宋_GB2312" w:hint="eastAsia"/>
          <w:sz w:val="30"/>
          <w:szCs w:val="30"/>
        </w:rPr>
        <w:t>如</w:t>
      </w:r>
      <w:r>
        <w:rPr>
          <w:rFonts w:ascii="仿宋_GB2312" w:eastAsia="仿宋_GB2312" w:hint="eastAsia"/>
          <w:sz w:val="30"/>
          <w:szCs w:val="30"/>
          <w:lang/>
        </w:rPr>
        <w:t>关联交易</w:t>
      </w:r>
      <w:r>
        <w:rPr>
          <w:rFonts w:ascii="仿宋_GB2312" w:eastAsia="仿宋_GB2312" w:hint="eastAsia"/>
          <w:sz w:val="30"/>
          <w:szCs w:val="30"/>
        </w:rPr>
        <w:t>完成后，上市公司新增控股子公司的，说明该公司对外担保、委托理财等情况。</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color w:val="000000"/>
          <w:sz w:val="30"/>
          <w:szCs w:val="30"/>
        </w:rPr>
        <w:t>（</w:t>
      </w:r>
      <w:r>
        <w:rPr>
          <w:rFonts w:ascii="仿宋_GB2312" w:eastAsia="仿宋_GB2312" w:hint="eastAsia"/>
          <w:sz w:val="30"/>
          <w:szCs w:val="30"/>
        </w:rPr>
        <w:t>六</w:t>
      </w:r>
      <w:r>
        <w:rPr>
          <w:rFonts w:ascii="仿宋_GB2312" w:eastAsia="仿宋_GB2312" w:hint="eastAsia"/>
          <w:color w:val="000000"/>
          <w:sz w:val="30"/>
          <w:szCs w:val="30"/>
        </w:rPr>
        <w:t>）</w:t>
      </w:r>
      <w:r>
        <w:rPr>
          <w:rFonts w:ascii="仿宋_GB2312" w:eastAsia="仿宋_GB2312" w:hint="eastAsia"/>
          <w:sz w:val="30"/>
          <w:szCs w:val="30"/>
        </w:rPr>
        <w:t>如出售控股子公司股权导致上市公司合并报表范围变更的，还需要说明上市公司是否存在为该子公司提供担保、委托该子公司理财，以及该子公司占用上市公司资金等方面的情况；</w:t>
      </w:r>
      <w:r>
        <w:rPr>
          <w:rFonts w:ascii="仿宋_GB2312" w:eastAsia="仿宋_GB2312" w:hint="eastAsia"/>
          <w:sz w:val="30"/>
          <w:szCs w:val="30"/>
        </w:rPr>
        <w:lastRenderedPageBreak/>
        <w:t>如存在，披露前述事项涉及的金额，对上市公司的影响和解决措施。</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（七）上市公司因关联交易将导致交易完成后上市公司控股股东、实际控制人及其关联人对上市公司形成非经营性资金占用的，应当明确解决方案，并在相关关联交易实施完成前解决。</w:t>
      </w:r>
    </w:p>
    <w:p w:rsidR="0007704B" w:rsidRDefault="0007704B">
      <w:pPr>
        <w:widowControl/>
        <w:adjustRightInd w:val="0"/>
        <w:snapToGrid w:val="0"/>
        <w:spacing w:line="560" w:lineRule="exact"/>
        <w:ind w:firstLineChars="200" w:firstLine="480"/>
        <w:rPr>
          <w:rFonts w:ascii="楷体" w:eastAsia="楷体" w:hAnsi="楷体" w:cs="宋体-WinCharSetFFFF-H"/>
          <w:color w:val="000000"/>
          <w:kern w:val="0"/>
          <w:sz w:val="24"/>
          <w:szCs w:val="22"/>
        </w:rPr>
      </w:pPr>
      <w:r>
        <w:rPr>
          <w:rFonts w:ascii="楷体" w:eastAsia="楷体" w:hAnsi="楷体" w:cs="宋体-WinCharSetFFFF-H" w:hint="eastAsia"/>
          <w:color w:val="000000"/>
          <w:kern w:val="0"/>
          <w:sz w:val="24"/>
          <w:szCs w:val="22"/>
        </w:rPr>
        <w:t>（编制提醒：公司因交易或关联交易导致被担保方成为公司的关联人，在实施该交易或者关联交易的同时，应当就存续的关联担保履行相应审议程序。）</w:t>
      </w:r>
    </w:p>
    <w:p w:rsidR="0007704B" w:rsidRDefault="0007704B">
      <w:pPr>
        <w:widowControl/>
        <w:adjustRightInd w:val="0"/>
        <w:snapToGrid w:val="0"/>
        <w:spacing w:line="560" w:lineRule="exact"/>
        <w:ind w:firstLineChars="200" w:firstLine="480"/>
        <w:rPr>
          <w:rFonts w:ascii="楷体" w:eastAsia="楷体" w:hAnsi="楷体" w:cs="宋体-WinCharSetFFFF-H"/>
          <w:color w:val="000000"/>
          <w:kern w:val="0"/>
          <w:sz w:val="24"/>
          <w:szCs w:val="22"/>
        </w:rPr>
      </w:pPr>
    </w:p>
    <w:p w:rsidR="0007704B" w:rsidRDefault="0007704B">
      <w:pPr>
        <w:adjustRightInd w:val="0"/>
        <w:snapToGrid w:val="0"/>
        <w:spacing w:line="560" w:lineRule="exact"/>
        <w:ind w:firstLineChars="200" w:firstLine="602"/>
        <w:rPr>
          <w:rFonts w:ascii="黑体" w:eastAsia="黑体" w:hAnsi="黑体"/>
          <w:b/>
          <w:sz w:val="30"/>
          <w:szCs w:val="30"/>
          <w:lang/>
        </w:rPr>
      </w:pPr>
      <w:r>
        <w:rPr>
          <w:rFonts w:ascii="黑体" w:eastAsia="黑体" w:hAnsi="黑体" w:hint="eastAsia"/>
          <w:b/>
          <w:sz w:val="30"/>
          <w:szCs w:val="30"/>
          <w:lang/>
        </w:rPr>
        <w:t>七、该关联交易应当履行的审议程序</w:t>
      </w:r>
    </w:p>
    <w:p w:rsidR="0007704B" w:rsidRDefault="0007704B">
      <w:pPr>
        <w:widowControl/>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上市公司需要披露董事会审议关联交易的表决情况、关联董事回避表决的情况，全体独立董事过半数同意以及独立董事专门会议审议的情况。</w:t>
      </w:r>
    </w:p>
    <w:p w:rsidR="0007704B" w:rsidRDefault="0007704B">
      <w:pPr>
        <w:widowControl/>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对于需要提交股东大会审议的关联交易，上市公司需要在公告中特别载明：“此项交易尚须获得股东大会的批准，与该关联交易有利害关系的关联人将放弃行使在股东大会上对该议案的投票权。”</w:t>
      </w:r>
    </w:p>
    <w:p w:rsidR="0007704B" w:rsidRDefault="0007704B">
      <w:pPr>
        <w:widowControl/>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公司需要明确说明本次关联交易是否需要经过有关部门批准。</w:t>
      </w:r>
    </w:p>
    <w:p w:rsidR="0007704B" w:rsidRDefault="0007704B">
      <w:pPr>
        <w:widowControl/>
        <w:adjustRightInd w:val="0"/>
        <w:snapToGrid w:val="0"/>
        <w:spacing w:line="560" w:lineRule="exact"/>
        <w:ind w:firstLineChars="200" w:firstLine="600"/>
        <w:rPr>
          <w:rFonts w:ascii="仿宋_GB2312" w:eastAsia="仿宋_GB2312"/>
          <w:color w:val="000000"/>
          <w:sz w:val="30"/>
          <w:szCs w:val="30"/>
        </w:rPr>
      </w:pPr>
    </w:p>
    <w:p w:rsidR="0007704B" w:rsidRDefault="0007704B">
      <w:pPr>
        <w:adjustRightInd w:val="0"/>
        <w:snapToGrid w:val="0"/>
        <w:spacing w:line="560" w:lineRule="exact"/>
        <w:ind w:firstLineChars="200" w:firstLine="602"/>
        <w:rPr>
          <w:rFonts w:ascii="黑体" w:eastAsia="黑体" w:hAnsi="黑体"/>
          <w:b/>
          <w:sz w:val="30"/>
          <w:szCs w:val="30"/>
          <w:lang/>
        </w:rPr>
      </w:pPr>
      <w:r>
        <w:rPr>
          <w:rFonts w:ascii="黑体" w:eastAsia="黑体" w:hAnsi="黑体" w:hint="eastAsia"/>
          <w:b/>
          <w:sz w:val="30"/>
          <w:szCs w:val="30"/>
          <w:lang/>
        </w:rPr>
        <w:t>八、需要特别说明的历史关联交易（日常关联交易除外）情况</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color w:val="000000"/>
          <w:sz w:val="30"/>
          <w:szCs w:val="30"/>
        </w:rPr>
        <w:t>公司董事会除披露从当年年初至披露日与该关联人累计已发生的各类关联交易的总金额外，还应当披露本次交易前12个月内上市公司与</w:t>
      </w:r>
      <w:r>
        <w:rPr>
          <w:rFonts w:ascii="仿宋_GB2312" w:eastAsia="仿宋_GB2312" w:hint="eastAsia"/>
          <w:sz w:val="30"/>
          <w:szCs w:val="30"/>
        </w:rPr>
        <w:t>同一关联人发生关联交易事项的进展情况：</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（一）收购或出售资产、受让或转让股权的、对外投资等事项是否发生未按合同条款如期履约的情形，如有，请说明原因以及对上市公司的具体影响。</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（二）收购资产的，应当说明是近一个会计年度是否针对已收购资产计提减值准备，以及预付款支付情况等。</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（三）收购股权的，应当说明最近一个会计年度内被收购公司是否存在业绩下滑甚至亏损的情形，如是，请说明原因及对策。</w:t>
      </w:r>
    </w:p>
    <w:p w:rsidR="0007704B" w:rsidRDefault="0007704B">
      <w:pPr>
        <w:widowControl/>
        <w:adjustRightInd w:val="0"/>
        <w:snapToGrid w:val="0"/>
        <w:spacing w:line="560" w:lineRule="exact"/>
        <w:ind w:firstLineChars="200" w:firstLine="600"/>
        <w:rPr>
          <w:rFonts w:ascii="仿宋_GB2312" w:eastAsia="仿宋_GB2312"/>
          <w:sz w:val="30"/>
          <w:szCs w:val="30"/>
        </w:rPr>
      </w:pPr>
    </w:p>
    <w:p w:rsidR="0007704B" w:rsidRDefault="0007704B">
      <w:pPr>
        <w:adjustRightInd w:val="0"/>
        <w:snapToGrid w:val="0"/>
        <w:spacing w:line="560" w:lineRule="exact"/>
        <w:ind w:firstLineChars="200" w:firstLine="602"/>
        <w:rPr>
          <w:rFonts w:ascii="黑体" w:eastAsia="黑体" w:hAnsi="黑体"/>
          <w:b/>
          <w:color w:val="000000"/>
          <w:sz w:val="30"/>
          <w:szCs w:val="30"/>
          <w:lang/>
        </w:rPr>
      </w:pPr>
      <w:r>
        <w:rPr>
          <w:rFonts w:ascii="黑体" w:eastAsia="黑体" w:hAnsi="黑体" w:hint="eastAsia"/>
          <w:b/>
          <w:sz w:val="30"/>
          <w:szCs w:val="30"/>
          <w:lang/>
        </w:rPr>
        <w:t>九</w:t>
      </w:r>
      <w:r>
        <w:rPr>
          <w:rFonts w:ascii="黑体" w:eastAsia="黑体" w:hAnsi="黑体" w:hint="eastAsia"/>
          <w:b/>
          <w:color w:val="000000"/>
          <w:sz w:val="30"/>
          <w:szCs w:val="30"/>
          <w:lang/>
        </w:rPr>
        <w:t>、关联人补偿承诺函（如有）</w:t>
      </w: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上市公司向关联人购买资产，按照规定须提交股东大会审议且成交价格相比交易标的账面值溢价超过100%的，如交易对方未提供在一定期限内交易标的盈利担保、补偿承诺或者交易标的回购承诺，上市公司应当说明具体原因，是否采取相关保障措施，是否有利于保护上市公司利益和中小股东合法权益。</w:t>
      </w:r>
    </w:p>
    <w:p w:rsidR="0007704B" w:rsidRDefault="0007704B">
      <w:pPr>
        <w:widowControl/>
        <w:adjustRightInd w:val="0"/>
        <w:snapToGrid w:val="0"/>
        <w:spacing w:line="560" w:lineRule="exact"/>
        <w:ind w:firstLineChars="200" w:firstLine="600"/>
        <w:rPr>
          <w:rFonts w:ascii="仿宋_GB2312" w:eastAsia="仿宋_GB2312"/>
          <w:sz w:val="30"/>
          <w:szCs w:val="30"/>
        </w:rPr>
      </w:pPr>
    </w:p>
    <w:p w:rsidR="0007704B" w:rsidRDefault="0007704B">
      <w:pPr>
        <w:adjustRightInd w:val="0"/>
        <w:snapToGrid w:val="0"/>
        <w:spacing w:line="560" w:lineRule="exact"/>
        <w:ind w:firstLineChars="200" w:firstLine="602"/>
        <w:rPr>
          <w:rFonts w:ascii="黑体" w:eastAsia="黑体" w:hAnsi="黑体"/>
          <w:b/>
          <w:color w:val="000000"/>
          <w:sz w:val="30"/>
          <w:szCs w:val="30"/>
          <w:lang/>
        </w:rPr>
      </w:pPr>
      <w:r>
        <w:rPr>
          <w:rFonts w:ascii="黑体" w:eastAsia="黑体" w:hAnsi="黑体" w:hint="eastAsia"/>
          <w:b/>
          <w:sz w:val="30"/>
          <w:szCs w:val="30"/>
          <w:lang/>
        </w:rPr>
        <w:t>十</w:t>
      </w:r>
      <w:r>
        <w:rPr>
          <w:rFonts w:ascii="黑体" w:eastAsia="黑体" w:hAnsi="黑体" w:hint="eastAsia"/>
          <w:b/>
          <w:color w:val="000000"/>
          <w:sz w:val="30"/>
          <w:szCs w:val="30"/>
          <w:lang/>
        </w:rPr>
        <w:t>、</w:t>
      </w:r>
      <w:r>
        <w:rPr>
          <w:rFonts w:ascii="黑体" w:eastAsia="黑体" w:hAnsi="黑体" w:hint="eastAsia"/>
          <w:b/>
          <w:color w:val="000000"/>
          <w:sz w:val="30"/>
          <w:szCs w:val="30"/>
        </w:rPr>
        <w:t>中介机构</w:t>
      </w:r>
      <w:r>
        <w:rPr>
          <w:rFonts w:ascii="黑体" w:eastAsia="黑体" w:hAnsi="黑体" w:hint="eastAsia"/>
          <w:b/>
          <w:color w:val="000000"/>
          <w:sz w:val="30"/>
          <w:szCs w:val="30"/>
          <w:lang/>
        </w:rPr>
        <w:t>的意见（如适用）</w:t>
      </w:r>
    </w:p>
    <w:p w:rsidR="0007704B" w:rsidRDefault="0007704B">
      <w:pPr>
        <w:widowControl/>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中介机构就该关联交易对上市公司及公司全体股东是否公平、合理出具的结论性意见，以及得出结论的理由、主要假设和考虑因素。关联交易涉及无形资产及其他独特事项的，还需要披露中介机构就其独特之处所发表的意见。</w:t>
      </w:r>
    </w:p>
    <w:p w:rsidR="0007704B" w:rsidRDefault="0007704B">
      <w:pPr>
        <w:widowControl/>
        <w:adjustRightInd w:val="0"/>
        <w:snapToGrid w:val="0"/>
        <w:spacing w:line="560" w:lineRule="exact"/>
        <w:ind w:firstLine="600"/>
        <w:rPr>
          <w:rFonts w:ascii="仿宋_GB2312" w:eastAsia="仿宋_GB2312"/>
          <w:color w:val="000000"/>
          <w:sz w:val="30"/>
          <w:szCs w:val="30"/>
        </w:rPr>
      </w:pPr>
    </w:p>
    <w:p w:rsidR="0007704B" w:rsidRDefault="0007704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color w:val="000000"/>
          <w:sz w:val="30"/>
          <w:szCs w:val="30"/>
        </w:rPr>
        <w:t>特此公告。</w:t>
      </w:r>
    </w:p>
    <w:p w:rsidR="0007704B" w:rsidRDefault="0007704B">
      <w:pPr>
        <w:widowControl/>
        <w:adjustRightInd w:val="0"/>
        <w:snapToGrid w:val="0"/>
        <w:spacing w:line="560" w:lineRule="exact"/>
        <w:ind w:firstLineChars="200" w:firstLine="600"/>
        <w:jc w:val="right"/>
        <w:rPr>
          <w:rFonts w:ascii="仿宋_GB2312" w:eastAsia="仿宋_GB2312"/>
          <w:color w:val="000000"/>
          <w:sz w:val="30"/>
          <w:szCs w:val="30"/>
        </w:rPr>
      </w:pPr>
    </w:p>
    <w:p w:rsidR="0007704B" w:rsidRDefault="0007704B">
      <w:pPr>
        <w:widowControl/>
        <w:adjustRightInd w:val="0"/>
        <w:snapToGrid w:val="0"/>
        <w:spacing w:line="560" w:lineRule="exact"/>
        <w:ind w:firstLineChars="200" w:firstLine="600"/>
        <w:jc w:val="right"/>
        <w:rPr>
          <w:rFonts w:ascii="仿宋_GB2312" w:eastAsia="仿宋_GB2312"/>
          <w:color w:val="000000"/>
          <w:sz w:val="30"/>
          <w:szCs w:val="30"/>
        </w:rPr>
      </w:pPr>
      <w:r>
        <w:rPr>
          <w:rFonts w:ascii="仿宋_GB2312" w:eastAsia="仿宋_GB2312" w:hAnsi="宋体" w:hint="eastAsia"/>
          <w:color w:val="000000"/>
          <w:sz w:val="30"/>
          <w:szCs w:val="30"/>
        </w:rPr>
        <w:t>××××</w:t>
      </w:r>
      <w:r>
        <w:rPr>
          <w:rFonts w:ascii="仿宋_GB2312" w:eastAsia="仿宋_GB2312" w:hint="eastAsia"/>
          <w:color w:val="000000"/>
          <w:sz w:val="30"/>
          <w:szCs w:val="30"/>
        </w:rPr>
        <w:t>股份有限公司董事会</w:t>
      </w:r>
    </w:p>
    <w:p w:rsidR="0007704B" w:rsidRDefault="0007704B">
      <w:pPr>
        <w:widowControl/>
        <w:adjustRightInd w:val="0"/>
        <w:snapToGrid w:val="0"/>
        <w:spacing w:line="560" w:lineRule="exact"/>
        <w:ind w:firstLineChars="200" w:firstLine="600"/>
        <w:jc w:val="right"/>
        <w:rPr>
          <w:rFonts w:ascii="仿宋_GB2312" w:eastAsia="仿宋_GB2312"/>
          <w:color w:val="000000"/>
          <w:sz w:val="30"/>
          <w:szCs w:val="30"/>
        </w:rPr>
      </w:pPr>
      <w:r>
        <w:rPr>
          <w:rFonts w:ascii="仿宋_GB2312" w:eastAsia="仿宋_GB2312" w:hint="eastAsia"/>
          <w:color w:val="000000"/>
          <w:sz w:val="30"/>
          <w:szCs w:val="30"/>
        </w:rPr>
        <w:lastRenderedPageBreak/>
        <w:t>年  月  日</w:t>
      </w:r>
    </w:p>
    <w:p w:rsidR="0007704B" w:rsidRDefault="0007704B">
      <w:pPr>
        <w:widowControl/>
        <w:adjustRightInd w:val="0"/>
        <w:snapToGrid w:val="0"/>
        <w:spacing w:line="560" w:lineRule="exact"/>
        <w:ind w:firstLineChars="200" w:firstLine="600"/>
        <w:jc w:val="right"/>
        <w:rPr>
          <w:rFonts w:ascii="仿宋_GB2312" w:eastAsia="仿宋_GB2312"/>
          <w:color w:val="000000"/>
          <w:sz w:val="30"/>
          <w:szCs w:val="30"/>
        </w:rPr>
      </w:pPr>
    </w:p>
    <w:p w:rsidR="0007704B" w:rsidRDefault="0007704B">
      <w:pPr>
        <w:widowControl/>
        <w:numPr>
          <w:ilvl w:val="0"/>
          <w:numId w:val="2"/>
        </w:numPr>
        <w:adjustRightInd w:val="0"/>
        <w:snapToGrid w:val="0"/>
        <w:spacing w:line="560" w:lineRule="exact"/>
        <w:ind w:firstLine="431"/>
        <w:rPr>
          <w:rFonts w:ascii="仿宋_GB2312" w:eastAsia="仿宋_GB2312"/>
          <w:b/>
          <w:bCs/>
          <w:sz w:val="30"/>
          <w:szCs w:val="30"/>
        </w:rPr>
      </w:pPr>
      <w:r>
        <w:rPr>
          <w:rFonts w:ascii="仿宋_GB2312" w:eastAsia="仿宋_GB2312" w:hint="eastAsia"/>
          <w:b/>
          <w:bCs/>
          <w:sz w:val="30"/>
          <w:szCs w:val="30"/>
          <w:lang/>
        </w:rPr>
        <w:t>上网公告</w:t>
      </w:r>
      <w:r>
        <w:rPr>
          <w:rFonts w:ascii="仿宋_GB2312" w:eastAsia="仿宋_GB2312" w:hint="eastAsia"/>
          <w:b/>
          <w:bCs/>
          <w:sz w:val="30"/>
          <w:szCs w:val="30"/>
        </w:rPr>
        <w:t>文件</w:t>
      </w:r>
    </w:p>
    <w:p w:rsidR="0007704B" w:rsidRDefault="0007704B">
      <w:pPr>
        <w:widowControl/>
        <w:adjustRightInd w:val="0"/>
        <w:snapToGrid w:val="0"/>
        <w:spacing w:line="560" w:lineRule="exact"/>
        <w:ind w:firstLineChars="300" w:firstLine="900"/>
        <w:rPr>
          <w:rFonts w:ascii="仿宋_GB2312" w:eastAsia="仿宋_GB2312"/>
          <w:color w:val="000000"/>
          <w:sz w:val="30"/>
          <w:szCs w:val="30"/>
        </w:rPr>
      </w:pPr>
      <w:r>
        <w:rPr>
          <w:rFonts w:ascii="仿宋_GB2312" w:eastAsia="仿宋_GB2312" w:hint="eastAsia"/>
          <w:color w:val="000000"/>
          <w:sz w:val="30"/>
          <w:szCs w:val="30"/>
        </w:rPr>
        <w:t>1</w:t>
      </w:r>
      <w:r>
        <w:rPr>
          <w:rFonts w:ascii="仿宋_GB2312" w:eastAsia="仿宋_GB2312" w:hint="eastAsia"/>
          <w:color w:val="000000"/>
          <w:sz w:val="30"/>
          <w:szCs w:val="30"/>
          <w:lang/>
        </w:rPr>
        <w:t>.</w:t>
      </w:r>
      <w:r>
        <w:rPr>
          <w:rFonts w:ascii="仿宋_GB2312" w:eastAsia="仿宋_GB2312" w:hint="eastAsia"/>
          <w:color w:val="000000"/>
          <w:sz w:val="30"/>
          <w:szCs w:val="30"/>
        </w:rPr>
        <w:t>相关的财务报表和审计报告（如适用）</w:t>
      </w:r>
    </w:p>
    <w:p w:rsidR="0007704B" w:rsidRDefault="0007704B">
      <w:pPr>
        <w:widowControl/>
        <w:adjustRightInd w:val="0"/>
        <w:snapToGrid w:val="0"/>
        <w:spacing w:line="560" w:lineRule="exact"/>
        <w:ind w:firstLineChars="300" w:firstLine="900"/>
        <w:rPr>
          <w:rFonts w:ascii="仿宋_GB2312" w:eastAsia="仿宋_GB2312"/>
          <w:color w:val="000000"/>
          <w:sz w:val="30"/>
          <w:szCs w:val="30"/>
        </w:rPr>
      </w:pPr>
      <w:r>
        <w:rPr>
          <w:rFonts w:ascii="仿宋_GB2312" w:eastAsia="仿宋_GB2312" w:hint="eastAsia"/>
          <w:color w:val="000000"/>
          <w:sz w:val="30"/>
          <w:szCs w:val="30"/>
        </w:rPr>
        <w:t>2</w:t>
      </w:r>
      <w:r>
        <w:rPr>
          <w:rFonts w:ascii="仿宋_GB2312" w:eastAsia="仿宋_GB2312" w:hint="eastAsia"/>
          <w:color w:val="000000"/>
          <w:sz w:val="30"/>
          <w:szCs w:val="30"/>
          <w:lang/>
        </w:rPr>
        <w:t>.</w:t>
      </w:r>
      <w:r>
        <w:rPr>
          <w:rFonts w:ascii="仿宋_GB2312" w:eastAsia="仿宋_GB2312" w:hint="eastAsia"/>
          <w:color w:val="000000"/>
          <w:sz w:val="30"/>
          <w:szCs w:val="30"/>
        </w:rPr>
        <w:t>评估报告（如适用）</w:t>
      </w:r>
    </w:p>
    <w:p w:rsidR="0007704B" w:rsidRDefault="0007704B">
      <w:pPr>
        <w:widowControl/>
        <w:adjustRightInd w:val="0"/>
        <w:snapToGrid w:val="0"/>
        <w:spacing w:line="560" w:lineRule="exact"/>
        <w:ind w:firstLineChars="300" w:firstLine="900"/>
        <w:rPr>
          <w:rFonts w:ascii="仿宋_GB2312" w:eastAsia="仿宋_GB2312"/>
          <w:color w:val="000000"/>
          <w:sz w:val="30"/>
          <w:szCs w:val="30"/>
        </w:rPr>
      </w:pPr>
      <w:r>
        <w:rPr>
          <w:rFonts w:ascii="仿宋_GB2312" w:eastAsia="仿宋_GB2312" w:hint="eastAsia"/>
          <w:color w:val="000000"/>
          <w:sz w:val="30"/>
          <w:szCs w:val="30"/>
        </w:rPr>
        <w:t>3</w:t>
      </w:r>
      <w:r>
        <w:rPr>
          <w:rFonts w:ascii="仿宋_GB2312" w:eastAsia="仿宋_GB2312" w:hint="eastAsia"/>
          <w:color w:val="000000"/>
          <w:sz w:val="30"/>
          <w:szCs w:val="30"/>
          <w:lang/>
        </w:rPr>
        <w:t>.</w:t>
      </w:r>
      <w:r>
        <w:rPr>
          <w:rFonts w:ascii="仿宋_GB2312" w:eastAsia="仿宋_GB2312" w:hint="eastAsia"/>
          <w:color w:val="000000"/>
          <w:sz w:val="30"/>
          <w:szCs w:val="30"/>
        </w:rPr>
        <w:t>中介机构意见（如适用）</w:t>
      </w:r>
    </w:p>
    <w:p w:rsidR="0007704B" w:rsidRDefault="0007704B">
      <w:pPr>
        <w:adjustRightInd w:val="0"/>
        <w:snapToGrid w:val="0"/>
        <w:spacing w:line="560" w:lineRule="exact"/>
        <w:rPr>
          <w:rFonts w:ascii="宋体" w:hAnsi="宋体"/>
          <w:color w:val="000000"/>
          <w:sz w:val="24"/>
        </w:rPr>
      </w:pPr>
    </w:p>
    <w:p w:rsidR="0007704B" w:rsidRDefault="0007704B">
      <w:pPr>
        <w:widowControl/>
        <w:numPr>
          <w:ilvl w:val="0"/>
          <w:numId w:val="2"/>
        </w:numPr>
        <w:adjustRightInd w:val="0"/>
        <w:snapToGrid w:val="0"/>
        <w:spacing w:line="560" w:lineRule="exact"/>
        <w:ind w:firstLine="431"/>
        <w:rPr>
          <w:rFonts w:ascii="仿宋_GB2312" w:eastAsia="仿宋_GB2312"/>
          <w:b/>
          <w:bCs/>
          <w:color w:val="000000"/>
          <w:sz w:val="30"/>
          <w:szCs w:val="30"/>
          <w:lang/>
        </w:rPr>
      </w:pPr>
      <w:r>
        <w:rPr>
          <w:rFonts w:ascii="仿宋_GB2312" w:eastAsia="仿宋_GB2312" w:hint="eastAsia"/>
          <w:b/>
          <w:bCs/>
          <w:color w:val="000000"/>
          <w:sz w:val="30"/>
          <w:szCs w:val="30"/>
          <w:lang/>
        </w:rPr>
        <w:t>报备文件</w:t>
      </w:r>
    </w:p>
    <w:p w:rsidR="0007704B" w:rsidRDefault="0007704B" w:rsidP="00483C39">
      <w:pPr>
        <w:widowControl/>
        <w:numPr>
          <w:ilvl w:val="0"/>
          <w:numId w:val="3"/>
        </w:numPr>
        <w:tabs>
          <w:tab w:val="left" w:pos="312"/>
        </w:tabs>
        <w:adjustRightInd w:val="0"/>
        <w:snapToGrid w:val="0"/>
        <w:spacing w:line="560" w:lineRule="exact"/>
        <w:ind w:firstLineChars="300" w:firstLine="900"/>
        <w:rPr>
          <w:rFonts w:ascii="仿宋_GB2312" w:eastAsia="仿宋_GB2312"/>
          <w:color w:val="000000"/>
          <w:sz w:val="30"/>
          <w:szCs w:val="30"/>
        </w:rPr>
      </w:pPr>
      <w:r>
        <w:rPr>
          <w:rFonts w:ascii="仿宋_GB2312" w:eastAsia="仿宋_GB2312" w:hint="eastAsia"/>
          <w:color w:val="000000"/>
          <w:sz w:val="30"/>
          <w:szCs w:val="30"/>
        </w:rPr>
        <w:t>意向书、协议或合同</w:t>
      </w:r>
    </w:p>
    <w:p w:rsidR="0007704B" w:rsidRDefault="0007704B" w:rsidP="00483C39">
      <w:pPr>
        <w:widowControl/>
        <w:numPr>
          <w:ilvl w:val="0"/>
          <w:numId w:val="3"/>
        </w:numPr>
        <w:tabs>
          <w:tab w:val="left" w:pos="312"/>
        </w:tabs>
        <w:adjustRightInd w:val="0"/>
        <w:snapToGrid w:val="0"/>
        <w:spacing w:line="560" w:lineRule="exact"/>
        <w:ind w:firstLineChars="300" w:firstLine="900"/>
        <w:rPr>
          <w:rFonts w:ascii="仿宋_GB2312" w:eastAsia="仿宋_GB2312"/>
          <w:color w:val="000000"/>
          <w:sz w:val="30"/>
          <w:szCs w:val="30"/>
        </w:rPr>
      </w:pPr>
      <w:r>
        <w:rPr>
          <w:rFonts w:ascii="仿宋_GB2312" w:eastAsia="仿宋_GB2312" w:hint="eastAsia"/>
          <w:color w:val="000000"/>
          <w:sz w:val="30"/>
          <w:szCs w:val="30"/>
        </w:rPr>
        <w:t>全体独立董事过半数同意的证明文件</w:t>
      </w:r>
    </w:p>
    <w:p w:rsidR="0007704B" w:rsidRDefault="0007704B">
      <w:pPr>
        <w:widowControl/>
        <w:adjustRightInd w:val="0"/>
        <w:snapToGrid w:val="0"/>
        <w:spacing w:line="560" w:lineRule="exact"/>
        <w:ind w:firstLineChars="300" w:firstLine="900"/>
      </w:pPr>
      <w:r>
        <w:rPr>
          <w:rFonts w:ascii="仿宋_GB2312" w:eastAsia="仿宋_GB2312" w:hint="eastAsia"/>
          <w:sz w:val="30"/>
          <w:szCs w:val="30"/>
        </w:rPr>
        <w:t>3</w:t>
      </w:r>
      <w:r>
        <w:rPr>
          <w:rFonts w:ascii="仿宋_GB2312" w:eastAsia="仿宋_GB2312" w:hint="eastAsia"/>
          <w:sz w:val="30"/>
          <w:szCs w:val="30"/>
          <w:lang/>
        </w:rPr>
        <w:t>.</w:t>
      </w:r>
      <w:r>
        <w:rPr>
          <w:rFonts w:ascii="仿宋_GB2312" w:eastAsia="仿宋_GB2312" w:hint="eastAsia"/>
          <w:color w:val="000000"/>
          <w:sz w:val="30"/>
          <w:szCs w:val="30"/>
        </w:rPr>
        <w:t>有权机构的批文（</w:t>
      </w:r>
      <w:r>
        <w:rPr>
          <w:rFonts w:ascii="仿宋_GB2312" w:eastAsia="仿宋_GB2312"/>
          <w:color w:val="000000"/>
          <w:sz w:val="30"/>
          <w:szCs w:val="30"/>
        </w:rPr>
        <w:t>如适用）</w:t>
      </w:r>
    </w:p>
    <w:sectPr w:rsidR="0007704B" w:rsidSect="00B1250B">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F95" w:rsidRDefault="00FB5F95">
      <w:r>
        <w:separator/>
      </w:r>
    </w:p>
  </w:endnote>
  <w:endnote w:type="continuationSeparator" w:id="0">
    <w:p w:rsidR="00FB5F95" w:rsidRDefault="00FB5F9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宋体-WinCharSetFFFF-H">
    <w:altName w:val="黑体"/>
    <w:charset w:val="86"/>
    <w:family w:val="auto"/>
    <w:pitch w:val="default"/>
    <w:sig w:usb0="00000000" w:usb1="0000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04B" w:rsidRDefault="00B1250B">
    <w:pPr>
      <w:pStyle w:val="a5"/>
      <w:jc w:val="center"/>
    </w:pPr>
    <w:r>
      <w:fldChar w:fldCharType="begin"/>
    </w:r>
    <w:r w:rsidR="0007704B">
      <w:instrText>PAGE   \* MERGEFORMAT</w:instrText>
    </w:r>
    <w:r>
      <w:fldChar w:fldCharType="separate"/>
    </w:r>
    <w:r w:rsidR="00967965" w:rsidRPr="00967965">
      <w:rPr>
        <w:noProof/>
        <w:lang w:val="zh-CN"/>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F95" w:rsidRDefault="00FB5F95">
      <w:r>
        <w:separator/>
      </w:r>
    </w:p>
  </w:footnote>
  <w:footnote w:type="continuationSeparator" w:id="0">
    <w:p w:rsidR="00FB5F95" w:rsidRDefault="00FB5F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81735"/>
    <w:multiLevelType w:val="multilevel"/>
    <w:tmpl w:val="12381735"/>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nsid w:val="1E2477EB"/>
    <w:multiLevelType w:val="multilevel"/>
    <w:tmpl w:val="1E2477E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78F769E2"/>
    <w:multiLevelType w:val="singleLevel"/>
    <w:tmpl w:val="78F769E2"/>
    <w:lvl w:ilvl="0">
      <w:start w:val="1"/>
      <w:numFmt w:val="decimal"/>
      <w:lvlText w:val="%1."/>
      <w:lvlJc w:val="left"/>
      <w:pPr>
        <w:tabs>
          <w:tab w:val="num" w:pos="312"/>
        </w:tabs>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oNotTrackMoves/>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C57A7"/>
    <w:rsid w:val="A7FFFF66"/>
    <w:rsid w:val="00001C9E"/>
    <w:rsid w:val="00014220"/>
    <w:rsid w:val="0003096C"/>
    <w:rsid w:val="00052EC2"/>
    <w:rsid w:val="00060F6F"/>
    <w:rsid w:val="00075479"/>
    <w:rsid w:val="0007704B"/>
    <w:rsid w:val="000C1B1B"/>
    <w:rsid w:val="000D39E5"/>
    <w:rsid w:val="000E4C08"/>
    <w:rsid w:val="000F13FF"/>
    <w:rsid w:val="0012757E"/>
    <w:rsid w:val="00140DE5"/>
    <w:rsid w:val="00145F63"/>
    <w:rsid w:val="001950D9"/>
    <w:rsid w:val="001A4FD3"/>
    <w:rsid w:val="001B594D"/>
    <w:rsid w:val="001F46F9"/>
    <w:rsid w:val="00201E89"/>
    <w:rsid w:val="002059BA"/>
    <w:rsid w:val="00220B99"/>
    <w:rsid w:val="002462BC"/>
    <w:rsid w:val="00254E83"/>
    <w:rsid w:val="00287036"/>
    <w:rsid w:val="00290D4C"/>
    <w:rsid w:val="002E56CA"/>
    <w:rsid w:val="003302B8"/>
    <w:rsid w:val="003415D9"/>
    <w:rsid w:val="00352B8D"/>
    <w:rsid w:val="003601B2"/>
    <w:rsid w:val="00360AE4"/>
    <w:rsid w:val="003C1B81"/>
    <w:rsid w:val="003D5AA9"/>
    <w:rsid w:val="003E04F1"/>
    <w:rsid w:val="00407A6F"/>
    <w:rsid w:val="0043378C"/>
    <w:rsid w:val="00477F60"/>
    <w:rsid w:val="00483C39"/>
    <w:rsid w:val="004A7BB2"/>
    <w:rsid w:val="004C3DF6"/>
    <w:rsid w:val="004D4363"/>
    <w:rsid w:val="004D52D0"/>
    <w:rsid w:val="005028AB"/>
    <w:rsid w:val="005454CC"/>
    <w:rsid w:val="0055059F"/>
    <w:rsid w:val="00553A50"/>
    <w:rsid w:val="005571C2"/>
    <w:rsid w:val="00564D85"/>
    <w:rsid w:val="005928F5"/>
    <w:rsid w:val="005B1978"/>
    <w:rsid w:val="005B391E"/>
    <w:rsid w:val="005D0CBC"/>
    <w:rsid w:val="0060623E"/>
    <w:rsid w:val="00615731"/>
    <w:rsid w:val="00673D21"/>
    <w:rsid w:val="006753C3"/>
    <w:rsid w:val="00691572"/>
    <w:rsid w:val="006A0715"/>
    <w:rsid w:val="006A23A9"/>
    <w:rsid w:val="006A60DF"/>
    <w:rsid w:val="006B307C"/>
    <w:rsid w:val="006C1AE0"/>
    <w:rsid w:val="006E3B77"/>
    <w:rsid w:val="006F1A28"/>
    <w:rsid w:val="00706262"/>
    <w:rsid w:val="00706B66"/>
    <w:rsid w:val="00730563"/>
    <w:rsid w:val="00762727"/>
    <w:rsid w:val="007709E9"/>
    <w:rsid w:val="00774B6E"/>
    <w:rsid w:val="00781FE2"/>
    <w:rsid w:val="007955C2"/>
    <w:rsid w:val="00796012"/>
    <w:rsid w:val="007A5385"/>
    <w:rsid w:val="007D16C1"/>
    <w:rsid w:val="007E1D2D"/>
    <w:rsid w:val="007E7156"/>
    <w:rsid w:val="00834A5D"/>
    <w:rsid w:val="00844503"/>
    <w:rsid w:val="00850857"/>
    <w:rsid w:val="00856FA8"/>
    <w:rsid w:val="0086447C"/>
    <w:rsid w:val="0087161A"/>
    <w:rsid w:val="00873F3E"/>
    <w:rsid w:val="008A070F"/>
    <w:rsid w:val="008C3AD9"/>
    <w:rsid w:val="008E64CB"/>
    <w:rsid w:val="008F1E1E"/>
    <w:rsid w:val="008F309B"/>
    <w:rsid w:val="008F6FEF"/>
    <w:rsid w:val="00914EAA"/>
    <w:rsid w:val="0093566E"/>
    <w:rsid w:val="00936F31"/>
    <w:rsid w:val="009605CE"/>
    <w:rsid w:val="009670AA"/>
    <w:rsid w:val="00967965"/>
    <w:rsid w:val="00985BC0"/>
    <w:rsid w:val="009C46BA"/>
    <w:rsid w:val="009F2F11"/>
    <w:rsid w:val="00A26CB5"/>
    <w:rsid w:val="00A55A59"/>
    <w:rsid w:val="00A76307"/>
    <w:rsid w:val="00A963DF"/>
    <w:rsid w:val="00B1250B"/>
    <w:rsid w:val="00B364FE"/>
    <w:rsid w:val="00B3690A"/>
    <w:rsid w:val="00B412E7"/>
    <w:rsid w:val="00B61E23"/>
    <w:rsid w:val="00B641D2"/>
    <w:rsid w:val="00B65A47"/>
    <w:rsid w:val="00B73776"/>
    <w:rsid w:val="00B7784C"/>
    <w:rsid w:val="00B82710"/>
    <w:rsid w:val="00BA4C10"/>
    <w:rsid w:val="00BC57A7"/>
    <w:rsid w:val="00BE0FD5"/>
    <w:rsid w:val="00BE493E"/>
    <w:rsid w:val="00C51F0D"/>
    <w:rsid w:val="00C7443A"/>
    <w:rsid w:val="00C77A62"/>
    <w:rsid w:val="00CA6110"/>
    <w:rsid w:val="00CA68AC"/>
    <w:rsid w:val="00CB16B7"/>
    <w:rsid w:val="00CB3492"/>
    <w:rsid w:val="00CC3D92"/>
    <w:rsid w:val="00D02AAE"/>
    <w:rsid w:val="00D526D6"/>
    <w:rsid w:val="00D569F9"/>
    <w:rsid w:val="00D7228C"/>
    <w:rsid w:val="00D85CBF"/>
    <w:rsid w:val="00D96E63"/>
    <w:rsid w:val="00DB782A"/>
    <w:rsid w:val="00DC582B"/>
    <w:rsid w:val="00DD450A"/>
    <w:rsid w:val="00DF3237"/>
    <w:rsid w:val="00E02906"/>
    <w:rsid w:val="00E36E89"/>
    <w:rsid w:val="00E51889"/>
    <w:rsid w:val="00E65DFE"/>
    <w:rsid w:val="00E96CE6"/>
    <w:rsid w:val="00E97B47"/>
    <w:rsid w:val="00EC2D48"/>
    <w:rsid w:val="00ED0FE5"/>
    <w:rsid w:val="00ED4FAF"/>
    <w:rsid w:val="00EE7D3A"/>
    <w:rsid w:val="00F43F4D"/>
    <w:rsid w:val="00F47DB8"/>
    <w:rsid w:val="00F566AF"/>
    <w:rsid w:val="00F75643"/>
    <w:rsid w:val="00F82E35"/>
    <w:rsid w:val="00F86C83"/>
    <w:rsid w:val="00FA1993"/>
    <w:rsid w:val="00FB5F95"/>
    <w:rsid w:val="00FD14C3"/>
    <w:rsid w:val="00FF6C20"/>
    <w:rsid w:val="28378824"/>
    <w:rsid w:val="36FDC548"/>
    <w:rsid w:val="5FEB2161"/>
    <w:rsid w:val="7E1F7DB5"/>
    <w:rsid w:val="7E9742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250B"/>
    <w:pPr>
      <w:widowControl w:val="0"/>
      <w:jc w:val="both"/>
    </w:pPr>
    <w:rPr>
      <w:kern w:val="2"/>
      <w:sz w:val="21"/>
      <w:szCs w:val="24"/>
    </w:rPr>
  </w:style>
  <w:style w:type="paragraph" w:styleId="1">
    <w:name w:val="heading 1"/>
    <w:basedOn w:val="a"/>
    <w:next w:val="a"/>
    <w:link w:val="1Char"/>
    <w:qFormat/>
    <w:rsid w:val="00B1250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B1250B"/>
    <w:rPr>
      <w:rFonts w:eastAsia="宋体"/>
      <w:b/>
      <w:bCs/>
      <w:kern w:val="44"/>
      <w:sz w:val="44"/>
      <w:szCs w:val="44"/>
      <w:lang w:val="en-US" w:eastAsia="zh-CN" w:bidi="ar-SA"/>
    </w:rPr>
  </w:style>
  <w:style w:type="paragraph" w:styleId="a3">
    <w:name w:val="annotation text"/>
    <w:basedOn w:val="a"/>
    <w:link w:val="Char"/>
    <w:rsid w:val="00B1250B"/>
    <w:pPr>
      <w:jc w:val="left"/>
    </w:pPr>
    <w:rPr>
      <w:lang/>
    </w:rPr>
  </w:style>
  <w:style w:type="character" w:customStyle="1" w:styleId="Char">
    <w:name w:val="批注文字 Char"/>
    <w:link w:val="a3"/>
    <w:rsid w:val="00B1250B"/>
    <w:rPr>
      <w:kern w:val="2"/>
      <w:sz w:val="21"/>
      <w:szCs w:val="24"/>
    </w:rPr>
  </w:style>
  <w:style w:type="paragraph" w:styleId="a4">
    <w:name w:val="Balloon Text"/>
    <w:basedOn w:val="a"/>
    <w:link w:val="Char0"/>
    <w:rsid w:val="00B1250B"/>
    <w:rPr>
      <w:sz w:val="18"/>
      <w:szCs w:val="18"/>
      <w:lang/>
    </w:rPr>
  </w:style>
  <w:style w:type="character" w:customStyle="1" w:styleId="Char0">
    <w:name w:val="批注框文本 Char"/>
    <w:link w:val="a4"/>
    <w:rsid w:val="00B1250B"/>
    <w:rPr>
      <w:kern w:val="2"/>
      <w:sz w:val="18"/>
      <w:szCs w:val="18"/>
    </w:rPr>
  </w:style>
  <w:style w:type="paragraph" w:styleId="a5">
    <w:name w:val="footer"/>
    <w:basedOn w:val="a"/>
    <w:link w:val="Char1"/>
    <w:uiPriority w:val="99"/>
    <w:rsid w:val="00B1250B"/>
    <w:pPr>
      <w:tabs>
        <w:tab w:val="center" w:pos="4153"/>
        <w:tab w:val="right" w:pos="8306"/>
      </w:tabs>
      <w:snapToGrid w:val="0"/>
      <w:jc w:val="left"/>
    </w:pPr>
    <w:rPr>
      <w:sz w:val="18"/>
      <w:szCs w:val="18"/>
      <w:lang/>
    </w:rPr>
  </w:style>
  <w:style w:type="character" w:customStyle="1" w:styleId="Char1">
    <w:name w:val="页脚 Char"/>
    <w:link w:val="a5"/>
    <w:uiPriority w:val="99"/>
    <w:rsid w:val="00B1250B"/>
    <w:rPr>
      <w:kern w:val="2"/>
      <w:sz w:val="18"/>
      <w:szCs w:val="18"/>
    </w:rPr>
  </w:style>
  <w:style w:type="paragraph" w:styleId="a6">
    <w:name w:val="header"/>
    <w:basedOn w:val="a"/>
    <w:link w:val="Char2"/>
    <w:rsid w:val="00B1250B"/>
    <w:pPr>
      <w:pBdr>
        <w:bottom w:val="single" w:sz="6" w:space="1" w:color="auto"/>
      </w:pBdr>
      <w:tabs>
        <w:tab w:val="center" w:pos="4153"/>
        <w:tab w:val="right" w:pos="8306"/>
      </w:tabs>
      <w:snapToGrid w:val="0"/>
      <w:jc w:val="center"/>
    </w:pPr>
    <w:rPr>
      <w:sz w:val="18"/>
      <w:szCs w:val="18"/>
      <w:lang/>
    </w:rPr>
  </w:style>
  <w:style w:type="character" w:customStyle="1" w:styleId="Char2">
    <w:name w:val="页眉 Char"/>
    <w:link w:val="a6"/>
    <w:rsid w:val="00B1250B"/>
    <w:rPr>
      <w:kern w:val="2"/>
      <w:sz w:val="18"/>
      <w:szCs w:val="18"/>
    </w:rPr>
  </w:style>
  <w:style w:type="paragraph" w:styleId="a7">
    <w:name w:val="Normal (Web)"/>
    <w:basedOn w:val="a"/>
    <w:rsid w:val="00B1250B"/>
    <w:rPr>
      <w:sz w:val="24"/>
    </w:rPr>
  </w:style>
  <w:style w:type="paragraph" w:styleId="a8">
    <w:name w:val="annotation subject"/>
    <w:basedOn w:val="a3"/>
    <w:next w:val="a3"/>
    <w:link w:val="Char3"/>
    <w:rsid w:val="00B1250B"/>
    <w:rPr>
      <w:b/>
      <w:bCs/>
    </w:rPr>
  </w:style>
  <w:style w:type="character" w:customStyle="1" w:styleId="Char3">
    <w:name w:val="批注主题 Char"/>
    <w:link w:val="a8"/>
    <w:rsid w:val="00B1250B"/>
  </w:style>
  <w:style w:type="character" w:styleId="a9">
    <w:name w:val="page number"/>
    <w:rsid w:val="00B1250B"/>
  </w:style>
  <w:style w:type="character" w:styleId="aa">
    <w:name w:val="annotation reference"/>
    <w:rsid w:val="00B1250B"/>
    <w:rPr>
      <w:sz w:val="21"/>
      <w:szCs w:val="21"/>
    </w:rPr>
  </w:style>
  <w:style w:type="paragraph" w:styleId="ab">
    <w:name w:val="Revision"/>
    <w:uiPriority w:val="99"/>
    <w:unhideWhenUsed/>
    <w:rsid w:val="00B1250B"/>
    <w:rPr>
      <w:kern w:val="2"/>
      <w:sz w:val="21"/>
      <w:szCs w:val="24"/>
    </w:rPr>
  </w:style>
  <w:style w:type="character" w:customStyle="1" w:styleId="ac">
    <w:name w:val="页脚 字符"/>
    <w:uiPriority w:val="99"/>
    <w:rsid w:val="00B1250B"/>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2023-08-04T02:58:00Z</dcterms:created>
  <dcterms:modified xsi:type="dcterms:W3CDTF">2023-12-15T10:12:00Z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