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36"/>
          <w:szCs w:val="36"/>
        </w:rPr>
      </w:pPr>
      <w:bookmarkStart w:id="1" w:name="_GoBack"/>
      <w:bookmarkStart w:id="0" w:name="_Toc356840102"/>
      <w:r>
        <w:rPr>
          <w:rFonts w:hint="eastAsia" w:ascii="黑体" w:hAnsi="黑体" w:eastAsia="黑体"/>
          <w:b/>
          <w:bCs/>
          <w:sz w:val="36"/>
          <w:szCs w:val="36"/>
        </w:rPr>
        <w:t>第四十四号 上市公司要约收购申报公告</w:t>
      </w:r>
      <w:bookmarkEnd w:id="1"/>
      <w:bookmarkEnd w:id="0"/>
    </w:p>
    <w:p>
      <w:pPr>
        <w:spacing w:line="560" w:lineRule="exact"/>
        <w:ind w:firstLine="422" w:firstLineChars="200"/>
        <w:rPr>
          <w:rFonts w:ascii="宋体" w:hAnsi="宋体"/>
          <w:b/>
          <w:color w:val="000000"/>
        </w:rPr>
      </w:pPr>
    </w:p>
    <w:p>
      <w:pPr>
        <w:spacing w:line="560" w:lineRule="exact"/>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适用情形：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1.本公告格式适用于通过上海证券交易所交易系统进行要约收购申报的情形。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2.要约收购完成后，通过上海证券交易所交易系统进行余股收购申报的，可参照本公告格式披露相关公告。</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pStyle w:val="12"/>
        <w:spacing w:line="56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XXXX公司要约收购XXXX公司股份申报公告</w:t>
      </w:r>
    </w:p>
    <w:p>
      <w:pPr>
        <w:pStyle w:val="12"/>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rPr>
          <w:rFonts w:ascii="仿宋_GB2312" w:hAnsi="仿宋_GB2312" w:eastAsia="仿宋_GB2312" w:cs="仿宋_GB2312"/>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numPr>
          <w:ilvl w:val="0"/>
          <w:numId w:val="1"/>
        </w:numPr>
        <w:adjustRightInd w:val="0"/>
        <w:snapToGrid w:val="0"/>
        <w:spacing w:line="560" w:lineRule="exact"/>
        <w:rPr>
          <w:rFonts w:ascii="仿宋_GB2312" w:hAnsi="仿宋_GB2312" w:eastAsia="仿宋_GB2312" w:cs="仿宋_GB2312"/>
          <w:i/>
          <w:iCs/>
          <w:sz w:val="30"/>
          <w:szCs w:val="30"/>
        </w:rPr>
      </w:pPr>
      <w:r>
        <w:rPr>
          <w:rFonts w:hint="eastAsia" w:ascii="仿宋_GB2312" w:hAnsi="仿宋_GB2312" w:eastAsia="仿宋_GB2312" w:cs="仿宋_GB2312"/>
          <w:sz w:val="30"/>
          <w:szCs w:val="30"/>
        </w:rPr>
        <w:t>预受要约申报代码：706XXX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申报简称：XX收购</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要约收购支付方式：现金（或股票、其他证券）</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要约收购价格：XX.XX元/股（或XX股XX股票/股）</w:t>
      </w:r>
    </w:p>
    <w:p>
      <w:pPr>
        <w:adjustRightInd w:val="0"/>
        <w:snapToGrid w:val="0"/>
        <w:spacing w:line="560" w:lineRule="exact"/>
        <w:ind w:left="900"/>
        <w:rPr>
          <w:rFonts w:ascii="仿宋_GB2312" w:hAnsi="仿宋_GB2312" w:eastAsia="仿宋_GB2312" w:cs="仿宋_GB2312"/>
          <w:sz w:val="30"/>
          <w:szCs w:val="30"/>
        </w:rPr>
      </w:pPr>
      <w:r>
        <w:rPr>
          <w:rFonts w:hint="eastAsia" w:ascii="仿宋_GB2312" w:hAnsi="仿宋_GB2312" w:eastAsia="仿宋_GB2312" w:cs="仿宋_GB2312"/>
          <w:sz w:val="30"/>
          <w:szCs w:val="30"/>
        </w:rPr>
        <w:t>（收购人以证券支付收购价款的，应当同时向股东提供现金选择权，具体参照《第四十二号</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上市公司现金选择权实施公告》）</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要约收购数量：全面要约/部分要约，拟收购股份数量为XXXX，占被收购公司总股份的比例为XX%。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要约收购有效期：XXXX年XX月XX日至XXXX年XX月XX日[要约收购起始日不早于本公告见报日（T日）后的第二个交易日，即T+2日（含）之后。]</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要约收购期届满后，过户清算手续办理时间另行公告。</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投资者欲了解本次要约收购详情，应当阅读本公司于XXXX年XX月XX日刊登在XXXX报和上海证券交易所网站的《要约收购报告书》全文</w:t>
      </w:r>
    </w:p>
    <w:p>
      <w:pPr>
        <w:tabs>
          <w:tab w:val="left" w:pos="987"/>
        </w:tabs>
        <w:adjustRightInd w:val="0"/>
        <w:snapToGrid w:val="0"/>
        <w:spacing w:line="560" w:lineRule="exact"/>
        <w:ind w:left="987"/>
        <w:rPr>
          <w:rFonts w:hint="eastAsia" w:ascii="仿宋_GB2312" w:hAnsi="仿宋_GB2312" w:eastAsia="仿宋_GB2312" w:cs="仿宋_GB2312"/>
          <w:sz w:val="30"/>
          <w:szCs w:val="30"/>
        </w:rPr>
      </w:pPr>
    </w:p>
    <w:p>
      <w:pPr>
        <w:adjustRightInd w:val="0"/>
        <w:snapToGrid w:val="0"/>
        <w:spacing w:line="560" w:lineRule="exact"/>
        <w:ind w:firstLine="480"/>
        <w:rPr>
          <w:rFonts w:ascii="仿宋_GB2312" w:hAnsi="仿宋_GB2312" w:eastAsia="仿宋_GB2312" w:cs="仿宋_GB2312"/>
          <w:b/>
          <w:sz w:val="30"/>
          <w:szCs w:val="30"/>
        </w:rPr>
      </w:pPr>
      <w:r>
        <w:rPr>
          <w:rFonts w:hint="eastAsia" w:ascii="仿宋_GB2312" w:hAnsi="仿宋_GB2312" w:eastAsia="仿宋_GB2312" w:cs="仿宋_GB2312"/>
          <w:b/>
          <w:sz w:val="30"/>
          <w:szCs w:val="30"/>
        </w:rPr>
        <w:t>现就要约收购有关事项向XXXX股份有限公司股东公告如下：</w:t>
      </w:r>
    </w:p>
    <w:p>
      <w:pPr>
        <w:adjustRightInd w:val="0"/>
        <w:snapToGrid w:val="0"/>
        <w:spacing w:line="560" w:lineRule="exact"/>
        <w:rPr>
          <w:rFonts w:ascii="仿宋_GB2312" w:hAnsi="仿宋_GB2312" w:eastAsia="仿宋_GB2312" w:cs="仿宋_GB2312"/>
          <w:b/>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一、本次要约收购申报的有关事项</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（一）要约收购的提示</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《要约收购报告书》披露后30日内，本公司将在上海证券交易所网站（http://www.sse.com.cn）和XXXX报发布3次要约收购提示性公告。</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（二）要约收购情况</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1.被收购公司名称：XXX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2.被收购公司股票名称：XXXX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3.被收购公司股票代码：60XXXX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4.收购股份种类：人民币普通股（A股）</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5.预定收购的股份数量：XXXXX股</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6.预定收购股份占被收购公司总股本比例：XX.XX%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7.支付方式：现金（或股票、其他证券）</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8.要约价格：XX.XX元/股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9.要约价格的计算基础</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10.要约有效期：自XXXX年XX月XX日至XXXX年XX月XX日</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（三）受要约人预受要约的方式和程序</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1.申报代码：706XXX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2.申报简称：XX收购</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3.要约收购有效期限内，被收购公司的股东依法申请预受要约或撤回预受要约的，可以按照下列程序办理：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预受要约申报。股东应当在要约收购有效期内每个交易日的交易时间内，通过其指定交易的证券公司办理有关申报手续。申报方向：预受要约应当申报卖出。预受要约有效的股份数量以股东当日收市后实际持有的未被冻结、质押的股份余额为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股东在申报预受要约的当日申报卖出已预受股份的，卖出申报有效，但卖出申报未成交部分计入有效预受申报。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有效预受要约的股份将由中国结算上海分公司予以临时保管。股份在临时保管期间，股东不得再行转让该部分股份。</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股东撤回预受要约。预受要约股份申请撤回预受要约的，应当在要约收购期限届满3个交易日前每个交易日的交易时间内，通过其股份托管的证券公司营业部办理要约收购中相关股份撤回预受要约事宜。中国结算上海分公司予以临时保管根据预受要约股东的撤回申请解除对预受要约股票的临时保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已预受要约的股份将于撤回申报的次日解除临时保管，并可以进行转让。若申报撤回预受要约数量大于已预受股份（含当日预受）数量，则超出部分无效，剩余撤回申报有效。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在要约收购期限届满前3个交易日内，预受股东不得撤回其对要约的接受。</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（3）被收购公司股票停牌期间，公司股东仍可办理有关预受要约或撤回预受要约的申报手续。</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（4）收购要约有效期限内，收购人变更收购要约条件的，原要约预受无效，股东拟接受变更后的要约的，应当重新申报预受要约。</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部分要约适用）要约期满后，如预受要约的股份数量少于或等于收购人预定收购数量，收购人按照约定条件收购预受要约的股份；如预受要约的股份数量超过预定收购数量，收购人按照同等比例收购预受要约的股份。</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二、要约收购期间的交易</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被收购公司股票在要约收购期间正常交易。</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三、要约收购手续费</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要约期满后，转受让双方后续办理股份过户登记手续时，所涉及的税费项目及标准参照A股交易执行。</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【以股份作为支付方式的，应当增加以下说明】</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“接受要约的股东应当确保资金账户中有足额资金用于支付相关税费。”</w:t>
      </w:r>
    </w:p>
    <w:p>
      <w:pPr>
        <w:adjustRightInd w:val="0"/>
        <w:snapToGrid w:val="0"/>
        <w:spacing w:line="560" w:lineRule="exact"/>
        <w:ind w:firstLine="600" w:firstLineChars="200"/>
        <w:rPr>
          <w:rFonts w:ascii="仿宋_GB2312" w:hAnsi="仿宋_GB2312" w:eastAsia="仿宋_GB2312" w:cs="仿宋_GB2312"/>
          <w:bCs/>
          <w:smallCaps/>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四、要约收购的清算</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要约收购有效期满后，本公司将另行发布要约收购结果公告、要约收购清算公告（如有股份接受要约），请投资者关注要约收购资金发放日【适用于现金支付的要约收购】或股份到账日【适用于股份支付的要约收购】。</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五、联系方式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联系部门：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before="156"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before="156"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宋体" w:eastAsia="仿宋_GB2312" w:cs="宋体"/>
          <w:color w:val="000000"/>
          <w:kern w:val="0"/>
          <w:sz w:val="30"/>
          <w:szCs w:val="30"/>
        </w:rPr>
        <w:t>××××</w:t>
      </w:r>
      <w:r>
        <w:rPr>
          <w:rFonts w:hint="eastAsia" w:ascii="仿宋_GB2312" w:hAnsi="仿宋_GB2312" w:eastAsia="仿宋_GB2312" w:cs="仿宋_GB2312"/>
          <w:color w:val="000000"/>
          <w:sz w:val="30"/>
          <w:szCs w:val="30"/>
        </w:rPr>
        <w:t>股份有限公司董事会</w:t>
      </w: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  月  日</w:t>
      </w: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p>
    <w:p>
      <w:pPr>
        <w:numPr>
          <w:ilvl w:val="0"/>
          <w:numId w:val="2"/>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收购人账户</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25537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
    <w:nsid w:val="50313394"/>
    <w:multiLevelType w:val="multilevel"/>
    <w:tmpl w:val="50313394"/>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169A"/>
    <w:rsid w:val="00172A27"/>
    <w:rsid w:val="001748D7"/>
    <w:rsid w:val="001A1CC5"/>
    <w:rsid w:val="001D1F1F"/>
    <w:rsid w:val="00283B4D"/>
    <w:rsid w:val="002B436E"/>
    <w:rsid w:val="002D32CB"/>
    <w:rsid w:val="002E21AA"/>
    <w:rsid w:val="002E3024"/>
    <w:rsid w:val="0031752B"/>
    <w:rsid w:val="003178B8"/>
    <w:rsid w:val="00331495"/>
    <w:rsid w:val="003A0D04"/>
    <w:rsid w:val="00457660"/>
    <w:rsid w:val="004A758E"/>
    <w:rsid w:val="004D170C"/>
    <w:rsid w:val="0050076D"/>
    <w:rsid w:val="00530E83"/>
    <w:rsid w:val="00603A5E"/>
    <w:rsid w:val="00657815"/>
    <w:rsid w:val="0076200E"/>
    <w:rsid w:val="00776D54"/>
    <w:rsid w:val="0078548B"/>
    <w:rsid w:val="007D0A89"/>
    <w:rsid w:val="00803080"/>
    <w:rsid w:val="00830132"/>
    <w:rsid w:val="00833153"/>
    <w:rsid w:val="008964A7"/>
    <w:rsid w:val="008D21E0"/>
    <w:rsid w:val="009876AA"/>
    <w:rsid w:val="009E230D"/>
    <w:rsid w:val="00A057CA"/>
    <w:rsid w:val="00A06A96"/>
    <w:rsid w:val="00A35FFE"/>
    <w:rsid w:val="00A43894"/>
    <w:rsid w:val="00B41763"/>
    <w:rsid w:val="00B50578"/>
    <w:rsid w:val="00BA1DE8"/>
    <w:rsid w:val="00BD0870"/>
    <w:rsid w:val="00BD304E"/>
    <w:rsid w:val="00C87EB7"/>
    <w:rsid w:val="00C96D60"/>
    <w:rsid w:val="00CB4F1D"/>
    <w:rsid w:val="00D06457"/>
    <w:rsid w:val="00DB088D"/>
    <w:rsid w:val="00DD5B59"/>
    <w:rsid w:val="00E10651"/>
    <w:rsid w:val="00E215EF"/>
    <w:rsid w:val="00E400CD"/>
    <w:rsid w:val="00E507D6"/>
    <w:rsid w:val="00E50ACE"/>
    <w:rsid w:val="00E6463D"/>
    <w:rsid w:val="00E85ECF"/>
    <w:rsid w:val="00E94DE5"/>
    <w:rsid w:val="00EB23D1"/>
    <w:rsid w:val="00EF2824"/>
    <w:rsid w:val="00F02ECB"/>
    <w:rsid w:val="00F42083"/>
    <w:rsid w:val="00F44D51"/>
    <w:rsid w:val="00FA5159"/>
    <w:rsid w:val="2BE93B17"/>
    <w:rsid w:val="35200675"/>
    <w:rsid w:val="44D45009"/>
    <w:rsid w:val="56203612"/>
    <w:rsid w:val="5C8C3225"/>
    <w:rsid w:val="6B58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uiPriority w:val="0"/>
    <w:rPr>
      <w:rFonts w:ascii="宋体"/>
      <w:sz w:val="18"/>
      <w:szCs w:val="18"/>
    </w:rPr>
  </w:style>
  <w:style w:type="paragraph" w:styleId="3">
    <w:name w:val="annotation text"/>
    <w:basedOn w:val="1"/>
    <w:semiHidden/>
    <w:unhideWhenUsed/>
    <w:uiPriority w:val="0"/>
    <w:pPr>
      <w:jc w:val="left"/>
    </w:pPr>
  </w:style>
  <w:style w:type="paragraph" w:styleId="4">
    <w:name w:val="Balloon Text"/>
    <w:basedOn w:val="1"/>
    <w:link w:val="13"/>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1"/>
    <w:qFormat/>
    <w:uiPriority w:val="0"/>
    <w:pPr>
      <w:spacing w:before="240" w:after="60"/>
      <w:jc w:val="center"/>
      <w:outlineLvl w:val="0"/>
    </w:pPr>
    <w:rPr>
      <w:rFonts w:ascii="Cambria" w:hAnsi="Cambria"/>
      <w:b/>
      <w:bCs/>
      <w:sz w:val="32"/>
      <w:szCs w:val="32"/>
    </w:rPr>
  </w:style>
  <w:style w:type="character" w:styleId="10">
    <w:name w:val="annotation reference"/>
    <w:basedOn w:val="9"/>
    <w:semiHidden/>
    <w:unhideWhenUsed/>
    <w:uiPriority w:val="0"/>
    <w:rPr>
      <w:sz w:val="21"/>
      <w:szCs w:val="21"/>
    </w:rPr>
  </w:style>
  <w:style w:type="character" w:customStyle="1" w:styleId="11">
    <w:name w:val="标题 字符"/>
    <w:basedOn w:val="9"/>
    <w:link w:val="7"/>
    <w:qFormat/>
    <w:locked/>
    <w:uiPriority w:val="0"/>
    <w:rPr>
      <w:rFonts w:ascii="Cambria" w:hAnsi="Cambria" w:eastAsia="宋体"/>
      <w:b/>
      <w:bCs/>
      <w:kern w:val="2"/>
      <w:sz w:val="32"/>
      <w:szCs w:val="32"/>
      <w:lang w:val="en-US" w:eastAsia="zh-CN" w:bidi="ar-SA"/>
    </w:rPr>
  </w:style>
  <w:style w:type="paragraph" w:customStyle="1" w:styleId="12">
    <w:name w:val="p0"/>
    <w:basedOn w:val="1"/>
    <w:qFormat/>
    <w:uiPriority w:val="0"/>
    <w:pPr>
      <w:widowControl/>
    </w:pPr>
    <w:rPr>
      <w:rFonts w:ascii="Book Antiqua" w:hAnsi="Book Antiqua" w:cs="宋体"/>
      <w:kern w:val="0"/>
      <w:sz w:val="24"/>
      <w:szCs w:val="24"/>
    </w:rPr>
  </w:style>
  <w:style w:type="character" w:customStyle="1" w:styleId="13">
    <w:name w:val="批注框文本 字符"/>
    <w:basedOn w:val="9"/>
    <w:link w:val="4"/>
    <w:uiPriority w:val="0"/>
    <w:rPr>
      <w:kern w:val="2"/>
      <w:sz w:val="18"/>
      <w:szCs w:val="18"/>
    </w:rPr>
  </w:style>
  <w:style w:type="character" w:customStyle="1" w:styleId="14">
    <w:name w:val="文档结构图 字符"/>
    <w:basedOn w:val="9"/>
    <w:link w:val="2"/>
    <w:semiHidden/>
    <w:uiPriority w:val="0"/>
    <w:rPr>
      <w:rFonts w:ascii="宋体"/>
      <w:kern w:val="2"/>
      <w:sz w:val="18"/>
      <w:szCs w:val="18"/>
    </w:rPr>
  </w:style>
  <w:style w:type="character" w:customStyle="1" w:styleId="15">
    <w:name w:val="页脚 字符"/>
    <w:basedOn w:val="9"/>
    <w:link w:val="5"/>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Words>
  <Characters>1773</Characters>
  <Lines>14</Lines>
  <Paragraphs>4</Paragraphs>
  <TotalTime>11</TotalTime>
  <ScaleCrop>false</ScaleCrop>
  <LinksUpToDate>false</LinksUpToDate>
  <CharactersWithSpaces>2079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2020-10-28T01:55:00Z</cp:lastPrinted>
  <dcterms:created xsi:type="dcterms:W3CDTF">2022-03-03T05:27:00Z</dcterms:created>
  <dcterms:modified xsi:type="dcterms:W3CDTF">2023-08-04T05:47:06Z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827F9F9AA35247FFB693A95A9C1F9C1D</vt:lpwstr>
  </property>
</Properties>
</file>