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Style w:val="11"/>
          <w:rFonts w:hint="eastAsia" w:ascii="黑体" w:hAnsi="黑体" w:eastAsia="黑体"/>
          <w:sz w:val="36"/>
          <w:szCs w:val="36"/>
        </w:rPr>
      </w:pPr>
      <w:bookmarkStart w:id="1" w:name="_GoBack"/>
      <w:bookmarkStart w:id="0" w:name="_Toc356840131"/>
      <w:r>
        <w:rPr>
          <w:rStyle w:val="11"/>
          <w:rFonts w:hint="eastAsia" w:ascii="黑体" w:hAnsi="黑体" w:eastAsia="黑体"/>
          <w:sz w:val="36"/>
          <w:szCs w:val="36"/>
        </w:rPr>
        <w:t>第三十七号 上市公司投资者说明会预告公告</w:t>
      </w:r>
      <w:bookmarkEnd w:id="0"/>
    </w:p>
    <w:bookmarkEnd w:id="1"/>
    <w:p>
      <w:pPr>
        <w:spacing w:line="560" w:lineRule="exact"/>
        <w:rPr>
          <w:rFonts w:ascii="宋体" w:hAnsi="宋体"/>
          <w:b/>
        </w:rPr>
      </w:pPr>
    </w:p>
    <w:p>
      <w:pPr>
        <w:autoSpaceDE w:val="0"/>
        <w:autoSpaceDN w:val="0"/>
        <w:adjustRightInd w:val="0"/>
        <w:snapToGrid w:val="0"/>
        <w:spacing w:line="560" w:lineRule="exact"/>
        <w:rPr>
          <w:rFonts w:ascii="仿宋_GB2312" w:hAnsi="宋体" w:eastAsia="仿宋_GB2312"/>
          <w:b/>
          <w:sz w:val="30"/>
          <w:szCs w:val="30"/>
        </w:rPr>
      </w:pPr>
      <w:r>
        <w:rPr>
          <w:rFonts w:hint="eastAsia" w:ascii="仿宋_GB2312" w:hAnsi="宋体" w:eastAsia="仿宋_GB2312"/>
          <w:b/>
          <w:sz w:val="30"/>
          <w:szCs w:val="30"/>
        </w:rPr>
        <w:t>适用情形：</w:t>
      </w:r>
    </w:p>
    <w:p>
      <w:pPr>
        <w:snapToGrid w:val="0"/>
        <w:spacing w:line="560" w:lineRule="exact"/>
        <w:ind w:firstLine="600" w:firstLineChars="200"/>
        <w:rPr>
          <w:rFonts w:hint="eastAsia" w:ascii="仿宋_GB2312" w:eastAsia="仿宋_GB2312"/>
          <w:color w:val="000000"/>
          <w:sz w:val="30"/>
          <w:szCs w:val="30"/>
        </w:rPr>
      </w:pPr>
      <w:r>
        <w:rPr>
          <w:rFonts w:hint="eastAsia" w:ascii="仿宋_GB2312" w:eastAsia="仿宋_GB2312"/>
          <w:color w:val="000000"/>
          <w:sz w:val="30"/>
          <w:szCs w:val="30"/>
        </w:rPr>
        <w:t>本所上市公司面向全体股东召开业绩说明会、现金分红说明会、风险说明会、重大事项说明会等投资者说明会的，适用本公告格式，公告标题可以根据说明会的具体类型相应调整。</w:t>
      </w:r>
    </w:p>
    <w:p>
      <w:pPr>
        <w:snapToGrid w:val="0"/>
        <w:spacing w:line="560" w:lineRule="exact"/>
        <w:jc w:val="center"/>
        <w:rPr>
          <w:rFonts w:hint="eastAsia" w:ascii="仿宋_GB2312" w:eastAsia="仿宋_GB2312"/>
          <w:color w:val="000000"/>
          <w:sz w:val="30"/>
          <w:szCs w:val="30"/>
        </w:rPr>
      </w:pPr>
    </w:p>
    <w:p>
      <w:pPr>
        <w:adjustRightInd w:val="0"/>
        <w:snapToGrid w:val="0"/>
        <w:spacing w:line="560" w:lineRule="exact"/>
        <w:rPr>
          <w:rFonts w:ascii="仿宋_GB2312" w:hAnsi="宋体" w:eastAsia="仿宋_GB2312"/>
          <w:sz w:val="30"/>
          <w:szCs w:val="30"/>
        </w:rPr>
      </w:pPr>
      <w:r>
        <w:rPr>
          <w:rFonts w:hint="eastAsia" w:ascii="仿宋_GB2312" w:hAnsi="宋体" w:eastAsia="仿宋_GB2312"/>
          <w:sz w:val="30"/>
          <w:szCs w:val="30"/>
        </w:rPr>
        <w:t>证券代码：             证券简称：            公告编号：</w:t>
      </w:r>
    </w:p>
    <w:p>
      <w:pPr>
        <w:adjustRightInd w:val="0"/>
        <w:snapToGrid w:val="0"/>
        <w:spacing w:line="560" w:lineRule="exact"/>
        <w:rPr>
          <w:rFonts w:hint="eastAsia" w:ascii="仿宋" w:hAnsi="仿宋" w:eastAsia="仿宋"/>
          <w:sz w:val="30"/>
          <w:szCs w:val="30"/>
        </w:rPr>
      </w:pPr>
    </w:p>
    <w:p>
      <w:pPr>
        <w:snapToGrid w:val="0"/>
        <w:spacing w:line="560" w:lineRule="exact"/>
        <w:jc w:val="center"/>
        <w:rPr>
          <w:rFonts w:hint="eastAsia" w:ascii="仿宋_GB2312" w:hAnsi="宋体" w:eastAsia="仿宋_GB2312" w:cs="黑体-WinCharSetFFFF-H"/>
          <w:kern w:val="0"/>
          <w:sz w:val="30"/>
          <w:szCs w:val="30"/>
        </w:rPr>
      </w:pPr>
      <w:r>
        <w:rPr>
          <w:rFonts w:hint="eastAsia" w:ascii="仿宋_GB2312" w:hAnsi="宋体" w:eastAsia="仿宋_GB2312"/>
          <w:color w:val="000000"/>
          <w:sz w:val="30"/>
          <w:szCs w:val="30"/>
        </w:rPr>
        <w:t>X</w:t>
      </w:r>
      <w:r>
        <w:rPr>
          <w:rFonts w:ascii="仿宋_GB2312" w:hAnsi="宋体" w:eastAsia="仿宋_GB2312"/>
          <w:color w:val="000000"/>
          <w:sz w:val="30"/>
          <w:szCs w:val="30"/>
        </w:rPr>
        <w:t>XXX</w:t>
      </w:r>
      <w:r>
        <w:rPr>
          <w:rFonts w:hint="eastAsia" w:ascii="仿宋_GB2312" w:hAnsi="宋体" w:eastAsia="仿宋_GB2312"/>
          <w:color w:val="000000"/>
          <w:sz w:val="30"/>
          <w:szCs w:val="30"/>
        </w:rPr>
        <w:t>股份有限公司X</w:t>
      </w:r>
      <w:r>
        <w:rPr>
          <w:rFonts w:ascii="仿宋_GB2312" w:hAnsi="宋体" w:eastAsia="仿宋_GB2312"/>
          <w:color w:val="000000"/>
          <w:sz w:val="30"/>
          <w:szCs w:val="30"/>
        </w:rPr>
        <w:t>XXX</w:t>
      </w:r>
      <w:r>
        <w:rPr>
          <w:rFonts w:hint="eastAsia" w:ascii="仿宋_GB2312" w:hAnsi="宋体" w:eastAsia="仿宋_GB2312"/>
          <w:color w:val="000000"/>
          <w:sz w:val="30"/>
          <w:szCs w:val="30"/>
        </w:rPr>
        <w:t>说明会（写明具体类型）预告</w:t>
      </w:r>
      <w:r>
        <w:rPr>
          <w:rFonts w:hint="eastAsia" w:ascii="仿宋_GB2312" w:hAnsi="宋体" w:eastAsia="仿宋_GB2312" w:cs="黑体-WinCharSetFFFF-H"/>
          <w:kern w:val="0"/>
          <w:sz w:val="30"/>
          <w:szCs w:val="30"/>
        </w:rPr>
        <w:t>公告</w:t>
      </w:r>
    </w:p>
    <w:p>
      <w:pPr>
        <w:snapToGrid w:val="0"/>
        <w:spacing w:line="560" w:lineRule="exact"/>
        <w:jc w:val="center"/>
        <w:rPr>
          <w:rFonts w:ascii="仿宋_GB2312" w:hAnsi="宋体" w:eastAsia="仿宋_GB2312"/>
          <w:color w:val="000000"/>
          <w:sz w:val="30"/>
          <w:szCs w:val="30"/>
        </w:rPr>
      </w:pP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本公司董事会及全体董事保证本公告内容不存在任何虚假记载、误导性陈述或者重大遗漏，并对其内容的真实性、准确性和完整性承担法律责任。</w:t>
      </w:r>
    </w:p>
    <w:p>
      <w:pPr>
        <w:pBdr>
          <w:top w:val="single" w:color="auto" w:sz="4" w:space="1"/>
          <w:left w:val="single" w:color="auto" w:sz="4" w:space="4"/>
          <w:bottom w:val="single" w:color="auto" w:sz="4" w:space="2"/>
          <w:right w:val="single" w:color="auto" w:sz="4" w:space="4"/>
        </w:pBdr>
        <w:adjustRightInd w:val="0"/>
        <w:spacing w:line="560" w:lineRule="exact"/>
        <w:rPr>
          <w:rFonts w:ascii="仿宋_GB2312" w:hAnsi="宋体" w:eastAsia="仿宋_GB2312"/>
          <w:color w:val="000000"/>
          <w:sz w:val="30"/>
          <w:szCs w:val="30"/>
        </w:rPr>
      </w:pPr>
      <w:r>
        <w:rPr>
          <w:rFonts w:hint="eastAsia" w:ascii="仿宋_GB2312" w:hAnsi="宋体" w:eastAsia="仿宋_GB2312"/>
          <w:color w:val="000000"/>
          <w:sz w:val="30"/>
          <w:szCs w:val="30"/>
        </w:rPr>
        <w:t xml:space="preserve">    如有董事对临时公告内容的真实性、准确性和完整性无法保证或存在异议的，公司应当在公告中作特别提示。</w:t>
      </w:r>
    </w:p>
    <w:p>
      <w:pPr>
        <w:adjustRightInd w:val="0"/>
        <w:snapToGrid w:val="0"/>
        <w:spacing w:line="560" w:lineRule="exact"/>
        <w:rPr>
          <w:rFonts w:ascii="仿宋_GB2312" w:hAnsi="宋体" w:eastAsia="仿宋_GB2312"/>
          <w:sz w:val="30"/>
          <w:szCs w:val="30"/>
        </w:rPr>
      </w:pPr>
    </w:p>
    <w:p>
      <w:pPr>
        <w:adjustRightInd w:val="0"/>
        <w:snapToGrid w:val="0"/>
        <w:spacing w:line="56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重要内容提示：</w:t>
      </w:r>
    </w:p>
    <w:p>
      <w:pPr>
        <w:numPr>
          <w:ilvl w:val="0"/>
          <w:numId w:val="1"/>
        </w:numPr>
        <w:adjustRightInd w:val="0"/>
        <w:snapToGrid w:val="0"/>
        <w:spacing w:line="560" w:lineRule="exact"/>
        <w:jc w:val="left"/>
        <w:rPr>
          <w:rFonts w:ascii="仿宋_GB2312" w:eastAsia="仿宋_GB2312"/>
          <w:color w:val="000000"/>
          <w:sz w:val="30"/>
          <w:szCs w:val="30"/>
        </w:rPr>
      </w:pPr>
      <w:r>
        <w:rPr>
          <w:rFonts w:hint="eastAsia" w:ascii="仿宋_GB2312" w:eastAsia="仿宋_GB2312"/>
          <w:color w:val="000000"/>
          <w:sz w:val="30"/>
          <w:szCs w:val="30"/>
        </w:rPr>
        <w:t>会议召开时间</w:t>
      </w:r>
    </w:p>
    <w:p>
      <w:pPr>
        <w:numPr>
          <w:ilvl w:val="0"/>
          <w:numId w:val="1"/>
        </w:numPr>
        <w:adjustRightInd w:val="0"/>
        <w:snapToGrid w:val="0"/>
        <w:spacing w:line="560" w:lineRule="exact"/>
        <w:jc w:val="left"/>
        <w:rPr>
          <w:rFonts w:ascii="仿宋_GB2312" w:eastAsia="仿宋_GB2312"/>
          <w:color w:val="000000"/>
          <w:sz w:val="30"/>
          <w:szCs w:val="30"/>
        </w:rPr>
      </w:pPr>
      <w:r>
        <w:rPr>
          <w:rFonts w:hint="eastAsia" w:ascii="仿宋_GB2312" w:eastAsia="仿宋_GB2312"/>
          <w:color w:val="000000"/>
          <w:sz w:val="30"/>
          <w:szCs w:val="30"/>
        </w:rPr>
        <w:t>会议召开地点</w:t>
      </w:r>
    </w:p>
    <w:p>
      <w:pPr>
        <w:numPr>
          <w:ilvl w:val="0"/>
          <w:numId w:val="1"/>
        </w:numPr>
        <w:adjustRightInd w:val="0"/>
        <w:snapToGrid w:val="0"/>
        <w:spacing w:line="560" w:lineRule="exact"/>
        <w:jc w:val="left"/>
        <w:rPr>
          <w:rFonts w:ascii="仿宋_GB2312" w:eastAsia="仿宋_GB2312"/>
          <w:color w:val="000000"/>
          <w:sz w:val="30"/>
          <w:szCs w:val="30"/>
        </w:rPr>
      </w:pPr>
      <w:r>
        <w:rPr>
          <w:rFonts w:hint="eastAsia" w:ascii="仿宋_GB2312" w:eastAsia="仿宋_GB2312"/>
          <w:color w:val="000000"/>
          <w:sz w:val="30"/>
          <w:szCs w:val="30"/>
        </w:rPr>
        <w:t>会议召开方式</w:t>
      </w:r>
    </w:p>
    <w:p>
      <w:pPr>
        <w:numPr>
          <w:ilvl w:val="0"/>
          <w:numId w:val="1"/>
        </w:numPr>
        <w:adjustRightInd w:val="0"/>
        <w:snapToGrid w:val="0"/>
        <w:spacing w:line="560" w:lineRule="exact"/>
        <w:jc w:val="left"/>
        <w:rPr>
          <w:rFonts w:ascii="仿宋_GB2312" w:eastAsia="仿宋_GB2312"/>
          <w:color w:val="000000"/>
          <w:sz w:val="30"/>
          <w:szCs w:val="30"/>
        </w:rPr>
      </w:pPr>
      <w:r>
        <w:rPr>
          <w:rFonts w:hint="eastAsia" w:ascii="仿宋_GB2312" w:eastAsia="仿宋_GB2312"/>
          <w:color w:val="000000"/>
          <w:sz w:val="30"/>
          <w:szCs w:val="30"/>
        </w:rPr>
        <w:t>预征集投资者提问的相关安排，包括提问渠道、截止时间等</w:t>
      </w:r>
    </w:p>
    <w:p>
      <w:pPr>
        <w:adjustRightInd w:val="0"/>
        <w:snapToGrid w:val="0"/>
        <w:spacing w:line="560" w:lineRule="exact"/>
        <w:ind w:firstLine="600" w:firstLineChars="200"/>
        <w:jc w:val="left"/>
        <w:rPr>
          <w:rFonts w:ascii="仿宋" w:hAnsi="仿宋" w:eastAsia="仿宋"/>
          <w:sz w:val="30"/>
          <w:szCs w:val="30"/>
        </w:rPr>
      </w:pPr>
    </w:p>
    <w:p>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一、说明会类型</w:t>
      </w:r>
    </w:p>
    <w:p>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详细说明本次说明会的类型，披露说明会的具体事项。</w:t>
      </w:r>
    </w:p>
    <w:p>
      <w:pPr>
        <w:adjustRightInd w:val="0"/>
        <w:snapToGrid w:val="0"/>
        <w:spacing w:line="560" w:lineRule="exact"/>
        <w:ind w:firstLine="600" w:firstLineChars="200"/>
        <w:jc w:val="left"/>
        <w:rPr>
          <w:rFonts w:hint="eastAsia" w:ascii="仿宋_GB2312" w:eastAsia="仿宋_GB2312"/>
          <w:color w:val="000000"/>
          <w:sz w:val="30"/>
          <w:szCs w:val="30"/>
        </w:rPr>
      </w:pPr>
    </w:p>
    <w:p>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二、说明会召开的时间、地点</w:t>
      </w:r>
    </w:p>
    <w:p>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详细说明本次说明会的召开时间、地点和方式。</w:t>
      </w:r>
    </w:p>
    <w:p>
      <w:pPr>
        <w:adjustRightInd w:val="0"/>
        <w:snapToGrid w:val="0"/>
        <w:spacing w:line="560" w:lineRule="exact"/>
        <w:ind w:firstLine="600" w:firstLineChars="200"/>
        <w:jc w:val="left"/>
        <w:rPr>
          <w:rFonts w:hint="eastAsia" w:ascii="仿宋_GB2312" w:eastAsia="仿宋_GB2312"/>
          <w:color w:val="000000"/>
          <w:sz w:val="30"/>
          <w:szCs w:val="30"/>
        </w:rPr>
      </w:pPr>
    </w:p>
    <w:p>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三、参加人员</w:t>
      </w:r>
    </w:p>
    <w:p>
      <w:pPr>
        <w:adjustRightInd w:val="0"/>
        <w:snapToGri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详细说明参加说明会的机构及个人，包括：</w:t>
      </w:r>
    </w:p>
    <w:p>
      <w:pPr>
        <w:numPr>
          <w:ilvl w:val="0"/>
          <w:numId w:val="2"/>
        </w:num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上市公司：列明上市公司参加说明会的相关人员信息。</w:t>
      </w:r>
    </w:p>
    <w:p>
      <w:pPr>
        <w:adjustRightInd w:val="0"/>
        <w:snapToGrid w:val="0"/>
        <w:spacing w:line="560" w:lineRule="exact"/>
        <w:ind w:firstLine="480" w:firstLineChars="200"/>
        <w:jc w:val="left"/>
        <w:rPr>
          <w:rFonts w:hint="eastAsia" w:ascii="楷体" w:hAnsi="楷体" w:eastAsia="楷体" w:cs="宋体-WinCharSetFFFF-H"/>
          <w:color w:val="000000"/>
          <w:kern w:val="0"/>
          <w:sz w:val="24"/>
          <w:szCs w:val="24"/>
        </w:rPr>
      </w:pPr>
      <w:r>
        <w:rPr>
          <w:rFonts w:hint="eastAsia" w:ascii="楷体" w:hAnsi="楷体" w:eastAsia="楷体" w:cs="宋体-WinCharSetFFFF-H"/>
          <w:color w:val="000000"/>
          <w:kern w:val="0"/>
          <w:sz w:val="24"/>
          <w:szCs w:val="24"/>
        </w:rPr>
        <w:t>（编制提醒：根据《上海证券交易所上市公司自律监管指引第1号——规范运作》第7.3.2条第一款规定，参与投资者说明会的上市公司人员应当包括公司董事长（或者总经理）、财务负责人、至少一名独立董事、董事会秘书。）</w:t>
      </w:r>
    </w:p>
    <w:p>
      <w:pPr>
        <w:adjustRightInd w:val="0"/>
        <w:snapToGri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（二）投资者：列明参加说明会的机构投资者名称。</w:t>
      </w:r>
    </w:p>
    <w:p>
      <w:pPr>
        <w:adjustRightInd w:val="0"/>
        <w:snapToGri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（三）中介机构：列明参加说明会的中介机构名称。</w:t>
      </w:r>
    </w:p>
    <w:p>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（四）其他相关人员：列明除上述机构和个人以外的媒体、相关监管机构、行业专家等其他参加人员，并简要说明其相关信息。</w:t>
      </w:r>
    </w:p>
    <w:p>
      <w:pPr>
        <w:adjustRightInd w:val="0"/>
        <w:snapToGrid w:val="0"/>
        <w:spacing w:line="560" w:lineRule="exact"/>
        <w:ind w:firstLine="600" w:firstLineChars="200"/>
        <w:jc w:val="left"/>
        <w:rPr>
          <w:rFonts w:hint="eastAsia" w:ascii="仿宋_GB2312" w:eastAsia="仿宋_GB2312"/>
          <w:color w:val="000000"/>
          <w:sz w:val="30"/>
          <w:szCs w:val="30"/>
        </w:rPr>
      </w:pPr>
    </w:p>
    <w:p>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四、投资者参加方式</w:t>
      </w:r>
    </w:p>
    <w:p>
      <w:pPr>
        <w:adjustRightInd w:val="0"/>
        <w:snapToGrid w:val="0"/>
        <w:spacing w:line="56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（一）详细说明机构和个人参加相关说明会的方式，例如现场、网络、电话方式。</w:t>
      </w:r>
    </w:p>
    <w:p>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（二）预征集投资者提问的相关安排，包括提问渠道、截止时间等。</w:t>
      </w:r>
    </w:p>
    <w:p>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公司应当在投资者说明会召开前以及召开期间为投资者开通提问渠道，做好投资者提问征集工作，并在说明会上对投资者关注的问题予以答复。</w:t>
      </w:r>
    </w:p>
    <w:p>
      <w:pPr>
        <w:adjustRightInd w:val="0"/>
        <w:snapToGrid w:val="0"/>
        <w:spacing w:line="560" w:lineRule="exact"/>
        <w:ind w:firstLine="600" w:firstLineChars="200"/>
        <w:jc w:val="left"/>
        <w:rPr>
          <w:rFonts w:hint="eastAsia" w:ascii="仿宋_GB2312" w:eastAsia="仿宋_GB2312"/>
          <w:color w:val="000000"/>
          <w:sz w:val="30"/>
          <w:szCs w:val="30"/>
        </w:rPr>
      </w:pPr>
    </w:p>
    <w:p>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五、联系人及咨询办法</w:t>
      </w:r>
    </w:p>
    <w:p>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上市公司投资者说明会的负责人及联系方式。</w:t>
      </w:r>
    </w:p>
    <w:p>
      <w:pPr>
        <w:adjustRightInd w:val="0"/>
        <w:snapToGrid w:val="0"/>
        <w:spacing w:line="560" w:lineRule="exact"/>
        <w:ind w:firstLine="600" w:firstLineChars="200"/>
        <w:jc w:val="left"/>
        <w:rPr>
          <w:rFonts w:hint="eastAsia" w:ascii="仿宋_GB2312" w:eastAsia="仿宋_GB2312"/>
          <w:color w:val="000000"/>
          <w:sz w:val="30"/>
          <w:szCs w:val="30"/>
        </w:rPr>
      </w:pPr>
    </w:p>
    <w:p>
      <w:pPr>
        <w:adjustRightInd w:val="0"/>
        <w:snapToGrid w:val="0"/>
        <w:spacing w:line="560" w:lineRule="exact"/>
        <w:ind w:firstLine="602" w:firstLineChars="200"/>
        <w:jc w:val="left"/>
        <w:rPr>
          <w:rFonts w:ascii="黑体" w:hAnsi="黑体" w:eastAsia="黑体"/>
          <w:b/>
          <w:sz w:val="30"/>
          <w:szCs w:val="30"/>
        </w:rPr>
      </w:pPr>
      <w:r>
        <w:rPr>
          <w:rFonts w:hint="eastAsia" w:ascii="黑体" w:hAnsi="黑体" w:eastAsia="黑体"/>
          <w:b/>
          <w:sz w:val="30"/>
          <w:szCs w:val="30"/>
        </w:rPr>
        <w:t>六、其他事项</w:t>
      </w:r>
    </w:p>
    <w:p>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会后供投资者回看或查阅的方式，全面如实地向投资者反映说明会的召开情况。</w:t>
      </w:r>
    </w:p>
    <w:p>
      <w:pPr>
        <w:adjustRightInd w:val="0"/>
        <w:snapToGrid w:val="0"/>
        <w:spacing w:line="560" w:lineRule="exact"/>
        <w:ind w:firstLine="600" w:firstLineChars="200"/>
        <w:jc w:val="left"/>
        <w:rPr>
          <w:rFonts w:ascii="仿宋_GB2312" w:eastAsia="仿宋_GB2312"/>
          <w:color w:val="000000"/>
          <w:sz w:val="30"/>
          <w:szCs w:val="30"/>
        </w:rPr>
      </w:pPr>
    </w:p>
    <w:p>
      <w:pPr>
        <w:adjustRightInd w:val="0"/>
        <w:snapToGrid w:val="0"/>
        <w:spacing w:line="560" w:lineRule="exact"/>
        <w:ind w:firstLine="600" w:firstLineChars="200"/>
        <w:jc w:val="left"/>
        <w:rPr>
          <w:rFonts w:hint="eastAsia" w:ascii="仿宋_GB2312" w:eastAsia="仿宋_GB2312"/>
          <w:color w:val="000000"/>
          <w:sz w:val="30"/>
          <w:szCs w:val="30"/>
        </w:rPr>
      </w:pPr>
      <w:r>
        <w:rPr>
          <w:rFonts w:hint="eastAsia" w:ascii="仿宋_GB2312" w:eastAsia="仿宋_GB2312"/>
          <w:color w:val="000000"/>
          <w:sz w:val="30"/>
          <w:szCs w:val="30"/>
        </w:rPr>
        <w:t>特此公告。</w:t>
      </w:r>
    </w:p>
    <w:p>
      <w:pPr>
        <w:adjustRightInd w:val="0"/>
        <w:snapToGrid w:val="0"/>
        <w:spacing w:line="560" w:lineRule="exact"/>
        <w:ind w:firstLine="600" w:firstLineChars="200"/>
        <w:jc w:val="right"/>
        <w:rPr>
          <w:rFonts w:ascii="仿宋_GB2312" w:eastAsia="仿宋_GB2312"/>
          <w:color w:val="000000"/>
          <w:sz w:val="30"/>
          <w:szCs w:val="30"/>
        </w:rPr>
      </w:pPr>
    </w:p>
    <w:p>
      <w:pPr>
        <w:adjustRightInd w:val="0"/>
        <w:snapToGrid w:val="0"/>
        <w:spacing w:line="560" w:lineRule="exact"/>
        <w:ind w:firstLine="600" w:firstLineChars="200"/>
        <w:jc w:val="right"/>
        <w:rPr>
          <w:rFonts w:ascii="仿宋_GB2312" w:eastAsia="仿宋_GB2312"/>
          <w:color w:val="000000"/>
          <w:sz w:val="30"/>
          <w:szCs w:val="30"/>
        </w:rPr>
      </w:pPr>
      <w:r>
        <w:rPr>
          <w:rFonts w:hint="eastAsia" w:ascii="仿宋_GB2312" w:hAnsi="宋体" w:eastAsia="仿宋_GB2312"/>
          <w:color w:val="000000"/>
          <w:sz w:val="30"/>
          <w:szCs w:val="30"/>
        </w:rPr>
        <w:t>××××</w:t>
      </w:r>
      <w:r>
        <w:rPr>
          <w:rFonts w:hint="eastAsia" w:ascii="仿宋_GB2312" w:eastAsia="仿宋_GB2312"/>
          <w:color w:val="000000"/>
          <w:sz w:val="30"/>
          <w:szCs w:val="30"/>
        </w:rPr>
        <w:t>股份有限公司董事会</w:t>
      </w:r>
    </w:p>
    <w:p>
      <w:pPr>
        <w:adjustRightInd w:val="0"/>
        <w:snapToGrid w:val="0"/>
        <w:spacing w:line="560" w:lineRule="exact"/>
        <w:ind w:firstLine="600" w:firstLineChars="200"/>
        <w:jc w:val="right"/>
        <w:rPr>
          <w:rFonts w:hint="eastAsia" w:ascii="仿宋_GB2312" w:eastAsia="仿宋_GB2312"/>
          <w:color w:val="000000"/>
          <w:sz w:val="30"/>
          <w:szCs w:val="30"/>
        </w:rPr>
      </w:pPr>
      <w:r>
        <w:rPr>
          <w:rFonts w:hint="eastAsia" w:ascii="仿宋_GB2312" w:eastAsia="仿宋_GB2312"/>
          <w:color w:val="000000"/>
          <w:sz w:val="30"/>
          <w:szCs w:val="30"/>
        </w:rPr>
        <w:t>年</w:t>
      </w:r>
      <w:r>
        <w:rPr>
          <w:rFonts w:ascii="仿宋_GB2312" w:eastAsia="仿宋_GB2312"/>
          <w:color w:val="000000"/>
          <w:sz w:val="30"/>
          <w:szCs w:val="30"/>
        </w:rPr>
        <w:t xml:space="preserve">  </w:t>
      </w:r>
      <w:r>
        <w:rPr>
          <w:rFonts w:hint="eastAsia" w:ascii="仿宋_GB2312" w:eastAsia="仿宋_GB2312"/>
          <w:color w:val="000000"/>
          <w:sz w:val="30"/>
          <w:szCs w:val="30"/>
        </w:rPr>
        <w:t>月</w:t>
      </w:r>
      <w:r>
        <w:rPr>
          <w:rFonts w:ascii="仿宋_GB2312" w:eastAsia="仿宋_GB2312"/>
          <w:color w:val="000000"/>
          <w:sz w:val="30"/>
          <w:szCs w:val="30"/>
        </w:rPr>
        <w:t xml:space="preserve">  </w:t>
      </w:r>
      <w:r>
        <w:rPr>
          <w:rFonts w:hint="eastAsia" w:ascii="仿宋_GB2312" w:eastAsia="仿宋_GB2312"/>
          <w:color w:val="000000"/>
          <w:sz w:val="30"/>
          <w:szCs w:val="30"/>
        </w:rPr>
        <w:t>日</w:t>
      </w:r>
    </w:p>
    <w:p>
      <w:pPr>
        <w:adjustRightInd w:val="0"/>
        <w:snapToGrid w:val="0"/>
        <w:spacing w:line="560" w:lineRule="exact"/>
        <w:ind w:firstLine="600" w:firstLineChars="200"/>
        <w:jc w:val="left"/>
        <w:rPr>
          <w:rFonts w:hint="eastAsia" w:ascii="仿宋_GB2312" w:eastAsia="仿宋_GB2312"/>
          <w:color w:val="000000"/>
          <w:sz w:val="30"/>
          <w:szCs w:val="30"/>
        </w:rPr>
      </w:pPr>
    </w:p>
    <w:p>
      <w:pPr>
        <w:adjustRightInd w:val="0"/>
        <w:snapToGrid w:val="0"/>
        <w:spacing w:line="560" w:lineRule="exact"/>
        <w:ind w:firstLine="600" w:firstLineChars="200"/>
        <w:jc w:val="left"/>
        <w:rPr>
          <w:rFonts w:ascii="仿宋_GB2312" w:eastAsia="仿宋_GB2312"/>
          <w:color w:val="000000"/>
          <w:sz w:val="30"/>
          <w:szCs w:val="30"/>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黑体-WinCharSetFFFF-H">
    <w:altName w:val="方正舒体"/>
    <w:panose1 w:val="00000000000000000000"/>
    <w:charset w:val="86"/>
    <w:family w:val="auto"/>
    <w:pitch w:val="default"/>
    <w:sig w:usb0="00000001" w:usb1="080E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宋体-WinCharSetFFFF-H">
    <w:altName w:val="方正舒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p>
    <w:pPr>
      <w:pStyle w:val="5"/>
      <w:ind w:right="360"/>
      <w:jc w:val="center"/>
      <w:rPr>
        <w:rFonts w:ascii="宋体" w:hAnsi="宋体"/>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12"/>
      </w:rPr>
    </w:pPr>
    <w:r>
      <w:rPr>
        <w:rStyle w:val="12"/>
      </w:rPr>
      <w:fldChar w:fldCharType="begin"/>
    </w:r>
    <w:r>
      <w:rPr>
        <w:rStyle w:val="12"/>
      </w:rPr>
      <w:instrText xml:space="preserve">PAGE  </w:instrText>
    </w:r>
    <w:r>
      <w:rPr>
        <w:rStyle w:val="12"/>
      </w:rPr>
      <w:fldChar w:fldCharType="end"/>
    </w:r>
  </w:p>
  <w:p>
    <w:pPr>
      <w:pStyle w:val="5"/>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B90876"/>
    <w:multiLevelType w:val="multilevel"/>
    <w:tmpl w:val="0EB90876"/>
    <w:lvl w:ilvl="0" w:tentative="0">
      <w:start w:val="1"/>
      <w:numFmt w:val="bullet"/>
      <w:lvlText w:val=""/>
      <w:lvlJc w:val="left"/>
      <w:pPr>
        <w:tabs>
          <w:tab w:val="left" w:pos="1005"/>
        </w:tabs>
        <w:ind w:left="1005" w:hanging="420"/>
      </w:pPr>
      <w:rPr>
        <w:rFonts w:hint="default" w:ascii="Wingdings" w:hAnsi="Wingdings"/>
      </w:rPr>
    </w:lvl>
    <w:lvl w:ilvl="1" w:tentative="0">
      <w:start w:val="1"/>
      <w:numFmt w:val="bullet"/>
      <w:lvlText w:val=""/>
      <w:lvlJc w:val="left"/>
      <w:pPr>
        <w:ind w:left="1425" w:hanging="420"/>
      </w:pPr>
      <w:rPr>
        <w:rFonts w:hint="default" w:ascii="Wingdings" w:hAnsi="Wingdings"/>
      </w:rPr>
    </w:lvl>
    <w:lvl w:ilvl="2" w:tentative="0">
      <w:start w:val="1"/>
      <w:numFmt w:val="bullet"/>
      <w:lvlText w:val=""/>
      <w:lvlJc w:val="left"/>
      <w:pPr>
        <w:ind w:left="1845" w:hanging="420"/>
      </w:pPr>
      <w:rPr>
        <w:rFonts w:hint="default" w:ascii="Wingdings" w:hAnsi="Wingdings"/>
      </w:rPr>
    </w:lvl>
    <w:lvl w:ilvl="3" w:tentative="0">
      <w:start w:val="1"/>
      <w:numFmt w:val="bullet"/>
      <w:lvlText w:val=""/>
      <w:lvlJc w:val="left"/>
      <w:pPr>
        <w:ind w:left="2265" w:hanging="420"/>
      </w:pPr>
      <w:rPr>
        <w:rFonts w:hint="default" w:ascii="Wingdings" w:hAnsi="Wingdings"/>
      </w:rPr>
    </w:lvl>
    <w:lvl w:ilvl="4" w:tentative="0">
      <w:start w:val="1"/>
      <w:numFmt w:val="bullet"/>
      <w:lvlText w:val=""/>
      <w:lvlJc w:val="left"/>
      <w:pPr>
        <w:ind w:left="2685" w:hanging="420"/>
      </w:pPr>
      <w:rPr>
        <w:rFonts w:hint="default" w:ascii="Wingdings" w:hAnsi="Wingdings"/>
      </w:rPr>
    </w:lvl>
    <w:lvl w:ilvl="5" w:tentative="0">
      <w:start w:val="1"/>
      <w:numFmt w:val="bullet"/>
      <w:lvlText w:val=""/>
      <w:lvlJc w:val="left"/>
      <w:pPr>
        <w:ind w:left="3105" w:hanging="420"/>
      </w:pPr>
      <w:rPr>
        <w:rFonts w:hint="default" w:ascii="Wingdings" w:hAnsi="Wingdings"/>
      </w:rPr>
    </w:lvl>
    <w:lvl w:ilvl="6" w:tentative="0">
      <w:start w:val="1"/>
      <w:numFmt w:val="bullet"/>
      <w:lvlText w:val=""/>
      <w:lvlJc w:val="left"/>
      <w:pPr>
        <w:ind w:left="3525" w:hanging="420"/>
      </w:pPr>
      <w:rPr>
        <w:rFonts w:hint="default" w:ascii="Wingdings" w:hAnsi="Wingdings"/>
      </w:rPr>
    </w:lvl>
    <w:lvl w:ilvl="7" w:tentative="0">
      <w:start w:val="1"/>
      <w:numFmt w:val="bullet"/>
      <w:lvlText w:val=""/>
      <w:lvlJc w:val="left"/>
      <w:pPr>
        <w:ind w:left="3945" w:hanging="420"/>
      </w:pPr>
      <w:rPr>
        <w:rFonts w:hint="default" w:ascii="Wingdings" w:hAnsi="Wingdings"/>
      </w:rPr>
    </w:lvl>
    <w:lvl w:ilvl="8" w:tentative="0">
      <w:start w:val="1"/>
      <w:numFmt w:val="bullet"/>
      <w:lvlText w:val=""/>
      <w:lvlJc w:val="left"/>
      <w:pPr>
        <w:ind w:left="4365" w:hanging="420"/>
      </w:pPr>
      <w:rPr>
        <w:rFonts w:hint="default" w:ascii="Wingdings" w:hAnsi="Wingdings"/>
      </w:rPr>
    </w:lvl>
  </w:abstractNum>
  <w:abstractNum w:abstractNumId="1">
    <w:nsid w:val="1276F366"/>
    <w:multiLevelType w:val="singleLevel"/>
    <w:tmpl w:val="1276F36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1201"/>
    <w:rsid w:val="0008456D"/>
    <w:rsid w:val="00095925"/>
    <w:rsid w:val="00100C7C"/>
    <w:rsid w:val="001515A1"/>
    <w:rsid w:val="00173C5E"/>
    <w:rsid w:val="001925CB"/>
    <w:rsid w:val="001A792E"/>
    <w:rsid w:val="002061F0"/>
    <w:rsid w:val="00240892"/>
    <w:rsid w:val="002760DE"/>
    <w:rsid w:val="002A6482"/>
    <w:rsid w:val="002D06BE"/>
    <w:rsid w:val="002E4B61"/>
    <w:rsid w:val="00311EBC"/>
    <w:rsid w:val="00314ADB"/>
    <w:rsid w:val="00333535"/>
    <w:rsid w:val="003428CE"/>
    <w:rsid w:val="003616FA"/>
    <w:rsid w:val="003775A9"/>
    <w:rsid w:val="003F6FA7"/>
    <w:rsid w:val="004302E9"/>
    <w:rsid w:val="0044662A"/>
    <w:rsid w:val="00486588"/>
    <w:rsid w:val="00495379"/>
    <w:rsid w:val="005248B7"/>
    <w:rsid w:val="00544631"/>
    <w:rsid w:val="00557F79"/>
    <w:rsid w:val="00574258"/>
    <w:rsid w:val="00576BED"/>
    <w:rsid w:val="00663941"/>
    <w:rsid w:val="006967B7"/>
    <w:rsid w:val="0070756D"/>
    <w:rsid w:val="00765123"/>
    <w:rsid w:val="0077086C"/>
    <w:rsid w:val="008513DE"/>
    <w:rsid w:val="00857AB4"/>
    <w:rsid w:val="00876B4E"/>
    <w:rsid w:val="008B22C7"/>
    <w:rsid w:val="008B5431"/>
    <w:rsid w:val="008E1834"/>
    <w:rsid w:val="00941936"/>
    <w:rsid w:val="00991E4A"/>
    <w:rsid w:val="009B66BB"/>
    <w:rsid w:val="009D10C0"/>
    <w:rsid w:val="009E3967"/>
    <w:rsid w:val="00A5131D"/>
    <w:rsid w:val="00A64CFA"/>
    <w:rsid w:val="00A82CA6"/>
    <w:rsid w:val="00BE0CAF"/>
    <w:rsid w:val="00C17BE8"/>
    <w:rsid w:val="00C24B90"/>
    <w:rsid w:val="00C465E4"/>
    <w:rsid w:val="00C53A80"/>
    <w:rsid w:val="00C577B0"/>
    <w:rsid w:val="00C96421"/>
    <w:rsid w:val="00CD1FA9"/>
    <w:rsid w:val="00CF33E7"/>
    <w:rsid w:val="00CF4E72"/>
    <w:rsid w:val="00D003D0"/>
    <w:rsid w:val="00D66056"/>
    <w:rsid w:val="00E466A6"/>
    <w:rsid w:val="00E55101"/>
    <w:rsid w:val="00F34F66"/>
    <w:rsid w:val="00F87C1C"/>
    <w:rsid w:val="00FD169D"/>
    <w:rsid w:val="00FF3DA9"/>
    <w:rsid w:val="01E7603C"/>
    <w:rsid w:val="02E80F26"/>
    <w:rsid w:val="04990D10"/>
    <w:rsid w:val="37587D43"/>
    <w:rsid w:val="62A74EAD"/>
    <w:rsid w:val="70B07A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99" w:semiHidden="0" w:name=""/>
    <w:lsdException w:qFormat="1" w:unhideWhenUsed="0" w:uiPriority="34"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lang w:val="en-US" w:eastAsia="zh-CN" w:bidi="ar-SA"/>
    </w:rPr>
  </w:style>
  <w:style w:type="character" w:default="1" w:styleId="10">
    <w:name w:val="Default Paragraph Fon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Document Map"/>
    <w:basedOn w:val="1"/>
    <w:link w:val="21"/>
    <w:uiPriority w:val="0"/>
    <w:rPr>
      <w:rFonts w:ascii="宋体"/>
      <w:sz w:val="18"/>
      <w:szCs w:val="18"/>
    </w:rPr>
  </w:style>
  <w:style w:type="paragraph" w:styleId="3">
    <w:name w:val="annotation text"/>
    <w:basedOn w:val="1"/>
    <w:link w:val="19"/>
    <w:uiPriority w:val="0"/>
    <w:pPr>
      <w:jc w:val="left"/>
    </w:pPr>
  </w:style>
  <w:style w:type="paragraph" w:styleId="4">
    <w:name w:val="Balloon Text"/>
    <w:basedOn w:val="1"/>
    <w:link w:val="14"/>
    <w:uiPriority w:val="0"/>
    <w:rPr>
      <w:sz w:val="18"/>
      <w:szCs w:val="18"/>
    </w:rPr>
  </w:style>
  <w:style w:type="paragraph" w:styleId="5">
    <w:name w:val="footer"/>
    <w:basedOn w:val="1"/>
    <w:link w:val="15"/>
    <w:uiPriority w:val="99"/>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7">
    <w:name w:val="Title"/>
    <w:basedOn w:val="1"/>
    <w:next w:val="1"/>
    <w:link w:val="16"/>
    <w:qFormat/>
    <w:uiPriority w:val="0"/>
    <w:pPr>
      <w:spacing w:before="240" w:after="60"/>
      <w:jc w:val="center"/>
      <w:outlineLvl w:val="0"/>
    </w:pPr>
    <w:rPr>
      <w:rFonts w:ascii="Cambria" w:hAnsi="Cambria"/>
      <w:b/>
      <w:bCs/>
      <w:sz w:val="32"/>
      <w:szCs w:val="32"/>
    </w:rPr>
  </w:style>
  <w:style w:type="paragraph" w:styleId="8">
    <w:name w:val="annotation subject"/>
    <w:basedOn w:val="3"/>
    <w:next w:val="3"/>
    <w:link w:val="20"/>
    <w:uiPriority w:val="0"/>
    <w:rPr>
      <w:b/>
      <w:bCs/>
    </w:rPr>
  </w:style>
  <w:style w:type="character" w:styleId="11">
    <w:name w:val="Strong"/>
    <w:qFormat/>
    <w:uiPriority w:val="0"/>
    <w:rPr>
      <w:b/>
      <w:bCs/>
    </w:rPr>
  </w:style>
  <w:style w:type="character" w:styleId="12">
    <w:name w:val="page number"/>
    <w:uiPriority w:val="0"/>
  </w:style>
  <w:style w:type="character" w:styleId="13">
    <w:name w:val="annotation reference"/>
    <w:uiPriority w:val="0"/>
    <w:rPr>
      <w:sz w:val="21"/>
      <w:szCs w:val="21"/>
    </w:rPr>
  </w:style>
  <w:style w:type="character" w:customStyle="1" w:styleId="14">
    <w:name w:val="批注框文本 Char"/>
    <w:link w:val="4"/>
    <w:uiPriority w:val="0"/>
    <w:rPr>
      <w:kern w:val="2"/>
      <w:sz w:val="18"/>
      <w:szCs w:val="18"/>
    </w:rPr>
  </w:style>
  <w:style w:type="character" w:customStyle="1" w:styleId="15">
    <w:name w:val="页脚 Char"/>
    <w:link w:val="5"/>
    <w:locked/>
    <w:uiPriority w:val="99"/>
    <w:rPr>
      <w:rFonts w:eastAsia="宋体"/>
      <w:kern w:val="2"/>
      <w:sz w:val="18"/>
      <w:lang w:val="en-US" w:eastAsia="zh-CN" w:bidi="ar-SA"/>
    </w:rPr>
  </w:style>
  <w:style w:type="character" w:customStyle="1" w:styleId="16">
    <w:name w:val="标题 Char"/>
    <w:link w:val="7"/>
    <w:locked/>
    <w:uiPriority w:val="0"/>
    <w:rPr>
      <w:rFonts w:ascii="Cambria" w:hAnsi="Cambria" w:eastAsia="宋体"/>
      <w:b/>
      <w:bCs/>
      <w:kern w:val="2"/>
      <w:sz w:val="32"/>
      <w:szCs w:val="32"/>
      <w:lang w:val="en-US" w:eastAsia="zh-CN" w:bidi="ar-SA"/>
    </w:rPr>
  </w:style>
  <w:style w:type="paragraph" w:styleId="17">
    <w:name w:val="List Paragraph"/>
    <w:basedOn w:val="1"/>
    <w:qFormat/>
    <w:uiPriority w:val="34"/>
    <w:pPr>
      <w:ind w:firstLine="420" w:firstLineChars="200"/>
    </w:pPr>
    <w:rPr>
      <w:rFonts w:ascii="Calibri" w:hAnsi="Calibri"/>
      <w:szCs w:val="22"/>
    </w:rPr>
  </w:style>
  <w:style w:type="paragraph" w:styleId="18">
    <w:name w:val=""/>
    <w:hidden/>
    <w:unhideWhenUsed/>
    <w:uiPriority w:val="99"/>
    <w:rPr>
      <w:kern w:val="2"/>
      <w:sz w:val="21"/>
      <w:lang w:val="en-US" w:eastAsia="zh-CN" w:bidi="ar-SA"/>
    </w:rPr>
  </w:style>
  <w:style w:type="character" w:customStyle="1" w:styleId="19">
    <w:name w:val="批注文字 Char"/>
    <w:link w:val="3"/>
    <w:uiPriority w:val="0"/>
    <w:rPr>
      <w:kern w:val="2"/>
      <w:sz w:val="21"/>
    </w:rPr>
  </w:style>
  <w:style w:type="character" w:customStyle="1" w:styleId="20">
    <w:name w:val="批注主题 Char"/>
    <w:link w:val="8"/>
    <w:uiPriority w:val="0"/>
    <w:rPr>
      <w:b/>
      <w:bCs/>
      <w:kern w:val="2"/>
      <w:sz w:val="21"/>
    </w:rPr>
  </w:style>
  <w:style w:type="character" w:customStyle="1" w:styleId="21">
    <w:name w:val="文档结构图 Char"/>
    <w:link w:val="2"/>
    <w:uiPriority w:val="0"/>
    <w:rPr>
      <w:rFonts w:ascii="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hzhou\AppData\Local\Temp\Normal.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Normal.wpt</Template>
  <Pages>3</Pages>
  <Words>141</Words>
  <Characters>805</Characters>
  <Lines>6</Lines>
  <Paragraphs>1</Paragraphs>
  <TotalTime>0</TotalTime>
  <ScaleCrop>false</ScaleCrop>
  <LinksUpToDate>false</LinksUpToDate>
  <CharactersWithSpaces>945</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2022-04-24T00:48:00Z</dcterms:created>
  <dcterms:modified xsi:type="dcterms:W3CDTF">2023-08-04T05:39:03Z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14CCCD09E5574A58BAFA1F3CCD082BCD</vt:lpwstr>
  </property>
</Properties>
</file>