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黑体" w:hAnsi="黑体" w:eastAsia="黑体"/>
          <w:b/>
          <w:bCs/>
          <w:sz w:val="36"/>
          <w:szCs w:val="36"/>
        </w:rPr>
      </w:pPr>
      <w:bookmarkStart w:id="0" w:name="_Toc50034149"/>
      <w:r>
        <w:rPr>
          <w:rFonts w:hint="eastAsia" w:ascii="黑体" w:hAnsi="黑体" w:eastAsia="黑体"/>
          <w:b/>
          <w:bCs/>
          <w:sz w:val="36"/>
          <w:szCs w:val="36"/>
        </w:rPr>
        <w:t>第三十九号</w:t>
      </w:r>
      <w:r>
        <w:rPr>
          <w:rFonts w:ascii="黑体" w:hAnsi="黑体" w:eastAsia="黑体"/>
          <w:b/>
          <w:bCs/>
          <w:sz w:val="36"/>
          <w:szCs w:val="36"/>
        </w:rPr>
        <w:t xml:space="preserve"> </w:t>
      </w:r>
      <w:r>
        <w:rPr>
          <w:rFonts w:hint="eastAsia" w:ascii="黑体" w:hAnsi="黑体" w:eastAsia="黑体"/>
          <w:b/>
          <w:bCs/>
          <w:sz w:val="36"/>
          <w:szCs w:val="36"/>
        </w:rPr>
        <w:t>上市公司回购股份实施结果暨股份变动公告</w:t>
      </w:r>
      <w:bookmarkEnd w:id="0"/>
    </w:p>
    <w:p>
      <w:pPr>
        <w:autoSpaceDE w:val="0"/>
        <w:autoSpaceDN w:val="0"/>
        <w:adjustRightInd w:val="0"/>
        <w:spacing w:line="560" w:lineRule="exact"/>
        <w:jc w:val="center"/>
        <w:rPr>
          <w:rFonts w:ascii="宋体" w:hAnsi="宋体" w:cs="楷体_GB2312-WinCharSetFFFF-H"/>
          <w:color w:val="000000"/>
          <w:kern w:val="0"/>
          <w:sz w:val="32"/>
          <w:szCs w:val="32"/>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bookmarkStart w:id="1" w:name="_GoBack"/>
      <w:bookmarkEnd w:id="1"/>
      <w:r>
        <w:rPr>
          <w:rFonts w:hint="eastAsia" w:ascii="仿宋_GB2312" w:eastAsia="仿宋_GB2312"/>
          <w:color w:val="000000"/>
          <w:sz w:val="30"/>
          <w:szCs w:val="30"/>
        </w:rPr>
        <w:t>.</w:t>
      </w:r>
      <w:r>
        <w:rPr>
          <w:rFonts w:hint="eastAsia" w:ascii="仿宋_GB2312" w:eastAsia="仿宋_GB2312"/>
          <w:bCs/>
          <w:color w:val="000000"/>
          <w:sz w:val="30"/>
          <w:szCs w:val="30"/>
        </w:rPr>
        <w:t>上市公司以集中竞价交易方式回购股份，编制披露股份回购实施结果暨股份变动公告的，适用本公告格式</w:t>
      </w:r>
      <w:r>
        <w:rPr>
          <w:rFonts w:hint="eastAsia" w:ascii="仿宋_GB2312" w:eastAsia="仿宋_GB2312"/>
          <w:color w:val="000000"/>
          <w:sz w:val="30"/>
          <w:szCs w:val="30"/>
        </w:rPr>
        <w:t>。</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2.上市公司以要约方式回购股份，</w:t>
      </w:r>
      <w:r>
        <w:rPr>
          <w:rFonts w:hint="eastAsia" w:ascii="仿宋_GB2312" w:eastAsia="仿宋_GB2312"/>
          <w:bCs/>
          <w:color w:val="000000"/>
          <w:sz w:val="30"/>
          <w:szCs w:val="30"/>
        </w:rPr>
        <w:t>编制披露股份回购实施结果暨股份变动公告</w:t>
      </w:r>
      <w:r>
        <w:rPr>
          <w:rFonts w:hint="eastAsia" w:ascii="仿宋_GB2312" w:eastAsia="仿宋_GB2312"/>
          <w:color w:val="000000"/>
          <w:sz w:val="30"/>
          <w:szCs w:val="30"/>
        </w:rPr>
        <w:t>的，参照适用本公告格式。</w:t>
      </w:r>
    </w:p>
    <w:p>
      <w:pPr>
        <w:spacing w:line="560" w:lineRule="exact"/>
        <w:rPr>
          <w:rFonts w:ascii="仿宋_GB2312" w:hAnsi="宋体" w:eastAsia="仿宋_GB2312" w:cs="宋体"/>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outlineLvl w:val="0"/>
        <w:rPr>
          <w:rFonts w:ascii="仿宋_GB2312" w:hAnsi="宋体" w:eastAsia="仿宋_GB2312" w:cs="黑体-WinCharSetFFFF-H"/>
          <w:kern w:val="0"/>
          <w:sz w:val="30"/>
          <w:szCs w:val="30"/>
        </w:rPr>
      </w:pPr>
      <w:r>
        <w:rPr>
          <w:rFonts w:hint="eastAsia" w:ascii="仿宋_GB2312" w:hAnsi="宋体" w:eastAsia="仿宋_GB2312"/>
          <w:color w:val="000000"/>
          <w:sz w:val="30"/>
          <w:szCs w:val="30"/>
        </w:rPr>
        <w:t>XXXX股份有限公司关于股份回购实施结果暨股份变动公告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一、回购审批情况和回购方案内容</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XXXX年XX月XX日公司召开第XX届董事会第XX次会议/XXXX年第XX次股东大会，审议通过了回购股份方案。XXXX年XX月XX日，公司披露回购报告书。本次回购股份方案的主要内容如下……</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（编制提醒：公司根据回购股份方案简要披露方案内容）</w:t>
      </w:r>
    </w:p>
    <w:p>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p>
    <w:p>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二、回购实施情况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（一）XXXX年XX月XX日，公司首次实施回购股份，并于XXXX年XX月XX日披露了首次回购股份情况，详见公司XXXX年-XX号公告。</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（二）XXXX年XX月XX日，公司完成回购，已实际回购公司股份XX股，占公司总股本的XX%，回购最高价格XX元/股，回购最低价格XX元/股，回购均价XX元/股，使用资金总额XX万元。</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（三）回购方案实际执行情况与原披露的回购方案是/否存在差异。</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如是，差异情况如下……产生差异的原因为……</w:t>
      </w:r>
    </w:p>
    <w:p>
      <w:pPr>
        <w:autoSpaceDE w:val="0"/>
        <w:autoSpaceDN w:val="0"/>
        <w:adjustRightInd w:val="0"/>
        <w:spacing w:line="560" w:lineRule="exact"/>
        <w:ind w:firstLine="600" w:firstLineChars="200"/>
        <w:rPr>
          <w:rFonts w:ascii="楷体" w:hAnsi="楷体" w:eastAsia="楷体" w:cs="宋体-WinCharSetFFFF-H"/>
          <w:color w:val="000000"/>
          <w:kern w:val="0"/>
          <w:sz w:val="24"/>
          <w:szCs w:val="24"/>
        </w:rPr>
      </w:pPr>
      <w:r>
        <w:rPr>
          <w:rFonts w:hint="eastAsia" w:ascii="仿宋_GB2312" w:eastAsia="仿宋_GB2312"/>
          <w:color w:val="000000"/>
          <w:sz w:val="30"/>
          <w:szCs w:val="30"/>
        </w:rPr>
        <w:t>如否，说明：回购方案实际执行情况与原披露的回购方案不存在差异，公司已按披露的方案完成回购。</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（四）本次股份回购方案的实施对公司的影响</w:t>
      </w:r>
    </w:p>
    <w:p>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p>
    <w:p>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三、回购期间相关主体买卖股票情况</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XXXX年XX月XX日，公司首次披露了回购股份事项，详见公司XXXX年-XX号公告。截至本公告披露前，董监高、控股股东、实际控制人、回购股份提议人在此期间买卖公司股票的情况及理由如下</w:t>
      </w:r>
    </w:p>
    <w:p>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应当在公告中披露，董监高、控股股东、实际控制人、回购股份提议人，在公司首次披露回购股份事项之日起至发布回购结果暨股份变动公告前一日买卖股票的情况及理由。如上述主体在此期间未有买卖公司股票，也应当予说明）</w:t>
      </w:r>
    </w:p>
    <w:p>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p>
    <w:p>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四、股份注销安排（如适用）</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经公司申请，公司将于XXXX年XX月XX日在中国证券登记结算有限责任公司注销本次所回购的股份XX股，并及时办理变更登记手续等相关事宜。</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如公司在首次注销后，后续根据使用情况继续注销已回购股份的，还需披露此前注销的相关情况，包括已注销的股份数量、注销日期以及注销是否符合相关规定等。</w:t>
      </w:r>
    </w:p>
    <w:p>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1.公司回购股份用于减少注册资本的，应当在回购完成后按规定及时注销；</w:t>
      </w:r>
    </w:p>
    <w:p>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2.公司在首次注销后，后续根据使用情况继续注销已回购股份的，应当另行单独披露股份注销公告，并说明此前注销的相关情况，包括已注销的股份数量、注销日期以及注销是否符合相关规定等。）</w:t>
      </w:r>
    </w:p>
    <w:p>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p>
    <w:p>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五、股份变动表（如适用）</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本次股份回购及注销前后，公司股份变动情况如下：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276"/>
        <w:gridCol w:w="992"/>
        <w:gridCol w:w="1417"/>
        <w:gridCol w:w="1418"/>
        <w:gridCol w:w="983"/>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股份类别</w:t>
            </w:r>
          </w:p>
        </w:tc>
        <w:tc>
          <w:tcPr>
            <w:tcW w:w="2268" w:type="dxa"/>
            <w:gridSpan w:val="2"/>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本次回购前</w:t>
            </w:r>
          </w:p>
        </w:tc>
        <w:tc>
          <w:tcPr>
            <w:tcW w:w="2835" w:type="dxa"/>
            <w:gridSpan w:val="2"/>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本次回购股份总数</w:t>
            </w:r>
          </w:p>
        </w:tc>
        <w:tc>
          <w:tcPr>
            <w:tcW w:w="1893" w:type="dxa"/>
            <w:gridSpan w:val="2"/>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276"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股份数</w:t>
            </w:r>
          </w:p>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992"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比例</w:t>
            </w:r>
          </w:p>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c>
          <w:tcPr>
            <w:tcW w:w="1417"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本次注销</w:t>
            </w:r>
          </w:p>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w:t>
            </w:r>
          </w:p>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1418"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本次不注销</w:t>
            </w:r>
          </w:p>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w:t>
            </w:r>
          </w:p>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983"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股份数</w:t>
            </w:r>
          </w:p>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w:t>
            </w:r>
          </w:p>
        </w:tc>
        <w:tc>
          <w:tcPr>
            <w:tcW w:w="910"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比例</w:t>
            </w:r>
          </w:p>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有限售股份</w:t>
            </w:r>
          </w:p>
        </w:tc>
        <w:tc>
          <w:tcPr>
            <w:tcW w:w="1276"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92"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7"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8"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83"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10"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无限售股份</w:t>
            </w:r>
          </w:p>
        </w:tc>
        <w:tc>
          <w:tcPr>
            <w:tcW w:w="1276"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92"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7"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1418"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83"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10"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r>
              <w:rPr>
                <w:rFonts w:hint="eastAsia" w:ascii="仿宋_GB2312" w:hAnsi="宋体" w:eastAsia="仿宋_GB2312" w:cs="宋体"/>
                <w:color w:val="000000"/>
                <w:kern w:val="0"/>
                <w:sz w:val="24"/>
                <w:szCs w:val="21"/>
              </w:rPr>
              <w:t>股份总数</w:t>
            </w:r>
          </w:p>
        </w:tc>
        <w:tc>
          <w:tcPr>
            <w:tcW w:w="1276"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92"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2835" w:type="dxa"/>
            <w:gridSpan w:val="2"/>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83"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c>
          <w:tcPr>
            <w:tcW w:w="910" w:type="dxa"/>
          </w:tcPr>
          <w:p>
            <w:pPr>
              <w:autoSpaceDE w:val="0"/>
              <w:autoSpaceDN w:val="0"/>
              <w:adjustRightInd w:val="0"/>
              <w:snapToGrid w:val="0"/>
              <w:spacing w:before="156" w:beforeLines="50" w:after="156" w:afterLines="50" w:line="560" w:lineRule="exact"/>
              <w:jc w:val="center"/>
              <w:rPr>
                <w:rFonts w:ascii="仿宋_GB2312" w:hAnsi="宋体" w:eastAsia="仿宋_GB2312" w:cs="宋体"/>
                <w:color w:val="000000"/>
                <w:kern w:val="0"/>
                <w:sz w:val="24"/>
                <w:szCs w:val="21"/>
              </w:rPr>
            </w:pPr>
          </w:p>
        </w:tc>
      </w:tr>
    </w:tbl>
    <w:p>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p>
    <w:p>
      <w:pPr>
        <w:autoSpaceDE w:val="0"/>
        <w:autoSpaceDN w:val="0"/>
        <w:adjustRightInd w:val="0"/>
        <w:spacing w:line="560" w:lineRule="exact"/>
        <w:ind w:firstLine="602" w:firstLineChars="200"/>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六、已回购股份的处理安排</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公司本次总计回购股份XX股，其中本次注销XX股。本次注销后，公司已回购股份剩余XX股，根据回购股份方案拟用于……</w:t>
      </w:r>
    </w:p>
    <w:p>
      <w:pPr>
        <w:autoSpaceDE w:val="0"/>
        <w:autoSpaceDN w:val="0"/>
        <w:adjustRightIn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（编制提醒：公司应当根据此前披露的回购方案，披露剩余已回购股份的各具体用途及其对应的股份数量）</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后续，公司将按照披露的用途使用已回购未注销的股份，并按规定履行决策程序和信息披露义务。</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pPr>
        <w:spacing w:line="560" w:lineRule="exact"/>
        <w:jc w:val="right"/>
        <w:rPr>
          <w:rFonts w:ascii="仿宋_GB2312" w:hAnsi="宋体" w:eastAsia="仿宋_GB2312" w:cs="宋体-WinCharSetFFFF-H"/>
          <w:color w:val="000000"/>
          <w:kern w:val="0"/>
          <w:sz w:val="30"/>
          <w:szCs w:val="30"/>
        </w:rPr>
      </w:pPr>
    </w:p>
    <w:p>
      <w:pPr>
        <w:pStyle w:val="12"/>
        <w:numPr>
          <w:ilvl w:val="0"/>
          <w:numId w:val="1"/>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中国证券登记结算有限责任公司出具的回购专用账户持股数量查询证明（如有）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WinCharSetFFFF-H">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WinCharSetFFFF-H">
    <w:altName w:val="方正舒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宋体-WinCharSetFFFF-H">
    <w:altName w:val="方正舒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docPartObj>
        <w:docPartGallery w:val="AutoText"/>
      </w:docPartObj>
    </w:sdtPr>
    <w:sdtContent>
      <w:p>
        <w:pPr>
          <w:pStyle w:val="5"/>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4</w:t>
        </w:r>
        <w:r>
          <w:rPr>
            <w:rFonts w:ascii="Times New Roman" w:hAnsi="Times New Roma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52E7B"/>
    <w:rsid w:val="000C18FC"/>
    <w:rsid w:val="00126188"/>
    <w:rsid w:val="00134B64"/>
    <w:rsid w:val="001368F4"/>
    <w:rsid w:val="001A3C0C"/>
    <w:rsid w:val="001B54D4"/>
    <w:rsid w:val="00207347"/>
    <w:rsid w:val="002222A7"/>
    <w:rsid w:val="002772BC"/>
    <w:rsid w:val="002D12FF"/>
    <w:rsid w:val="00313A26"/>
    <w:rsid w:val="00380BDE"/>
    <w:rsid w:val="003859E1"/>
    <w:rsid w:val="003E35D1"/>
    <w:rsid w:val="003E77E1"/>
    <w:rsid w:val="00412966"/>
    <w:rsid w:val="00464767"/>
    <w:rsid w:val="0052222A"/>
    <w:rsid w:val="005330C2"/>
    <w:rsid w:val="00553F39"/>
    <w:rsid w:val="00565E3E"/>
    <w:rsid w:val="005A3D38"/>
    <w:rsid w:val="00631267"/>
    <w:rsid w:val="00657DC3"/>
    <w:rsid w:val="006664C6"/>
    <w:rsid w:val="006754DD"/>
    <w:rsid w:val="00675CC2"/>
    <w:rsid w:val="006854DF"/>
    <w:rsid w:val="006B3385"/>
    <w:rsid w:val="006B45CE"/>
    <w:rsid w:val="00733960"/>
    <w:rsid w:val="007D646F"/>
    <w:rsid w:val="007F3A6E"/>
    <w:rsid w:val="00833797"/>
    <w:rsid w:val="00834BD2"/>
    <w:rsid w:val="00836947"/>
    <w:rsid w:val="008C6A68"/>
    <w:rsid w:val="008C746A"/>
    <w:rsid w:val="008E2FF0"/>
    <w:rsid w:val="00931470"/>
    <w:rsid w:val="00952667"/>
    <w:rsid w:val="009D1194"/>
    <w:rsid w:val="00A22E16"/>
    <w:rsid w:val="00A317FA"/>
    <w:rsid w:val="00A878F9"/>
    <w:rsid w:val="00AA1DF6"/>
    <w:rsid w:val="00AC6182"/>
    <w:rsid w:val="00B03151"/>
    <w:rsid w:val="00B3338B"/>
    <w:rsid w:val="00BF2ECD"/>
    <w:rsid w:val="00C16E9C"/>
    <w:rsid w:val="00C51D1D"/>
    <w:rsid w:val="00C578DC"/>
    <w:rsid w:val="00C8167E"/>
    <w:rsid w:val="00C8380C"/>
    <w:rsid w:val="00C85226"/>
    <w:rsid w:val="00CA609C"/>
    <w:rsid w:val="00CC3984"/>
    <w:rsid w:val="00CD0630"/>
    <w:rsid w:val="00D14999"/>
    <w:rsid w:val="00D40AC8"/>
    <w:rsid w:val="00D97E3F"/>
    <w:rsid w:val="00DD5D73"/>
    <w:rsid w:val="00E051EE"/>
    <w:rsid w:val="00E0626B"/>
    <w:rsid w:val="00E456BC"/>
    <w:rsid w:val="00E55592"/>
    <w:rsid w:val="00E918DC"/>
    <w:rsid w:val="00E92CF7"/>
    <w:rsid w:val="00EC1472"/>
    <w:rsid w:val="00FA387C"/>
    <w:rsid w:val="00FE5BD7"/>
    <w:rsid w:val="00FF68E4"/>
    <w:rsid w:val="1720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4"/>
    <w:semiHidden/>
    <w:unhideWhenUsed/>
    <w:uiPriority w:val="99"/>
    <w:rPr>
      <w:rFonts w:ascii="宋体"/>
      <w:sz w:val="18"/>
      <w:szCs w:val="18"/>
    </w:r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字符"/>
    <w:basedOn w:val="9"/>
    <w:link w:val="5"/>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页眉 字符"/>
    <w:basedOn w:val="9"/>
    <w:link w:val="6"/>
    <w:uiPriority w:val="99"/>
    <w:rPr>
      <w:rFonts w:ascii="Calibri" w:hAnsi="Calibri" w:eastAsia="宋体" w:cs="Times New Roman"/>
      <w:sz w:val="18"/>
      <w:szCs w:val="18"/>
    </w:rPr>
  </w:style>
  <w:style w:type="character" w:customStyle="1" w:styleId="14">
    <w:name w:val="文档结构图 字符"/>
    <w:basedOn w:val="9"/>
    <w:link w:val="2"/>
    <w:semiHidden/>
    <w:uiPriority w:val="99"/>
    <w:rPr>
      <w:rFonts w:ascii="宋体" w:hAnsi="Calibri" w:eastAsia="宋体" w:cs="Times New Roman"/>
      <w:sz w:val="18"/>
      <w:szCs w:val="18"/>
    </w:rPr>
  </w:style>
  <w:style w:type="character" w:customStyle="1" w:styleId="15">
    <w:name w:val="批注框文本 字符"/>
    <w:basedOn w:val="9"/>
    <w:link w:val="4"/>
    <w:semiHidden/>
    <w:uiPriority w:val="99"/>
    <w:rPr>
      <w:rFonts w:ascii="Calibri" w:hAnsi="Calibri" w:eastAsia="宋体" w:cs="Times New Roman"/>
      <w:sz w:val="18"/>
      <w:szCs w:val="18"/>
    </w:rPr>
  </w:style>
  <w:style w:type="character" w:customStyle="1" w:styleId="16">
    <w:name w:val="批注文字 字符"/>
    <w:basedOn w:val="9"/>
    <w:link w:val="3"/>
    <w:semiHidden/>
    <w:qFormat/>
    <w:uiPriority w:val="99"/>
    <w:rPr>
      <w:rFonts w:ascii="Calibri" w:hAnsi="Calibri" w:eastAsia="宋体" w:cs="Times New Roman"/>
    </w:rPr>
  </w:style>
  <w:style w:type="character" w:customStyle="1" w:styleId="17">
    <w:name w:val="批注主题 字符"/>
    <w:basedOn w:val="16"/>
    <w:link w:val="7"/>
    <w:semiHidden/>
    <w:qFormat/>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Words>
  <Characters>1410</Characters>
  <Lines>11</Lines>
  <Paragraphs>3</Paragraphs>
  <TotalTime>3</TotalTime>
  <ScaleCrop>false</ScaleCrop>
  <LinksUpToDate>false</LinksUpToDate>
  <CharactersWithSpaces>1654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2022-04-23T07:29:00Z</dcterms:created>
  <dcterms:modified xsi:type="dcterms:W3CDTF">2023-08-04T05:41:27Z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BEC4B4AE87F24C81B816A6EC0F727563</vt:lpwstr>
  </property>
</Properties>
</file>