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bCs/>
          <w:sz w:val="36"/>
          <w:szCs w:val="36"/>
        </w:rPr>
      </w:pPr>
      <w:r>
        <w:rPr>
          <w:rFonts w:hint="eastAsia" w:ascii="黑体" w:hAnsi="黑体" w:eastAsia="黑体"/>
          <w:b/>
          <w:bCs/>
          <w:sz w:val="36"/>
          <w:szCs w:val="36"/>
        </w:rPr>
        <w:t>第四十七号 上市公司股东及董监高增持股份情况、计划、进展、结果公告</w:t>
      </w:r>
    </w:p>
    <w:p/>
    <w:p>
      <w:pPr>
        <w:autoSpaceDE w:val="0"/>
        <w:autoSpaceDN w:val="0"/>
        <w:adjustRightInd w:val="0"/>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pPr>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1.</w:t>
      </w:r>
      <w:r>
        <w:rPr>
          <w:rFonts w:hint="eastAsia" w:ascii="仿宋_GB2312" w:eastAsia="仿宋_GB2312"/>
          <w:color w:val="000000"/>
          <w:sz w:val="30"/>
          <w:szCs w:val="30"/>
        </w:rPr>
        <w:t>本所《上市公司自律监管指引第</w:t>
      </w:r>
      <w:r>
        <w:rPr>
          <w:rFonts w:ascii="仿宋_GB2312" w:eastAsia="仿宋_GB2312"/>
          <w:color w:val="000000"/>
          <w:sz w:val="30"/>
          <w:szCs w:val="30"/>
        </w:rPr>
        <w:t>8</w:t>
      </w:r>
      <w:r>
        <w:rPr>
          <w:rFonts w:hint="eastAsia" w:ascii="仿宋_GB2312" w:eastAsia="仿宋_GB2312"/>
          <w:color w:val="000000"/>
          <w:sz w:val="30"/>
          <w:szCs w:val="30"/>
        </w:rPr>
        <w:t>号——股份变动管理》规定的大股东在未披露股份增持计划的情况下，首次披露其股份增持情况并且拟继续增持的，或者在增持前拟提前披露增持计划的，适用本公告格式进行披露。</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w:t>
      </w:r>
      <w:r>
        <w:rPr>
          <w:rFonts w:ascii="仿宋_GB2312" w:eastAsia="仿宋_GB2312"/>
          <w:color w:val="000000"/>
          <w:sz w:val="30"/>
          <w:szCs w:val="30"/>
        </w:rPr>
        <w:t>.</w:t>
      </w:r>
      <w:r>
        <w:rPr>
          <w:rFonts w:hint="eastAsia" w:ascii="仿宋_GB2312" w:eastAsia="仿宋_GB2312"/>
          <w:color w:val="000000"/>
          <w:sz w:val="30"/>
          <w:szCs w:val="30"/>
        </w:rPr>
        <w:t>上市公司其他股东及董事、监事、高级管理人员（以下简称董监高）披露拟通过证券交易</w:t>
      </w:r>
      <w:bookmarkStart w:id="7" w:name="_GoBack"/>
      <w:bookmarkEnd w:id="7"/>
      <w:r>
        <w:rPr>
          <w:rFonts w:hint="eastAsia" w:ascii="仿宋_GB2312" w:eastAsia="仿宋_GB2312"/>
          <w:color w:val="000000"/>
          <w:sz w:val="30"/>
          <w:szCs w:val="30"/>
        </w:rPr>
        <w:t>所集中竞价交易增持股份计划的，参照适用本公告格式。</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w:t>
      </w:r>
      <w:r>
        <w:rPr>
          <w:rFonts w:ascii="仿宋_GB2312" w:eastAsia="仿宋_GB2312"/>
          <w:color w:val="000000"/>
          <w:sz w:val="30"/>
          <w:szCs w:val="30"/>
        </w:rPr>
        <w:t>A+H股上市公司的</w:t>
      </w:r>
      <w:r>
        <w:rPr>
          <w:rFonts w:hint="eastAsia" w:ascii="仿宋_GB2312" w:eastAsia="仿宋_GB2312"/>
          <w:color w:val="000000"/>
          <w:sz w:val="30"/>
          <w:szCs w:val="30"/>
        </w:rPr>
        <w:t>相关股东或董监高仅增持</w:t>
      </w:r>
      <w:r>
        <w:rPr>
          <w:rFonts w:ascii="仿宋_GB2312" w:eastAsia="仿宋_GB2312"/>
          <w:color w:val="000000"/>
          <w:sz w:val="30"/>
          <w:szCs w:val="30"/>
        </w:rPr>
        <w:t>H股股份的，不适用本</w:t>
      </w:r>
      <w:r>
        <w:rPr>
          <w:rFonts w:hint="eastAsia" w:ascii="仿宋_GB2312" w:eastAsia="仿宋_GB2312"/>
          <w:color w:val="000000"/>
          <w:sz w:val="30"/>
          <w:szCs w:val="30"/>
        </w:rPr>
        <w:t>公告格式</w:t>
      </w:r>
      <w:r>
        <w:rPr>
          <w:rFonts w:ascii="仿宋_GB2312" w:eastAsia="仿宋_GB2312"/>
          <w:color w:val="000000"/>
          <w:sz w:val="30"/>
          <w:szCs w:val="30"/>
        </w:rPr>
        <w:t>，但应当遵守A股和H股市场同步信息披露的相关规定。</w:t>
      </w:r>
    </w:p>
    <w:p>
      <w:pPr>
        <w:autoSpaceDE w:val="0"/>
        <w:autoSpaceDN w:val="0"/>
        <w:adjustRightInd w:val="0"/>
        <w:spacing w:line="540" w:lineRule="exact"/>
        <w:jc w:val="center"/>
        <w:rPr>
          <w:rFonts w:ascii="仿宋_GB2312" w:hAnsi="宋体" w:eastAsia="仿宋_GB2312"/>
          <w:color w:val="000000"/>
          <w:sz w:val="28"/>
          <w:szCs w:val="28"/>
        </w:rPr>
      </w:pPr>
    </w:p>
    <w:p>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pPr>
        <w:snapToGrid w:val="0"/>
        <w:spacing w:line="560" w:lineRule="exact"/>
        <w:jc w:val="center"/>
        <w:rPr>
          <w:rFonts w:ascii="仿宋_GB2312" w:hAnsi="宋体" w:eastAsia="仿宋_GB2312"/>
          <w:color w:val="000000"/>
          <w:sz w:val="30"/>
          <w:szCs w:val="30"/>
        </w:rPr>
      </w:pPr>
    </w:p>
    <w:p>
      <w:pPr>
        <w:snapToGrid w:val="0"/>
        <w:spacing w:line="560" w:lineRule="exact"/>
        <w:jc w:val="center"/>
        <w:rPr>
          <w:rFonts w:ascii="仿宋_GB2312" w:hAnsi="宋体" w:eastAsia="仿宋_GB2312"/>
          <w:color w:val="000000"/>
          <w:sz w:val="30"/>
          <w:szCs w:val="30"/>
        </w:rPr>
      </w:pPr>
      <w:r>
        <w:rPr>
          <w:rFonts w:hint="eastAsia" w:ascii="仿宋_GB2312" w:hAnsi="宋体" w:eastAsia="仿宋_GB2312"/>
          <w:color w:val="000000"/>
          <w:sz w:val="30"/>
          <w:szCs w:val="30"/>
        </w:rPr>
        <w:t>X</w:t>
      </w:r>
      <w:r>
        <w:rPr>
          <w:rFonts w:ascii="仿宋_GB2312" w:hAnsi="宋体" w:eastAsia="仿宋_GB2312"/>
          <w:color w:val="000000"/>
          <w:sz w:val="30"/>
          <w:szCs w:val="30"/>
        </w:rPr>
        <w:t>XXX</w:t>
      </w:r>
      <w:r>
        <w:rPr>
          <w:rFonts w:hint="eastAsia" w:ascii="仿宋_GB2312" w:hAnsi="宋体" w:eastAsia="仿宋_GB2312"/>
          <w:color w:val="000000"/>
          <w:sz w:val="30"/>
          <w:szCs w:val="30"/>
        </w:rPr>
        <w:t>股份有限公司股东及董监高增持股份</w:t>
      </w:r>
    </w:p>
    <w:p>
      <w:pPr>
        <w:snapToGrid w:val="0"/>
        <w:spacing w:line="560" w:lineRule="exact"/>
        <w:jc w:val="center"/>
        <w:rPr>
          <w:rFonts w:ascii="仿宋_GB2312" w:hAnsi="宋体" w:eastAsia="仿宋_GB2312"/>
          <w:color w:val="000000"/>
          <w:sz w:val="30"/>
          <w:szCs w:val="30"/>
        </w:rPr>
      </w:pPr>
      <w:r>
        <w:rPr>
          <w:rFonts w:hint="eastAsia" w:ascii="仿宋_GB2312" w:hAnsi="宋体" w:eastAsia="仿宋_GB2312"/>
          <w:color w:val="000000"/>
          <w:sz w:val="30"/>
          <w:szCs w:val="30"/>
        </w:rPr>
        <w:t>情况</w:t>
      </w:r>
      <w:r>
        <w:rPr>
          <w:rFonts w:ascii="仿宋_GB2312" w:hAnsi="宋体" w:eastAsia="仿宋_GB2312"/>
          <w:color w:val="000000"/>
          <w:sz w:val="30"/>
          <w:szCs w:val="30"/>
        </w:rPr>
        <w:t>/</w:t>
      </w:r>
      <w:r>
        <w:rPr>
          <w:rFonts w:hint="eastAsia" w:ascii="仿宋_GB2312" w:hAnsi="宋体" w:eastAsia="仿宋_GB2312"/>
          <w:color w:val="000000"/>
          <w:sz w:val="30"/>
          <w:szCs w:val="30"/>
        </w:rPr>
        <w:t>计划</w:t>
      </w:r>
      <w:r>
        <w:rPr>
          <w:rFonts w:ascii="仿宋_GB2312" w:hAnsi="宋体" w:eastAsia="仿宋_GB2312"/>
          <w:color w:val="000000"/>
          <w:sz w:val="30"/>
          <w:szCs w:val="30"/>
        </w:rPr>
        <w:t>/进展/结果公告</w:t>
      </w:r>
    </w:p>
    <w:p>
      <w:pPr>
        <w:snapToGrid w:val="0"/>
        <w:spacing w:line="540" w:lineRule="exact"/>
        <w:jc w:val="center"/>
        <w:rPr>
          <w:rFonts w:ascii="仿宋_GB2312" w:hAnsi="宋体" w:eastAsia="仿宋_GB2312"/>
          <w:color w:val="000000"/>
          <w:sz w:val="28"/>
          <w:szCs w:val="28"/>
        </w:rPr>
      </w:pPr>
    </w:p>
    <w:p>
      <w:pPr>
        <w:pBdr>
          <w:top w:val="single" w:color="auto" w:sz="4" w:space="1"/>
          <w:left w:val="single" w:color="auto" w:sz="4" w:space="4"/>
          <w:bottom w:val="single" w:color="auto" w:sz="4" w:space="2"/>
          <w:right w:val="single" w:color="auto" w:sz="4" w:space="4"/>
        </w:pBdr>
        <w:adjustRightIn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本公司董事会、全体董事及相关股东保证本公告内容不存在任何虚假记载、误导性陈述或者重大遗漏，并对其内容的真实性、准确性和完整性承担法律责任。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2"/>
          <w:right w:val="single" w:color="auto" w:sz="4" w:space="4"/>
        </w:pBdr>
        <w:adjustRightIn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如有董事对临时公告内容的真实性、准确性和完整性无法保证或存在异议的，公司应当在公告中作特别提示。</w:t>
      </w:r>
    </w:p>
    <w:p>
      <w:pPr>
        <w:adjustRightInd w:val="0"/>
        <w:snapToGrid w:val="0"/>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pPr>
        <w:numPr>
          <w:ilvl w:val="0"/>
          <w:numId w:val="1"/>
        </w:numPr>
        <w:adjustRightInd w:val="0"/>
        <w:snapToGrid w:val="0"/>
        <w:spacing w:line="560" w:lineRule="exact"/>
        <w:rPr>
          <w:rFonts w:ascii="仿宋_GB2312" w:eastAsia="仿宋_GB2312"/>
          <w:color w:val="000000"/>
          <w:sz w:val="30"/>
          <w:szCs w:val="30"/>
        </w:rPr>
      </w:pPr>
      <w:r>
        <w:rPr>
          <w:rFonts w:hint="eastAsia" w:ascii="仿宋_GB2312" w:eastAsia="仿宋_GB2312"/>
          <w:color w:val="000000"/>
          <w:sz w:val="30"/>
          <w:szCs w:val="30"/>
        </w:rPr>
        <w:t>首次增持的时间及方式、增持的数量及比例</w:t>
      </w:r>
    </w:p>
    <w:p>
      <w:pPr>
        <w:numPr>
          <w:ilvl w:val="0"/>
          <w:numId w:val="1"/>
        </w:numPr>
        <w:adjustRightInd w:val="0"/>
        <w:snapToGrid w:val="0"/>
        <w:spacing w:line="560" w:lineRule="exact"/>
        <w:rPr>
          <w:rFonts w:ascii="仿宋_GB2312" w:eastAsia="仿宋_GB2312"/>
          <w:color w:val="000000"/>
          <w:sz w:val="30"/>
          <w:szCs w:val="30"/>
        </w:rPr>
      </w:pPr>
      <w:r>
        <w:rPr>
          <w:rFonts w:hint="eastAsia" w:ascii="仿宋_GB2312" w:eastAsia="仿宋_GB2312"/>
          <w:color w:val="000000"/>
          <w:sz w:val="30"/>
          <w:szCs w:val="30"/>
        </w:rPr>
        <w:t>增持计划的数量或金额规模、增持方式、实施期限等基本情况</w:t>
      </w:r>
    </w:p>
    <w:p>
      <w:pPr>
        <w:numPr>
          <w:ilvl w:val="0"/>
          <w:numId w:val="1"/>
        </w:numPr>
        <w:adjustRightInd w:val="0"/>
        <w:snapToGrid w:val="0"/>
        <w:spacing w:line="560" w:lineRule="exact"/>
        <w:rPr>
          <w:rFonts w:ascii="仿宋_GB2312" w:eastAsia="仿宋_GB2312"/>
          <w:color w:val="000000"/>
          <w:sz w:val="30"/>
          <w:szCs w:val="30"/>
        </w:rPr>
      </w:pPr>
      <w:r>
        <w:rPr>
          <w:rFonts w:hint="eastAsia" w:ascii="仿宋_GB2312" w:eastAsia="仿宋_GB2312" w:hAnsiTheme="minorEastAsia"/>
          <w:color w:val="000000" w:themeColor="text1"/>
          <w:kern w:val="0"/>
          <w:sz w:val="30"/>
          <w:szCs w:val="30"/>
        </w:rPr>
        <w:t>相关增持计划的其他实施条件（如有）</w:t>
      </w:r>
    </w:p>
    <w:p>
      <w:pPr>
        <w:numPr>
          <w:ilvl w:val="0"/>
          <w:numId w:val="1"/>
        </w:numPr>
        <w:adjustRightInd w:val="0"/>
        <w:snapToGrid w:val="0"/>
        <w:spacing w:line="560" w:lineRule="exact"/>
        <w:rPr>
          <w:rFonts w:ascii="仿宋_GB2312" w:eastAsia="仿宋_GB2312"/>
          <w:color w:val="000000"/>
          <w:sz w:val="30"/>
          <w:szCs w:val="30"/>
        </w:rPr>
      </w:pPr>
      <w:r>
        <w:rPr>
          <w:rFonts w:hint="eastAsia" w:ascii="仿宋_GB2312" w:eastAsia="仿宋_GB2312"/>
          <w:color w:val="000000"/>
          <w:sz w:val="30"/>
          <w:szCs w:val="30"/>
        </w:rPr>
        <w:t>增持计划的进展</w:t>
      </w:r>
      <w:r>
        <w:rPr>
          <w:rFonts w:ascii="仿宋_GB2312" w:eastAsia="仿宋_GB2312"/>
          <w:color w:val="000000"/>
          <w:sz w:val="30"/>
          <w:szCs w:val="30"/>
        </w:rPr>
        <w:t>/结果</w:t>
      </w:r>
      <w:r>
        <w:rPr>
          <w:rFonts w:hint="eastAsia" w:ascii="仿宋_GB2312" w:eastAsia="仿宋_GB2312"/>
          <w:color w:val="000000"/>
          <w:sz w:val="30"/>
          <w:szCs w:val="30"/>
        </w:rPr>
        <w:t>相关风险提示</w:t>
      </w:r>
    </w:p>
    <w:p>
      <w:pPr>
        <w:widowControl/>
        <w:spacing w:line="600" w:lineRule="exact"/>
        <w:jc w:val="left"/>
        <w:rPr>
          <w:rFonts w:ascii="黑体" w:hAnsi="黑体" w:eastAsia="黑体" w:cs="宋体"/>
          <w:b/>
          <w:color w:val="000000"/>
          <w:kern w:val="0"/>
          <w:sz w:val="32"/>
          <w:szCs w:val="32"/>
        </w:rPr>
      </w:pPr>
    </w:p>
    <w:p>
      <w:pPr>
        <w:autoSpaceDE w:val="0"/>
        <w:autoSpaceDN w:val="0"/>
        <w:adjustRightInd w:val="0"/>
        <w:snapToGrid w:val="0"/>
        <w:spacing w:line="560" w:lineRule="exact"/>
        <w:ind w:firstLine="602" w:firstLineChars="200"/>
        <w:outlineLvl w:val="0"/>
        <w:rPr>
          <w:rFonts w:ascii="黑体" w:hAnsi="黑体" w:eastAsia="黑体"/>
          <w:b/>
          <w:sz w:val="30"/>
          <w:szCs w:val="30"/>
        </w:rPr>
      </w:pPr>
      <w:r>
        <w:rPr>
          <w:rFonts w:hint="eastAsia" w:ascii="黑体" w:hAnsi="黑体" w:eastAsia="黑体"/>
          <w:b/>
          <w:sz w:val="30"/>
          <w:szCs w:val="30"/>
        </w:rPr>
        <w:t>一、增持主体的基本情况</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（一）增持主体的名称或姓名、与上市公司的关系</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（二）增持主体已持有股份的数量、占公司总股本的比例等</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（三）增持主体在本次公告之前十二个月内已披露增持计划的，需要披露其完成情况</w:t>
      </w:r>
    </w:p>
    <w:p>
      <w:pPr>
        <w:autoSpaceDE w:val="0"/>
        <w:autoSpaceDN w:val="0"/>
        <w:adjustRightInd w:val="0"/>
        <w:snapToGri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（编制提醒：股东增持过程中严格遵守《上市公司收购管理办法》的相关规定，履行权益变动、收购相关的报告、公告义务）</w:t>
      </w:r>
    </w:p>
    <w:p>
      <w:pPr>
        <w:autoSpaceDE w:val="0"/>
        <w:autoSpaceDN w:val="0"/>
        <w:adjustRightInd w:val="0"/>
        <w:snapToGrid w:val="0"/>
        <w:spacing w:line="560" w:lineRule="exact"/>
        <w:ind w:firstLine="480" w:firstLineChars="200"/>
        <w:rPr>
          <w:rFonts w:ascii="楷体" w:hAnsi="楷体" w:eastAsia="楷体" w:cs="宋体-WinCharSetFFFF-H"/>
          <w:color w:val="000000"/>
          <w:kern w:val="0"/>
          <w:sz w:val="24"/>
          <w:szCs w:val="24"/>
        </w:rPr>
      </w:pPr>
    </w:p>
    <w:p>
      <w:pPr>
        <w:autoSpaceDE w:val="0"/>
        <w:autoSpaceDN w:val="0"/>
        <w:adjustRightInd w:val="0"/>
        <w:snapToGrid w:val="0"/>
        <w:spacing w:line="560" w:lineRule="exact"/>
        <w:ind w:firstLine="602" w:firstLineChars="200"/>
        <w:outlineLvl w:val="0"/>
        <w:rPr>
          <w:rFonts w:ascii="黑体" w:hAnsi="黑体" w:eastAsia="黑体"/>
          <w:b/>
          <w:sz w:val="30"/>
          <w:szCs w:val="30"/>
        </w:rPr>
      </w:pPr>
      <w:r>
        <w:rPr>
          <w:rFonts w:hint="eastAsia" w:ascii="黑体" w:hAnsi="黑体" w:eastAsia="黑体"/>
          <w:b/>
          <w:sz w:val="30"/>
          <w:szCs w:val="30"/>
        </w:rPr>
        <w:t>二、本次增持情况（如适用）</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（一）本次增持的股东、时间、方式、增持的数量及比例；</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（二）增持完成前后持股数量及比例（存在一致行动人的持股数量及比例需要合并计算）；</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（三）增持主体是否提出后续增持计划。</w:t>
      </w:r>
    </w:p>
    <w:p>
      <w:pPr>
        <w:autoSpaceDE w:val="0"/>
        <w:autoSpaceDN w:val="0"/>
        <w:adjustRightInd w:val="0"/>
        <w:snapToGri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（编制提醒：相关股东在首次增持行为发生后无后续增持计划的，也应当及时告知上市公司，通过上市公司进行披露）</w:t>
      </w:r>
    </w:p>
    <w:p>
      <w:pPr>
        <w:autoSpaceDE w:val="0"/>
        <w:autoSpaceDN w:val="0"/>
        <w:adjustRightInd w:val="0"/>
        <w:snapToGrid w:val="0"/>
        <w:spacing w:line="560" w:lineRule="exact"/>
        <w:ind w:firstLine="480" w:firstLineChars="200"/>
        <w:rPr>
          <w:rFonts w:ascii="楷体" w:hAnsi="楷体" w:eastAsia="楷体" w:cs="宋体-WinCharSetFFFF-H"/>
          <w:color w:val="000000"/>
          <w:kern w:val="0"/>
          <w:sz w:val="24"/>
          <w:szCs w:val="24"/>
        </w:rPr>
      </w:pPr>
    </w:p>
    <w:p>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三、增持计划的主要内容（如适用）</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（一）本次拟增持股份的目的。</w:t>
      </w:r>
      <w:bookmarkStart w:id="0" w:name="OLE_LINK14"/>
      <w:bookmarkStart w:id="1" w:name="OLE_LINK15"/>
      <w:r>
        <w:rPr>
          <w:rFonts w:hint="eastAsia" w:ascii="仿宋_GB2312" w:hAnsi="宋体" w:eastAsia="仿宋_GB2312"/>
          <w:color w:val="000000"/>
          <w:kern w:val="0"/>
          <w:sz w:val="30"/>
          <w:szCs w:val="30"/>
        </w:rPr>
        <w:t>增持目的需结合上市公司实际经营、未来发展趋势及股价变化等情况，符合客观实际。</w:t>
      </w:r>
      <w:bookmarkEnd w:id="0"/>
      <w:bookmarkEnd w:id="1"/>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（二）本次拟增持股份的种类和方式。相关增持主体需要明确增持股份种类为A股或B股，并且明确增持方式是集中竞价交易、大宗交易或者协议转让等。</w:t>
      </w:r>
    </w:p>
    <w:p>
      <w:pPr>
        <w:adjustRightInd w:val="0"/>
        <w:snapToGrid w:val="0"/>
        <w:spacing w:line="560" w:lineRule="exact"/>
        <w:ind w:firstLine="600" w:firstLineChars="200"/>
        <w:rPr>
          <w:rFonts w:ascii="仿宋_GB2312" w:eastAsia="仿宋_GB2312" w:hAnsiTheme="minorEastAsia"/>
          <w:color w:val="000000" w:themeColor="text1"/>
          <w:kern w:val="0"/>
          <w:sz w:val="30"/>
          <w:szCs w:val="30"/>
        </w:rPr>
      </w:pPr>
      <w:r>
        <w:rPr>
          <w:rFonts w:hint="eastAsia" w:ascii="仿宋_GB2312" w:hAnsi="宋体" w:eastAsia="仿宋_GB2312"/>
          <w:color w:val="000000"/>
          <w:kern w:val="0"/>
          <w:sz w:val="30"/>
          <w:szCs w:val="30"/>
        </w:rPr>
        <w:t>（三）本次拟增持股份的数量或金额。</w:t>
      </w:r>
      <w:bookmarkStart w:id="2" w:name="OLE_LINK20"/>
      <w:bookmarkStart w:id="3" w:name="OLE_LINK21"/>
      <w:r>
        <w:rPr>
          <w:rFonts w:hint="eastAsia" w:ascii="仿宋_GB2312" w:hAnsi="宋体" w:eastAsia="仿宋_GB2312"/>
          <w:color w:val="000000"/>
          <w:kern w:val="0"/>
          <w:sz w:val="30"/>
          <w:szCs w:val="30"/>
        </w:rPr>
        <w:t>增持数量或金额需要明确，如设置数量或金额区间的，区间范围需要审慎合理且具有可执行性，其上限和下限需要明确，上限不得超出下限的1倍，且下限不得为零；</w:t>
      </w:r>
      <w:r>
        <w:rPr>
          <w:rFonts w:hint="eastAsia" w:ascii="仿宋_GB2312" w:eastAsia="仿宋_GB2312" w:hAnsiTheme="minorEastAsia"/>
          <w:color w:val="000000" w:themeColor="text1"/>
          <w:kern w:val="0"/>
          <w:sz w:val="30"/>
          <w:szCs w:val="30"/>
        </w:rPr>
        <w:t>限定增持数量的，需要明确说明增持数量在发生股份发行、可转债转股等事项时的调整方式。</w:t>
      </w:r>
      <w:bookmarkEnd w:id="2"/>
      <w:bookmarkEnd w:id="3"/>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四）本次拟增持股份的价格（如有）。如设置固定价格、价格区间、定价原则或累计跌幅比例等实施前提的，需要根据公司股票近期价格波动及市场整体趋势予以审慎确定，确保实施增持计划有切实可行的价格窗口。如披露的增持价格上限明显偏离当时的市场价格，需要详细说明原因。</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（五）本次增持股份计划的实施期限。实施期限根据增持计划可行性、投资者预期等因素，限制在合理期限内</w:t>
      </w:r>
      <w:r>
        <w:rPr>
          <w:rFonts w:hint="eastAsia" w:ascii="仿宋_GB2312" w:eastAsia="仿宋_GB2312" w:hAnsiTheme="minorEastAsia"/>
          <w:color w:val="000000" w:themeColor="text1"/>
          <w:kern w:val="0"/>
          <w:sz w:val="30"/>
          <w:szCs w:val="30"/>
        </w:rPr>
        <w:t>。</w:t>
      </w:r>
      <w:r>
        <w:rPr>
          <w:rFonts w:hint="eastAsia" w:ascii="仿宋_GB2312" w:hAnsi="宋体" w:eastAsia="仿宋_GB2312"/>
          <w:color w:val="000000"/>
          <w:kern w:val="0"/>
          <w:sz w:val="30"/>
          <w:szCs w:val="30"/>
        </w:rPr>
        <w:t>如实施期限超过</w:t>
      </w:r>
      <w:r>
        <w:rPr>
          <w:rFonts w:ascii="仿宋_GB2312" w:hAnsi="宋体" w:eastAsia="仿宋_GB2312"/>
          <w:color w:val="000000"/>
          <w:kern w:val="0"/>
          <w:sz w:val="30"/>
          <w:szCs w:val="30"/>
        </w:rPr>
        <w:t>6个月的，</w:t>
      </w:r>
      <w:r>
        <w:rPr>
          <w:rFonts w:hint="eastAsia" w:ascii="仿宋_GB2312" w:hAnsi="宋体" w:eastAsia="仿宋_GB2312"/>
          <w:color w:val="000000"/>
          <w:kern w:val="0"/>
          <w:sz w:val="30"/>
          <w:szCs w:val="30"/>
        </w:rPr>
        <w:t>需要</w:t>
      </w:r>
      <w:r>
        <w:rPr>
          <w:rFonts w:ascii="仿宋_GB2312" w:hAnsi="宋体" w:eastAsia="仿宋_GB2312"/>
          <w:color w:val="000000"/>
          <w:kern w:val="0"/>
          <w:sz w:val="30"/>
          <w:szCs w:val="30"/>
        </w:rPr>
        <w:t>结合实际情况说明其理由。</w:t>
      </w:r>
      <w:r>
        <w:rPr>
          <w:rFonts w:hint="eastAsia" w:ascii="仿宋_GB2312" w:eastAsia="仿宋_GB2312" w:hAnsiTheme="minorEastAsia"/>
          <w:color w:val="000000" w:themeColor="text1"/>
          <w:kern w:val="0"/>
          <w:sz w:val="30"/>
          <w:szCs w:val="30"/>
        </w:rPr>
        <w:t>实施期限最长不得超过12个月</w:t>
      </w:r>
      <w:r>
        <w:rPr>
          <w:rFonts w:hint="eastAsia" w:ascii="仿宋_GB2312" w:hAnsi="宋体" w:eastAsia="仿宋_GB2312"/>
          <w:color w:val="000000"/>
          <w:kern w:val="0"/>
          <w:sz w:val="30"/>
          <w:szCs w:val="30"/>
        </w:rPr>
        <w:t>。</w:t>
      </w:r>
    </w:p>
    <w:p>
      <w:pPr>
        <w:autoSpaceDE w:val="0"/>
        <w:autoSpaceDN w:val="0"/>
        <w:adjustRightInd w:val="0"/>
        <w:snapToGrid w:val="0"/>
        <w:spacing w:line="560" w:lineRule="exact"/>
        <w:ind w:firstLine="600" w:firstLineChars="200"/>
        <w:rPr>
          <w:rFonts w:ascii="仿宋_GB2312" w:eastAsia="仿宋_GB2312" w:hAnsiTheme="minorEastAsia"/>
          <w:color w:val="000000" w:themeColor="text1"/>
          <w:kern w:val="0"/>
          <w:sz w:val="30"/>
          <w:szCs w:val="30"/>
        </w:rPr>
      </w:pPr>
      <w:r>
        <w:rPr>
          <w:rFonts w:hint="eastAsia" w:ascii="仿宋_GB2312" w:hAnsi="宋体" w:eastAsia="仿宋_GB2312"/>
          <w:color w:val="000000"/>
          <w:kern w:val="0"/>
          <w:sz w:val="30"/>
          <w:szCs w:val="30"/>
        </w:rPr>
        <w:t>（六）本次拟增持股份的资金安排。</w:t>
      </w:r>
      <w:r>
        <w:rPr>
          <w:rFonts w:hint="eastAsia" w:ascii="仿宋_GB2312" w:eastAsia="仿宋_GB2312" w:hAnsiTheme="minorEastAsia"/>
          <w:color w:val="000000" w:themeColor="text1"/>
          <w:kern w:val="0"/>
          <w:sz w:val="30"/>
          <w:szCs w:val="30"/>
        </w:rPr>
        <w:t>资金来源需要明确，可能采用非自有资金实施增持的，需要披露相关融资安排。拟通过资产管理计划实施增持的，需要披露资产管理计划的类型、金额及存续期限等。</w:t>
      </w:r>
    </w:p>
    <w:p>
      <w:pPr>
        <w:autoSpaceDE w:val="0"/>
        <w:autoSpaceDN w:val="0"/>
        <w:adjustRightInd w:val="0"/>
        <w:snapToGrid w:val="0"/>
        <w:spacing w:line="560" w:lineRule="exact"/>
        <w:ind w:firstLine="600" w:firstLineChars="200"/>
        <w:rPr>
          <w:rFonts w:ascii="仿宋_GB2312" w:eastAsia="仿宋_GB2312" w:hAnsiTheme="minorEastAsia"/>
          <w:color w:val="000000" w:themeColor="text1"/>
          <w:kern w:val="0"/>
          <w:sz w:val="30"/>
          <w:szCs w:val="30"/>
        </w:rPr>
      </w:pPr>
      <w:r>
        <w:rPr>
          <w:rFonts w:hint="eastAsia" w:ascii="仿宋_GB2312" w:hAnsi="宋体" w:eastAsia="仿宋_GB2312"/>
          <w:color w:val="000000"/>
          <w:kern w:val="0"/>
          <w:sz w:val="30"/>
          <w:szCs w:val="30"/>
        </w:rPr>
        <w:t>（七）</w:t>
      </w:r>
      <w:r>
        <w:rPr>
          <w:rFonts w:hint="eastAsia" w:ascii="仿宋_GB2312" w:eastAsia="仿宋_GB2312" w:hAnsiTheme="minorEastAsia"/>
          <w:color w:val="000000" w:themeColor="text1"/>
          <w:kern w:val="0"/>
          <w:sz w:val="30"/>
          <w:szCs w:val="30"/>
        </w:rPr>
        <w:t>相关增持计划的实施方式和其他条件（如有），例如是否需经行政许可等。增持计划设定了实施条件的，还需要对若设定的条件未成就时，增持计划是否予以实施进行说明。</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（八）增持主体需要承诺，在增持计划实施期间及法定期限内不减持所持有的公司股份。</w:t>
      </w:r>
    </w:p>
    <w:p>
      <w:pPr>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（九）</w:t>
      </w:r>
      <w:r>
        <w:rPr>
          <w:rFonts w:hint="eastAsia" w:ascii="仿宋_GB2312" w:eastAsia="仿宋_GB2312" w:hAnsiTheme="minorEastAsia"/>
          <w:color w:val="000000" w:themeColor="text1"/>
          <w:kern w:val="0"/>
          <w:sz w:val="30"/>
          <w:szCs w:val="30"/>
        </w:rPr>
        <w:t>相关股东增持前持股比例在30%至50%之间的，明确增持计划实施期限不超过12个月且首次增持与后续增持比例合计不超过2%。</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（十）</w:t>
      </w:r>
      <w:r>
        <w:rPr>
          <w:rFonts w:hint="eastAsia" w:ascii="仿宋_GB2312" w:eastAsia="仿宋_GB2312" w:hAnsiTheme="minorEastAsia"/>
          <w:color w:val="000000" w:themeColor="text1"/>
          <w:kern w:val="0"/>
          <w:sz w:val="30"/>
          <w:szCs w:val="30"/>
        </w:rPr>
        <w:t>增持计划可能面临的不确定性风险及拟采取的应对措施。</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（十一）本所要求的其他事项。</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p>
    <w:p>
      <w:pPr>
        <w:autoSpaceDE w:val="0"/>
        <w:autoSpaceDN w:val="0"/>
        <w:adjustRightInd w:val="0"/>
        <w:snapToGrid w:val="0"/>
        <w:spacing w:line="560" w:lineRule="exact"/>
        <w:ind w:firstLine="602" w:firstLineChars="200"/>
        <w:rPr>
          <w:rFonts w:ascii="黑体" w:hAnsi="黑体" w:eastAsia="黑体"/>
          <w:b/>
          <w:sz w:val="30"/>
          <w:szCs w:val="30"/>
        </w:rPr>
      </w:pPr>
      <w:bookmarkStart w:id="4" w:name="OLE_LINK1"/>
      <w:bookmarkStart w:id="5" w:name="OLE_LINK2"/>
      <w:r>
        <w:rPr>
          <w:rFonts w:hint="eastAsia" w:ascii="黑体" w:hAnsi="黑体" w:eastAsia="黑体"/>
          <w:b/>
          <w:sz w:val="30"/>
          <w:szCs w:val="30"/>
        </w:rPr>
        <w:t>四、增持计划的实施进展（如适用）</w:t>
      </w:r>
    </w:p>
    <w:bookmarkEnd w:id="4"/>
    <w:bookmarkEnd w:id="5"/>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（一）原定增持计划期间过半，实际增持数量（金额）未过半或未到区间下限</w:t>
      </w:r>
      <w:r>
        <w:rPr>
          <w:rFonts w:ascii="仿宋_GB2312" w:hAnsi="宋体" w:eastAsia="仿宋_GB2312"/>
          <w:color w:val="000000"/>
          <w:kern w:val="0"/>
          <w:sz w:val="30"/>
          <w:szCs w:val="30"/>
        </w:rPr>
        <w:t>50%的，公告说明增持未过半的原因。</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（二）原定增持计划期间过半，仍未实施增持计划的，公告说明未增持的原因，并于此后每月披露一次增持计划实施进展。</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（三）上市公司在增持计划实施期间发生派发红利、送红股、转增股本、增发新股或配股等股本除权、除息事项的，增持主体可以对增持计划进行相应调整并及时披露。</w:t>
      </w:r>
    </w:p>
    <w:p>
      <w:pPr>
        <w:autoSpaceDE w:val="0"/>
        <w:autoSpaceDN w:val="0"/>
        <w:adjustRightInd w:val="0"/>
        <w:snapToGrid w:val="0"/>
        <w:spacing w:line="560" w:lineRule="exact"/>
        <w:ind w:firstLine="480" w:firstLineChars="200"/>
        <w:rPr>
          <w:rFonts w:ascii="楷体" w:hAnsi="楷体" w:eastAsia="楷体" w:cs="宋体-WinCharSetFFFF-H"/>
          <w:color w:val="000000"/>
          <w:kern w:val="0"/>
          <w:sz w:val="24"/>
          <w:szCs w:val="24"/>
        </w:rPr>
      </w:pPr>
    </w:p>
    <w:p>
      <w:pPr>
        <w:autoSpaceDE w:val="0"/>
        <w:autoSpaceDN w:val="0"/>
        <w:adjustRightInd w:val="0"/>
        <w:snapToGrid w:val="0"/>
        <w:spacing w:line="560" w:lineRule="exact"/>
        <w:ind w:firstLine="602" w:firstLineChars="200"/>
        <w:outlineLvl w:val="0"/>
        <w:rPr>
          <w:rFonts w:ascii="黑体" w:hAnsi="黑体" w:eastAsia="黑体"/>
          <w:b/>
          <w:sz w:val="30"/>
          <w:szCs w:val="30"/>
        </w:rPr>
      </w:pPr>
      <w:r>
        <w:rPr>
          <w:rFonts w:hint="eastAsia" w:ascii="黑体" w:hAnsi="黑体" w:eastAsia="黑体"/>
          <w:b/>
          <w:sz w:val="30"/>
          <w:szCs w:val="30"/>
        </w:rPr>
        <w:t>五、增持计划的实施结果（如适用）</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（一）增持计划实施完毕或增持期限届满后的两个交易日内，增持主体需要发布增持计划实施结果公告，披露增持数量、金额、比例及本次增持后的实际持股比例。</w:t>
      </w:r>
      <w:r>
        <w:rPr>
          <w:rFonts w:hint="eastAsia" w:ascii="仿宋_GB2312" w:eastAsia="仿宋_GB2312" w:hAnsiTheme="minorEastAsia"/>
          <w:color w:val="000000" w:themeColor="text1"/>
          <w:kern w:val="0"/>
          <w:sz w:val="30"/>
          <w:szCs w:val="30"/>
        </w:rPr>
        <w:t>增持期限届满仍未实施增持或者未达到计划最低增持额的原因（如有）。</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相关股东增持前持股比例在</w:t>
      </w:r>
      <w:r>
        <w:rPr>
          <w:rFonts w:ascii="仿宋_GB2312" w:hAnsi="宋体" w:eastAsia="仿宋_GB2312"/>
          <w:color w:val="000000"/>
          <w:kern w:val="0"/>
          <w:sz w:val="30"/>
          <w:szCs w:val="30"/>
        </w:rPr>
        <w:t>30%以上的，</w:t>
      </w:r>
      <w:r>
        <w:rPr>
          <w:rFonts w:hint="eastAsia" w:ascii="仿宋_GB2312" w:hAnsi="宋体" w:eastAsia="仿宋_GB2312"/>
          <w:color w:val="000000"/>
          <w:kern w:val="0"/>
          <w:sz w:val="30"/>
          <w:szCs w:val="30"/>
        </w:rPr>
        <w:t>还需要</w:t>
      </w:r>
      <w:r>
        <w:rPr>
          <w:rFonts w:ascii="仿宋_GB2312" w:hAnsi="宋体" w:eastAsia="仿宋_GB2312"/>
          <w:color w:val="000000"/>
          <w:kern w:val="0"/>
          <w:sz w:val="30"/>
          <w:szCs w:val="30"/>
        </w:rPr>
        <w:t>聘请律师就本次增持行为是否符合《证券法》《上市公司收购管理办法》等有关规定发表专项核查意见</w:t>
      </w:r>
      <w:r>
        <w:rPr>
          <w:rFonts w:hint="eastAsia" w:ascii="仿宋_GB2312" w:hAnsi="宋体" w:eastAsia="仿宋_GB2312"/>
          <w:color w:val="000000"/>
          <w:kern w:val="0"/>
          <w:sz w:val="30"/>
          <w:szCs w:val="30"/>
        </w:rPr>
        <w:t>并披露</w:t>
      </w:r>
      <w:r>
        <w:rPr>
          <w:rFonts w:ascii="仿宋_GB2312" w:hAnsi="宋体" w:eastAsia="仿宋_GB2312"/>
          <w:color w:val="000000"/>
          <w:kern w:val="0"/>
          <w:sz w:val="30"/>
          <w:szCs w:val="30"/>
        </w:rPr>
        <w:t>。</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（二）相关股东拟提前终止增持计划的，或者增持期限届满仍未达到计划最低增持额的，及时披露公告并说明具体原因。</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p>
    <w:p>
      <w:pPr>
        <w:autoSpaceDE w:val="0"/>
        <w:autoSpaceDN w:val="0"/>
        <w:adjustRightInd w:val="0"/>
        <w:snapToGrid w:val="0"/>
        <w:spacing w:line="560" w:lineRule="exact"/>
        <w:ind w:firstLine="602" w:firstLineChars="200"/>
        <w:outlineLvl w:val="0"/>
        <w:rPr>
          <w:rFonts w:ascii="黑体" w:hAnsi="黑体" w:eastAsia="黑体"/>
          <w:b/>
          <w:sz w:val="30"/>
          <w:szCs w:val="30"/>
        </w:rPr>
      </w:pPr>
      <w:r>
        <w:rPr>
          <w:rFonts w:hint="eastAsia" w:ascii="黑体" w:hAnsi="黑体" w:eastAsia="黑体"/>
          <w:b/>
          <w:sz w:val="30"/>
          <w:szCs w:val="30"/>
        </w:rPr>
        <w:t>六、增持计划实施的不确定性风险</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增持计划需要详细披露可能面临的不确定性风险及拟采取的应对措施。增持计划实施过程中出现下列风险情形之一的，及时公告披露：</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（一）公司股票价格持续超出增持计划披露的价格区间（如有），导致增持计划无法实施的风险；</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（二）增持股份所需资金未能到位，导致增持计划无法实施的风险；</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（三）采用非自有资金增持股份过程中，已增持股份可能被强行平仓的风险；</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（四）其他风险。</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特此公告。</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p>
    <w:p>
      <w:pPr>
        <w:autoSpaceDE w:val="0"/>
        <w:autoSpaceDN w:val="0"/>
        <w:adjustRightInd w:val="0"/>
        <w:spacing w:line="560" w:lineRule="exact"/>
        <w:jc w:val="righ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××××股份有限公司董事会</w:t>
      </w:r>
    </w:p>
    <w:p>
      <w:pPr>
        <w:autoSpaceDE w:val="0"/>
        <w:autoSpaceDN w:val="0"/>
        <w:adjustRightInd w:val="0"/>
        <w:spacing w:line="560" w:lineRule="exact"/>
        <w:jc w:val="righ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年  月  日</w:t>
      </w:r>
    </w:p>
    <w:p>
      <w:pPr>
        <w:autoSpaceDE w:val="0"/>
        <w:autoSpaceDN w:val="0"/>
        <w:adjustRightInd w:val="0"/>
        <w:spacing w:line="560" w:lineRule="exact"/>
        <w:jc w:val="right"/>
        <w:rPr>
          <w:rFonts w:ascii="仿宋_GB2312" w:hAnsi="宋体" w:eastAsia="仿宋_GB2312" w:cs="宋体"/>
          <w:color w:val="000000"/>
          <w:kern w:val="0"/>
          <w:sz w:val="30"/>
          <w:szCs w:val="30"/>
        </w:rPr>
      </w:pPr>
    </w:p>
    <w:p>
      <w:pPr>
        <w:pStyle w:val="17"/>
        <w:numPr>
          <w:ilvl w:val="0"/>
          <w:numId w:val="2"/>
        </w:numPr>
        <w:autoSpaceDE w:val="0"/>
        <w:autoSpaceDN w:val="0"/>
        <w:adjustRightInd w:val="0"/>
        <w:snapToGrid w:val="0"/>
        <w:spacing w:line="560" w:lineRule="exact"/>
        <w:ind w:firstLineChars="0"/>
        <w:rPr>
          <w:rFonts w:ascii="仿宋_GB2312" w:hAnsi="宋体" w:eastAsia="仿宋_GB2312"/>
          <w:b/>
          <w:color w:val="000000"/>
          <w:sz w:val="30"/>
          <w:szCs w:val="30"/>
        </w:rPr>
      </w:pPr>
      <w:bookmarkStart w:id="6" w:name="_Hlk62403057"/>
      <w:r>
        <w:rPr>
          <w:rFonts w:hint="eastAsia" w:ascii="仿宋_GB2312" w:hAnsi="宋体" w:eastAsia="仿宋_GB2312"/>
          <w:b/>
          <w:color w:val="000000"/>
          <w:sz w:val="30"/>
          <w:szCs w:val="30"/>
        </w:rPr>
        <w:t>上网公告文件</w:t>
      </w:r>
    </w:p>
    <w:bookmarkEnd w:id="6"/>
    <w:p>
      <w:pPr>
        <w:autoSpaceDE w:val="0"/>
        <w:autoSpaceDN w:val="0"/>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律师专项核查意见（如适用）</w:t>
      </w:r>
    </w:p>
    <w:p>
      <w:pPr>
        <w:autoSpaceDE w:val="0"/>
        <w:autoSpaceDN w:val="0"/>
        <w:adjustRightInd w:val="0"/>
        <w:snapToGrid w:val="0"/>
        <w:spacing w:line="560" w:lineRule="exact"/>
        <w:ind w:firstLine="600" w:firstLineChars="200"/>
        <w:rPr>
          <w:rFonts w:ascii="仿宋_GB2312" w:eastAsia="仿宋_GB2312"/>
          <w:color w:val="000000"/>
          <w:sz w:val="30"/>
          <w:szCs w:val="30"/>
        </w:rPr>
      </w:pP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宋体-WinCharSetFFFF-H">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lang w:val="zh-CN"/>
      </w:rPr>
      <w:t>5</w:t>
    </w:r>
    <w:r>
      <w:rPr>
        <w:rFonts w:ascii="Times New Roman" w:hAnsi="Times New Roman" w:cs="Times New Roman"/>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E561F7"/>
    <w:multiLevelType w:val="multilevel"/>
    <w:tmpl w:val="52E561F7"/>
    <w:lvl w:ilvl="0" w:tentative="0">
      <w:start w:val="1"/>
      <w:numFmt w:val="bullet"/>
      <w:lvlText w:val=""/>
      <w:lvlJc w:val="left"/>
      <w:pPr>
        <w:ind w:left="1022" w:hanging="420"/>
      </w:pPr>
      <w:rPr>
        <w:rFonts w:hint="default" w:ascii="Wingdings" w:hAnsi="Wingdings"/>
      </w:rPr>
    </w:lvl>
    <w:lvl w:ilvl="1" w:tentative="0">
      <w:start w:val="1"/>
      <w:numFmt w:val="bullet"/>
      <w:lvlText w:val=""/>
      <w:lvlJc w:val="left"/>
      <w:pPr>
        <w:ind w:left="1442" w:hanging="420"/>
      </w:pPr>
      <w:rPr>
        <w:rFonts w:hint="default" w:ascii="Wingdings" w:hAnsi="Wingdings"/>
      </w:rPr>
    </w:lvl>
    <w:lvl w:ilvl="2" w:tentative="0">
      <w:start w:val="1"/>
      <w:numFmt w:val="bullet"/>
      <w:lvlText w:val=""/>
      <w:lvlJc w:val="left"/>
      <w:pPr>
        <w:ind w:left="1862" w:hanging="420"/>
      </w:pPr>
      <w:rPr>
        <w:rFonts w:hint="default" w:ascii="Wingdings" w:hAnsi="Wingdings"/>
      </w:rPr>
    </w:lvl>
    <w:lvl w:ilvl="3" w:tentative="0">
      <w:start w:val="1"/>
      <w:numFmt w:val="bullet"/>
      <w:lvlText w:val=""/>
      <w:lvlJc w:val="left"/>
      <w:pPr>
        <w:ind w:left="2282" w:hanging="420"/>
      </w:pPr>
      <w:rPr>
        <w:rFonts w:hint="default" w:ascii="Wingdings" w:hAnsi="Wingdings"/>
      </w:rPr>
    </w:lvl>
    <w:lvl w:ilvl="4" w:tentative="0">
      <w:start w:val="1"/>
      <w:numFmt w:val="bullet"/>
      <w:lvlText w:val=""/>
      <w:lvlJc w:val="left"/>
      <w:pPr>
        <w:ind w:left="2702" w:hanging="420"/>
      </w:pPr>
      <w:rPr>
        <w:rFonts w:hint="default" w:ascii="Wingdings" w:hAnsi="Wingdings"/>
      </w:rPr>
    </w:lvl>
    <w:lvl w:ilvl="5" w:tentative="0">
      <w:start w:val="1"/>
      <w:numFmt w:val="bullet"/>
      <w:lvlText w:val=""/>
      <w:lvlJc w:val="left"/>
      <w:pPr>
        <w:ind w:left="3122" w:hanging="420"/>
      </w:pPr>
      <w:rPr>
        <w:rFonts w:hint="default" w:ascii="Wingdings" w:hAnsi="Wingdings"/>
      </w:rPr>
    </w:lvl>
    <w:lvl w:ilvl="6" w:tentative="0">
      <w:start w:val="1"/>
      <w:numFmt w:val="bullet"/>
      <w:lvlText w:val=""/>
      <w:lvlJc w:val="left"/>
      <w:pPr>
        <w:ind w:left="3542" w:hanging="420"/>
      </w:pPr>
      <w:rPr>
        <w:rFonts w:hint="default" w:ascii="Wingdings" w:hAnsi="Wingdings"/>
      </w:rPr>
    </w:lvl>
    <w:lvl w:ilvl="7" w:tentative="0">
      <w:start w:val="1"/>
      <w:numFmt w:val="bullet"/>
      <w:lvlText w:val=""/>
      <w:lvlJc w:val="left"/>
      <w:pPr>
        <w:ind w:left="3962" w:hanging="420"/>
      </w:pPr>
      <w:rPr>
        <w:rFonts w:hint="default" w:ascii="Wingdings" w:hAnsi="Wingdings"/>
      </w:rPr>
    </w:lvl>
    <w:lvl w:ilvl="8" w:tentative="0">
      <w:start w:val="1"/>
      <w:numFmt w:val="bullet"/>
      <w:lvlText w:val=""/>
      <w:lvlJc w:val="left"/>
      <w:pPr>
        <w:ind w:left="4382" w:hanging="420"/>
      </w:pPr>
      <w:rPr>
        <w:rFonts w:hint="default" w:ascii="Wingdings" w:hAnsi="Wingdings"/>
      </w:rPr>
    </w:lvl>
  </w:abstractNum>
  <w:abstractNum w:abstractNumId="1">
    <w:nsid w:val="5D293B7B"/>
    <w:multiLevelType w:val="multilevel"/>
    <w:tmpl w:val="5D293B7B"/>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67C"/>
    <w:rsid w:val="0001193F"/>
    <w:rsid w:val="000175D7"/>
    <w:rsid w:val="00047783"/>
    <w:rsid w:val="0005659E"/>
    <w:rsid w:val="000648FC"/>
    <w:rsid w:val="00073B0D"/>
    <w:rsid w:val="000B79CA"/>
    <w:rsid w:val="000C2BDC"/>
    <w:rsid w:val="000C6704"/>
    <w:rsid w:val="000D21FE"/>
    <w:rsid w:val="000D3000"/>
    <w:rsid w:val="00102AFA"/>
    <w:rsid w:val="001039A6"/>
    <w:rsid w:val="00103E6F"/>
    <w:rsid w:val="001248DF"/>
    <w:rsid w:val="0012554E"/>
    <w:rsid w:val="0018152D"/>
    <w:rsid w:val="00193B01"/>
    <w:rsid w:val="00196DF7"/>
    <w:rsid w:val="00197F1D"/>
    <w:rsid w:val="001B0544"/>
    <w:rsid w:val="001C335D"/>
    <w:rsid w:val="001C437F"/>
    <w:rsid w:val="001C711E"/>
    <w:rsid w:val="001D36DF"/>
    <w:rsid w:val="00205321"/>
    <w:rsid w:val="00216348"/>
    <w:rsid w:val="002311F5"/>
    <w:rsid w:val="0023243F"/>
    <w:rsid w:val="002456D1"/>
    <w:rsid w:val="00257A8B"/>
    <w:rsid w:val="00283FCF"/>
    <w:rsid w:val="002B4D48"/>
    <w:rsid w:val="002D0359"/>
    <w:rsid w:val="002D3A24"/>
    <w:rsid w:val="002E5C68"/>
    <w:rsid w:val="002F1FCD"/>
    <w:rsid w:val="002F3B7F"/>
    <w:rsid w:val="0035703E"/>
    <w:rsid w:val="0035799E"/>
    <w:rsid w:val="003866ED"/>
    <w:rsid w:val="003B737D"/>
    <w:rsid w:val="003E6AB4"/>
    <w:rsid w:val="003F166A"/>
    <w:rsid w:val="0041037B"/>
    <w:rsid w:val="004210ED"/>
    <w:rsid w:val="00422CE0"/>
    <w:rsid w:val="00423D2D"/>
    <w:rsid w:val="004273A0"/>
    <w:rsid w:val="004378FF"/>
    <w:rsid w:val="00451198"/>
    <w:rsid w:val="00460729"/>
    <w:rsid w:val="004656EA"/>
    <w:rsid w:val="004C11B2"/>
    <w:rsid w:val="004C7AB3"/>
    <w:rsid w:val="004D265F"/>
    <w:rsid w:val="004E069A"/>
    <w:rsid w:val="004E5163"/>
    <w:rsid w:val="00500498"/>
    <w:rsid w:val="00500B52"/>
    <w:rsid w:val="00515B9C"/>
    <w:rsid w:val="0052191B"/>
    <w:rsid w:val="00521DE3"/>
    <w:rsid w:val="0052578B"/>
    <w:rsid w:val="005264C2"/>
    <w:rsid w:val="00527413"/>
    <w:rsid w:val="005365AD"/>
    <w:rsid w:val="00553C71"/>
    <w:rsid w:val="00564897"/>
    <w:rsid w:val="00571A8A"/>
    <w:rsid w:val="00571B18"/>
    <w:rsid w:val="00571DC6"/>
    <w:rsid w:val="00581BF0"/>
    <w:rsid w:val="00583253"/>
    <w:rsid w:val="00593186"/>
    <w:rsid w:val="00594AE9"/>
    <w:rsid w:val="00595AE5"/>
    <w:rsid w:val="005A413E"/>
    <w:rsid w:val="005A5BAD"/>
    <w:rsid w:val="005B1140"/>
    <w:rsid w:val="005B1F64"/>
    <w:rsid w:val="005B3A96"/>
    <w:rsid w:val="005B5D85"/>
    <w:rsid w:val="005D5F1C"/>
    <w:rsid w:val="005E7FC2"/>
    <w:rsid w:val="005F3451"/>
    <w:rsid w:val="005F3729"/>
    <w:rsid w:val="00623F97"/>
    <w:rsid w:val="006468AE"/>
    <w:rsid w:val="006474AB"/>
    <w:rsid w:val="0064785A"/>
    <w:rsid w:val="00661338"/>
    <w:rsid w:val="00663CEE"/>
    <w:rsid w:val="00665746"/>
    <w:rsid w:val="0067047B"/>
    <w:rsid w:val="00671CE3"/>
    <w:rsid w:val="006A0A21"/>
    <w:rsid w:val="006A0B56"/>
    <w:rsid w:val="006D7AF5"/>
    <w:rsid w:val="006E7226"/>
    <w:rsid w:val="006E72C7"/>
    <w:rsid w:val="00725957"/>
    <w:rsid w:val="00725C60"/>
    <w:rsid w:val="0073023D"/>
    <w:rsid w:val="007302EF"/>
    <w:rsid w:val="0074695C"/>
    <w:rsid w:val="00750B50"/>
    <w:rsid w:val="00762617"/>
    <w:rsid w:val="00764495"/>
    <w:rsid w:val="00766176"/>
    <w:rsid w:val="00782D18"/>
    <w:rsid w:val="007C2572"/>
    <w:rsid w:val="007D4830"/>
    <w:rsid w:val="007D5790"/>
    <w:rsid w:val="007E3EA4"/>
    <w:rsid w:val="007F359A"/>
    <w:rsid w:val="0081016A"/>
    <w:rsid w:val="00810FDE"/>
    <w:rsid w:val="00832958"/>
    <w:rsid w:val="00835439"/>
    <w:rsid w:val="008357CE"/>
    <w:rsid w:val="00842323"/>
    <w:rsid w:val="0086243A"/>
    <w:rsid w:val="00876EC0"/>
    <w:rsid w:val="0087749E"/>
    <w:rsid w:val="00891384"/>
    <w:rsid w:val="008B684D"/>
    <w:rsid w:val="008B7DC5"/>
    <w:rsid w:val="008D4932"/>
    <w:rsid w:val="008F6DE0"/>
    <w:rsid w:val="00904E61"/>
    <w:rsid w:val="0091421A"/>
    <w:rsid w:val="00920D41"/>
    <w:rsid w:val="00925360"/>
    <w:rsid w:val="0092722B"/>
    <w:rsid w:val="00953FE5"/>
    <w:rsid w:val="00954785"/>
    <w:rsid w:val="00960070"/>
    <w:rsid w:val="00967F70"/>
    <w:rsid w:val="009A2EF9"/>
    <w:rsid w:val="009A4CAE"/>
    <w:rsid w:val="009B54E4"/>
    <w:rsid w:val="009B723D"/>
    <w:rsid w:val="009C78B6"/>
    <w:rsid w:val="009C7CB0"/>
    <w:rsid w:val="009E06BA"/>
    <w:rsid w:val="009F577D"/>
    <w:rsid w:val="00A04860"/>
    <w:rsid w:val="00A44D98"/>
    <w:rsid w:val="00A45D92"/>
    <w:rsid w:val="00A54115"/>
    <w:rsid w:val="00A542FC"/>
    <w:rsid w:val="00A76699"/>
    <w:rsid w:val="00A858E3"/>
    <w:rsid w:val="00A9718F"/>
    <w:rsid w:val="00AB46AC"/>
    <w:rsid w:val="00AD77BC"/>
    <w:rsid w:val="00AE25C7"/>
    <w:rsid w:val="00B226A7"/>
    <w:rsid w:val="00B2593C"/>
    <w:rsid w:val="00B32B22"/>
    <w:rsid w:val="00B3410A"/>
    <w:rsid w:val="00B508C2"/>
    <w:rsid w:val="00B50D8B"/>
    <w:rsid w:val="00B528E5"/>
    <w:rsid w:val="00B55FA1"/>
    <w:rsid w:val="00B568CC"/>
    <w:rsid w:val="00B64A65"/>
    <w:rsid w:val="00B66958"/>
    <w:rsid w:val="00B878EE"/>
    <w:rsid w:val="00BA6D46"/>
    <w:rsid w:val="00BB4475"/>
    <w:rsid w:val="00BC524B"/>
    <w:rsid w:val="00BE67E0"/>
    <w:rsid w:val="00BF15E4"/>
    <w:rsid w:val="00BF6698"/>
    <w:rsid w:val="00C14AD2"/>
    <w:rsid w:val="00C40413"/>
    <w:rsid w:val="00C60AC6"/>
    <w:rsid w:val="00C75D82"/>
    <w:rsid w:val="00C77A19"/>
    <w:rsid w:val="00CA3320"/>
    <w:rsid w:val="00CA762B"/>
    <w:rsid w:val="00CB14DF"/>
    <w:rsid w:val="00CC3CE8"/>
    <w:rsid w:val="00D0367C"/>
    <w:rsid w:val="00D03DDD"/>
    <w:rsid w:val="00D06088"/>
    <w:rsid w:val="00D163BD"/>
    <w:rsid w:val="00D22B86"/>
    <w:rsid w:val="00D366FB"/>
    <w:rsid w:val="00D46EFD"/>
    <w:rsid w:val="00D5296E"/>
    <w:rsid w:val="00D60FA7"/>
    <w:rsid w:val="00D63999"/>
    <w:rsid w:val="00D6552F"/>
    <w:rsid w:val="00D730DE"/>
    <w:rsid w:val="00D943CA"/>
    <w:rsid w:val="00DC213A"/>
    <w:rsid w:val="00DD5091"/>
    <w:rsid w:val="00DE71D9"/>
    <w:rsid w:val="00DF47CB"/>
    <w:rsid w:val="00DF71D7"/>
    <w:rsid w:val="00E00DC6"/>
    <w:rsid w:val="00E23A28"/>
    <w:rsid w:val="00E335DC"/>
    <w:rsid w:val="00E37DD4"/>
    <w:rsid w:val="00E713D9"/>
    <w:rsid w:val="00E81948"/>
    <w:rsid w:val="00E86B7F"/>
    <w:rsid w:val="00E94B97"/>
    <w:rsid w:val="00EA267C"/>
    <w:rsid w:val="00EC6FC1"/>
    <w:rsid w:val="00EF4C7B"/>
    <w:rsid w:val="00F1594E"/>
    <w:rsid w:val="00F278E2"/>
    <w:rsid w:val="00F4531A"/>
    <w:rsid w:val="00F473B8"/>
    <w:rsid w:val="00F54469"/>
    <w:rsid w:val="00F71719"/>
    <w:rsid w:val="00F767E4"/>
    <w:rsid w:val="00FA1646"/>
    <w:rsid w:val="00FB2026"/>
    <w:rsid w:val="00FB7BFB"/>
    <w:rsid w:val="00FC7678"/>
    <w:rsid w:val="00FE4B75"/>
    <w:rsid w:val="00FF63C2"/>
    <w:rsid w:val="1B670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Document Map"/>
    <w:basedOn w:val="1"/>
    <w:link w:val="21"/>
    <w:semiHidden/>
    <w:unhideWhenUsed/>
    <w:uiPriority w:val="99"/>
    <w:rPr>
      <w:rFonts w:ascii="宋体"/>
      <w:sz w:val="18"/>
      <w:szCs w:val="18"/>
    </w:rPr>
  </w:style>
  <w:style w:type="paragraph" w:styleId="3">
    <w:name w:val="annotation text"/>
    <w:basedOn w:val="1"/>
    <w:link w:val="18"/>
    <w:unhideWhenUsed/>
    <w:uiPriority w:val="99"/>
    <w:pPr>
      <w:jc w:val="left"/>
    </w:pPr>
  </w:style>
  <w:style w:type="paragraph" w:styleId="4">
    <w:name w:val="Balloon Text"/>
    <w:basedOn w:val="1"/>
    <w:link w:val="15"/>
    <w:semiHidden/>
    <w:unhideWhenUsed/>
    <w:uiPriority w:val="99"/>
    <w:rPr>
      <w:sz w:val="18"/>
      <w:szCs w:val="18"/>
    </w:rPr>
  </w:style>
  <w:style w:type="paragraph" w:styleId="5">
    <w:name w:val="footer"/>
    <w:basedOn w:val="1"/>
    <w:link w:val="11"/>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9"/>
    <w:semiHidden/>
    <w:unhideWhenUsed/>
    <w:uiPriority w:val="99"/>
    <w:rPr>
      <w:b/>
      <w:bCs/>
    </w:rPr>
  </w:style>
  <w:style w:type="character" w:styleId="10">
    <w:name w:val="annotation reference"/>
    <w:basedOn w:val="9"/>
    <w:semiHidden/>
    <w:unhideWhenUsed/>
    <w:uiPriority w:val="99"/>
    <w:rPr>
      <w:sz w:val="21"/>
      <w:szCs w:val="21"/>
    </w:rPr>
  </w:style>
  <w:style w:type="character" w:customStyle="1" w:styleId="11">
    <w:name w:val="页脚 字符"/>
    <w:basedOn w:val="9"/>
    <w:link w:val="5"/>
    <w:uiPriority w:val="99"/>
    <w:rPr>
      <w:sz w:val="18"/>
      <w:szCs w:val="18"/>
    </w:rPr>
  </w:style>
  <w:style w:type="character" w:customStyle="1" w:styleId="12">
    <w:name w:val="列出段落 Char"/>
    <w:link w:val="13"/>
    <w:locked/>
    <w:uiPriority w:val="0"/>
    <w:rPr>
      <w:rFonts w:ascii="宋体" w:hAnsi="宋体" w:eastAsia="宋体" w:cs="Times New Roman"/>
      <w:kern w:val="0"/>
      <w:sz w:val="24"/>
      <w:szCs w:val="24"/>
    </w:rPr>
  </w:style>
  <w:style w:type="paragraph" w:customStyle="1" w:styleId="13">
    <w:name w:val="列出段落1"/>
    <w:basedOn w:val="1"/>
    <w:link w:val="12"/>
    <w:qFormat/>
    <w:uiPriority w:val="0"/>
    <w:pPr>
      <w:widowControl/>
      <w:spacing w:before="100" w:beforeAutospacing="1" w:after="100" w:afterAutospacing="1"/>
      <w:jc w:val="left"/>
    </w:pPr>
    <w:rPr>
      <w:rFonts w:ascii="宋体" w:hAnsi="宋体"/>
      <w:kern w:val="0"/>
      <w:sz w:val="24"/>
      <w:szCs w:val="24"/>
    </w:rPr>
  </w:style>
  <w:style w:type="character" w:customStyle="1" w:styleId="14">
    <w:name w:val="页脚 Char1"/>
    <w:basedOn w:val="9"/>
    <w:semiHidden/>
    <w:uiPriority w:val="99"/>
    <w:rPr>
      <w:rFonts w:ascii="Calibri" w:hAnsi="Calibri" w:eastAsia="宋体" w:cs="Times New Roman"/>
      <w:sz w:val="18"/>
      <w:szCs w:val="18"/>
    </w:rPr>
  </w:style>
  <w:style w:type="character" w:customStyle="1" w:styleId="15">
    <w:name w:val="批注框文本 字符"/>
    <w:basedOn w:val="9"/>
    <w:link w:val="4"/>
    <w:semiHidden/>
    <w:uiPriority w:val="99"/>
    <w:rPr>
      <w:rFonts w:ascii="Calibri" w:hAnsi="Calibri" w:eastAsia="宋体" w:cs="Times New Roman"/>
      <w:sz w:val="18"/>
      <w:szCs w:val="18"/>
    </w:rPr>
  </w:style>
  <w:style w:type="character" w:customStyle="1" w:styleId="16">
    <w:name w:val="页眉 字符"/>
    <w:basedOn w:val="9"/>
    <w:link w:val="6"/>
    <w:uiPriority w:val="99"/>
    <w:rPr>
      <w:rFonts w:ascii="Calibri" w:hAnsi="Calibri"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批注文字 字符"/>
    <w:basedOn w:val="9"/>
    <w:link w:val="3"/>
    <w:uiPriority w:val="99"/>
    <w:rPr>
      <w:rFonts w:ascii="Calibri" w:hAnsi="Calibri" w:eastAsia="宋体" w:cs="Times New Roman"/>
    </w:rPr>
  </w:style>
  <w:style w:type="character" w:customStyle="1" w:styleId="19">
    <w:name w:val="批注主题 字符"/>
    <w:basedOn w:val="18"/>
    <w:link w:val="7"/>
    <w:semiHidden/>
    <w:uiPriority w:val="99"/>
    <w:rPr>
      <w:rFonts w:ascii="Calibri" w:hAnsi="Calibri" w:eastAsia="宋体" w:cs="Times New Roman"/>
      <w:b/>
      <w:bCs/>
    </w:rPr>
  </w:style>
  <w:style w:type="paragraph" w:customStyle="1" w:styleId="20">
    <w:name w:val="Revision"/>
    <w:hidden/>
    <w:semiHidden/>
    <w:uiPriority w:val="99"/>
    <w:rPr>
      <w:rFonts w:ascii="Calibri" w:hAnsi="Calibri" w:eastAsia="宋体" w:cs="Times New Roman"/>
      <w:kern w:val="2"/>
      <w:sz w:val="21"/>
      <w:szCs w:val="22"/>
      <w:lang w:val="en-US" w:eastAsia="zh-CN" w:bidi="ar-SA"/>
    </w:rPr>
  </w:style>
  <w:style w:type="character" w:customStyle="1" w:styleId="21">
    <w:name w:val="文档结构图 字符"/>
    <w:basedOn w:val="9"/>
    <w:link w:val="2"/>
    <w:semiHidden/>
    <w:uiPriority w:val="99"/>
    <w:rPr>
      <w:rFonts w:ascii="宋体"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B2447B-A967-463B-B3D8-19A6BD2D1768}">
  <ds:schemaRefs/>
</ds:datastoreItem>
</file>

<file path=docProps/app.xml><?xml version="1.0" encoding="utf-8"?>
<Properties xmlns="http://schemas.openxmlformats.org/officeDocument/2006/extended-properties" xmlns:vt="http://schemas.openxmlformats.org/officeDocument/2006/docPropsVTypes">
  <Template>Normal.dotm</Template>
  <Pages>6</Pages>
  <Words>354</Words>
  <Characters>2024</Characters>
  <Lines>16</Lines>
  <Paragraphs>4</Paragraphs>
  <TotalTime>339</TotalTime>
  <ScaleCrop>false</ScaleCrop>
  <LinksUpToDate>false</LinksUpToDate>
  <CharactersWithSpaces>2374</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2021-01-21T11:49:00Z</dcterms:created>
  <dcterms:modified xsi:type="dcterms:W3CDTF">2023-08-04T05:53:33Z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FE02C87A56704E8B9EF36EE994CD4B4E</vt:lpwstr>
  </property>
</Properties>
</file>