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D9E0" w14:textId="77777777" w:rsidR="0052694E" w:rsidRDefault="00D7038D">
      <w:pPr>
        <w:spacing w:line="560" w:lineRule="exact"/>
        <w:jc w:val="center"/>
        <w:rPr>
          <w:rFonts w:ascii="黑体" w:eastAsia="黑体" w:hAnsi="黑体"/>
          <w:b/>
          <w:bCs/>
          <w:sz w:val="36"/>
          <w:szCs w:val="36"/>
        </w:rPr>
      </w:pPr>
      <w:bookmarkStart w:id="0" w:name="_Toc50034104"/>
      <w:bookmarkStart w:id="1" w:name="_Toc356840098"/>
      <w:r>
        <w:rPr>
          <w:rFonts w:ascii="黑体" w:eastAsia="黑体" w:hAnsi="黑体" w:hint="eastAsia"/>
          <w:b/>
          <w:bCs/>
          <w:sz w:val="36"/>
          <w:szCs w:val="36"/>
        </w:rPr>
        <w:t>第十五号</w:t>
      </w:r>
      <w:r>
        <w:rPr>
          <w:rFonts w:ascii="黑体" w:eastAsia="黑体" w:hAnsi="黑体" w:hint="eastAsia"/>
          <w:b/>
          <w:bCs/>
          <w:sz w:val="36"/>
          <w:szCs w:val="36"/>
        </w:rPr>
        <w:t xml:space="preserve"> </w:t>
      </w:r>
      <w:r>
        <w:rPr>
          <w:rFonts w:ascii="黑体" w:eastAsia="黑体" w:hAnsi="黑体" w:hint="eastAsia"/>
          <w:b/>
          <w:bCs/>
          <w:sz w:val="36"/>
          <w:szCs w:val="36"/>
        </w:rPr>
        <w:t>上市公司董事会决议公告</w:t>
      </w:r>
      <w:bookmarkEnd w:id="0"/>
      <w:bookmarkEnd w:id="1"/>
    </w:p>
    <w:p w14:paraId="5C3B2A7C" w14:textId="77777777" w:rsidR="0052694E" w:rsidRDefault="0052694E">
      <w:pPr>
        <w:spacing w:line="560" w:lineRule="exact"/>
      </w:pPr>
    </w:p>
    <w:p w14:paraId="64D9B528" w14:textId="77777777" w:rsidR="0052694E" w:rsidRDefault="00D7038D">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0F079EC5" w14:textId="77777777" w:rsidR="0052694E" w:rsidRDefault="0052694E">
      <w:pPr>
        <w:adjustRightInd w:val="0"/>
        <w:snapToGrid w:val="0"/>
        <w:spacing w:line="560" w:lineRule="exact"/>
        <w:jc w:val="left"/>
        <w:rPr>
          <w:rFonts w:ascii="仿宋" w:eastAsia="仿宋_GB2312" w:hAnsi="仿宋"/>
          <w:sz w:val="30"/>
          <w:szCs w:val="30"/>
        </w:rPr>
      </w:pPr>
    </w:p>
    <w:p w14:paraId="326299E0" w14:textId="77777777" w:rsidR="0052694E" w:rsidRDefault="00D7038D">
      <w:pPr>
        <w:adjustRightInd w:val="0"/>
        <w:snapToGrid w:val="0"/>
        <w:spacing w:beforeLines="50" w:before="156" w:line="560" w:lineRule="exact"/>
        <w:jc w:val="center"/>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XXXX</w:t>
      </w:r>
      <w:r>
        <w:rPr>
          <w:rFonts w:ascii="仿宋_GB2312" w:eastAsia="仿宋_GB2312" w:hAnsi="仿宋_GB2312" w:cs="仿宋_GB2312" w:hint="eastAsia"/>
          <w:bCs/>
          <w:color w:val="000000"/>
          <w:sz w:val="30"/>
          <w:szCs w:val="30"/>
        </w:rPr>
        <w:t>股份有限公司董事会决议公告</w:t>
      </w:r>
    </w:p>
    <w:p w14:paraId="0BB5E398" w14:textId="77777777" w:rsidR="0052694E" w:rsidRDefault="0052694E">
      <w:pPr>
        <w:adjustRightInd w:val="0"/>
        <w:snapToGrid w:val="0"/>
        <w:spacing w:beforeLines="50" w:before="156" w:line="560" w:lineRule="exact"/>
        <w:ind w:firstLineChars="200" w:firstLine="600"/>
        <w:jc w:val="center"/>
        <w:rPr>
          <w:rFonts w:ascii="仿宋" w:eastAsia="仿宋_GB2312" w:hAnsi="仿宋"/>
          <w:color w:val="000000"/>
          <w:sz w:val="30"/>
          <w:szCs w:val="30"/>
        </w:rPr>
      </w:pPr>
    </w:p>
    <w:p w14:paraId="5BE9010E" w14:textId="77777777" w:rsidR="0052694E" w:rsidRDefault="00D7038D">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本公司董事会及全体董事保证本公告内容不存在任何虚假记载、误导性陈述或者重大遗漏，并对其内容的真实性、准确性和完整性承担法律责任。</w:t>
      </w:r>
    </w:p>
    <w:p w14:paraId="14DA50D4" w14:textId="77777777" w:rsidR="0052694E" w:rsidRDefault="00D7038D">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如有董事对临时公告内容的真实性、准确性和完整性无法保证或存在异议的，公司应当在公告中作特别提示。</w:t>
      </w:r>
    </w:p>
    <w:p w14:paraId="165B8738" w14:textId="77777777" w:rsidR="0052694E" w:rsidRDefault="0052694E">
      <w:pPr>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p>
    <w:p w14:paraId="505F3DA5" w14:textId="77777777" w:rsidR="0052694E" w:rsidRDefault="00D7038D">
      <w:pPr>
        <w:tabs>
          <w:tab w:val="left" w:pos="0"/>
        </w:tabs>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重要内容提示</w:t>
      </w:r>
      <w:r>
        <w:rPr>
          <w:rFonts w:ascii="仿宋" w:eastAsia="仿宋_GB2312" w:hAnsi="仿宋" w:cs="宋体" w:hint="eastAsia"/>
          <w:b/>
          <w:color w:val="000000"/>
          <w:kern w:val="0"/>
          <w:sz w:val="30"/>
          <w:szCs w:val="30"/>
        </w:rPr>
        <w:t>(</w:t>
      </w:r>
      <w:r>
        <w:rPr>
          <w:rFonts w:ascii="仿宋" w:eastAsia="仿宋_GB2312" w:hAnsi="仿宋" w:cs="宋体" w:hint="eastAsia"/>
          <w:b/>
          <w:color w:val="000000"/>
          <w:kern w:val="0"/>
          <w:sz w:val="30"/>
          <w:szCs w:val="30"/>
        </w:rPr>
        <w:t>如适用</w:t>
      </w:r>
      <w:r>
        <w:rPr>
          <w:rFonts w:ascii="仿宋" w:eastAsia="仿宋_GB2312" w:hAnsi="仿宋" w:cs="宋体" w:hint="eastAsia"/>
          <w:b/>
          <w:color w:val="000000"/>
          <w:kern w:val="0"/>
          <w:sz w:val="30"/>
          <w:szCs w:val="30"/>
        </w:rPr>
        <w:t>)</w:t>
      </w:r>
      <w:r>
        <w:rPr>
          <w:rFonts w:ascii="仿宋" w:eastAsia="仿宋_GB2312" w:hAnsi="仿宋" w:cs="宋体" w:hint="eastAsia"/>
          <w:b/>
          <w:color w:val="000000"/>
          <w:kern w:val="0"/>
          <w:sz w:val="30"/>
          <w:szCs w:val="30"/>
        </w:rPr>
        <w:t>：</w:t>
      </w:r>
    </w:p>
    <w:p w14:paraId="70CCB5A9" w14:textId="77777777" w:rsidR="0052694E" w:rsidRDefault="00D7038D">
      <w:pPr>
        <w:numPr>
          <w:ilvl w:val="0"/>
          <w:numId w:val="1"/>
        </w:numPr>
        <w:autoSpaceDE w:val="0"/>
        <w:autoSpaceDN w:val="0"/>
        <w:adjustRightInd w:val="0"/>
        <w:snapToGrid w:val="0"/>
        <w:spacing w:line="560" w:lineRule="exact"/>
        <w:ind w:left="0" w:firstLineChars="200" w:firstLine="6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董事</w:t>
      </w:r>
      <w:r>
        <w:rPr>
          <w:rFonts w:ascii="仿宋_GB2312" w:eastAsia="仿宋_GB2312" w:hAnsi="仿宋_GB2312" w:cs="仿宋_GB2312" w:hint="eastAsia"/>
          <w:color w:val="000000"/>
          <w:kern w:val="0"/>
          <w:sz w:val="30"/>
          <w:szCs w:val="30"/>
        </w:rPr>
        <w:t>XXX</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XXX</w:t>
      </w:r>
      <w:r>
        <w:rPr>
          <w:rFonts w:ascii="仿宋_GB2312" w:eastAsia="仿宋_GB2312" w:hAnsi="仿宋_GB2312" w:cs="仿宋_GB2312" w:hint="eastAsia"/>
          <w:color w:val="000000"/>
          <w:kern w:val="0"/>
          <w:sz w:val="30"/>
          <w:szCs w:val="30"/>
        </w:rPr>
        <w:t>因</w:t>
      </w:r>
      <w:r>
        <w:rPr>
          <w:rFonts w:ascii="仿宋_GB2312" w:eastAsia="仿宋_GB2312" w:hAnsi="仿宋_GB2312" w:cs="仿宋_GB2312" w:hint="eastAsia"/>
          <w:color w:val="000000"/>
          <w:kern w:val="0"/>
          <w:sz w:val="30"/>
          <w:szCs w:val="30"/>
          <w:u w:val="single"/>
        </w:rPr>
        <w:t xml:space="preserve">         </w:t>
      </w:r>
      <w:r>
        <w:rPr>
          <w:rFonts w:ascii="仿宋_GB2312" w:eastAsia="仿宋_GB2312" w:hAnsi="仿宋_GB2312" w:cs="仿宋_GB2312" w:hint="eastAsia"/>
          <w:color w:val="000000"/>
          <w:kern w:val="0"/>
          <w:sz w:val="30"/>
          <w:szCs w:val="30"/>
        </w:rPr>
        <w:t>（具体和明确的理由）未能出席（亲自出席或委托出席）本次董事会。</w:t>
      </w:r>
    </w:p>
    <w:p w14:paraId="7862029C" w14:textId="77777777" w:rsidR="0052694E" w:rsidRDefault="00D7038D">
      <w:pPr>
        <w:numPr>
          <w:ilvl w:val="0"/>
          <w:numId w:val="1"/>
        </w:numPr>
        <w:autoSpaceDE w:val="0"/>
        <w:autoSpaceDN w:val="0"/>
        <w:adjustRightInd w:val="0"/>
        <w:snapToGrid w:val="0"/>
        <w:spacing w:line="560" w:lineRule="exact"/>
        <w:ind w:left="0"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有董事对本次董事会第</w:t>
      </w:r>
      <w:r>
        <w:rPr>
          <w:rFonts w:ascii="仿宋_GB2312" w:eastAsia="仿宋_GB2312" w:hAnsi="仿宋_GB2312" w:cs="仿宋_GB2312" w:hint="eastAsia"/>
          <w:color w:val="000000"/>
          <w:kern w:val="0"/>
          <w:sz w:val="30"/>
          <w:szCs w:val="30"/>
        </w:rPr>
        <w:t xml:space="preserve"> X </w:t>
      </w:r>
      <w:r>
        <w:rPr>
          <w:rFonts w:ascii="仿宋_GB2312" w:eastAsia="仿宋_GB2312" w:hAnsi="仿宋_GB2312" w:cs="仿宋_GB2312" w:hint="eastAsia"/>
          <w:color w:val="000000"/>
          <w:kern w:val="0"/>
          <w:sz w:val="30"/>
          <w:szCs w:val="30"/>
        </w:rPr>
        <w:t>项议案投反对</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弃权票。</w:t>
      </w:r>
    </w:p>
    <w:p w14:paraId="630B225D" w14:textId="77777777" w:rsidR="0052694E" w:rsidRDefault="00D7038D">
      <w:pPr>
        <w:numPr>
          <w:ilvl w:val="0"/>
          <w:numId w:val="1"/>
        </w:numPr>
        <w:autoSpaceDE w:val="0"/>
        <w:autoSpaceDN w:val="0"/>
        <w:adjustRightInd w:val="0"/>
        <w:snapToGrid w:val="0"/>
        <w:spacing w:line="560" w:lineRule="exact"/>
        <w:ind w:left="0"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本次董事会第</w:t>
      </w:r>
      <w:r>
        <w:rPr>
          <w:rFonts w:ascii="仿宋_GB2312" w:eastAsia="仿宋_GB2312" w:hAnsi="仿宋_GB2312" w:cs="仿宋_GB2312" w:hint="eastAsia"/>
          <w:color w:val="000000"/>
          <w:kern w:val="0"/>
          <w:sz w:val="30"/>
          <w:szCs w:val="30"/>
        </w:rPr>
        <w:t xml:space="preserve"> X </w:t>
      </w:r>
      <w:r>
        <w:rPr>
          <w:rFonts w:ascii="仿宋_GB2312" w:eastAsia="仿宋_GB2312" w:hAnsi="仿宋_GB2312" w:cs="仿宋_GB2312" w:hint="eastAsia"/>
          <w:color w:val="000000"/>
          <w:kern w:val="0"/>
          <w:sz w:val="30"/>
          <w:szCs w:val="30"/>
        </w:rPr>
        <w:t>项议案未获通过。</w:t>
      </w:r>
    </w:p>
    <w:p w14:paraId="3D324831" w14:textId="77777777" w:rsidR="0052694E" w:rsidRDefault="0052694E">
      <w:pPr>
        <w:autoSpaceDE w:val="0"/>
        <w:autoSpaceDN w:val="0"/>
        <w:adjustRightInd w:val="0"/>
        <w:snapToGrid w:val="0"/>
        <w:spacing w:line="560" w:lineRule="exact"/>
        <w:ind w:firstLineChars="200" w:firstLine="600"/>
        <w:rPr>
          <w:rFonts w:ascii="仿宋" w:eastAsia="仿宋_GB2312" w:hAnsi="仿宋"/>
          <w:color w:val="000000"/>
          <w:sz w:val="30"/>
          <w:szCs w:val="30"/>
        </w:rPr>
      </w:pPr>
    </w:p>
    <w:p w14:paraId="4D0843AF" w14:textId="77777777" w:rsidR="0052694E" w:rsidRDefault="00D7038D">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一、董事会会议召开情况</w:t>
      </w:r>
    </w:p>
    <w:p w14:paraId="51198024"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（一）说明本次董事会会议的召开是否符合有关法律、行政法规、部门规章、规范性文件和公司章程的规定。</w:t>
      </w:r>
    </w:p>
    <w:p w14:paraId="5A55D0AD"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（二）说明发出董事会会议通知和材料的时间和方式。</w:t>
      </w:r>
    </w:p>
    <w:p w14:paraId="29335065"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（三）说明召开董事会会议的时间、地点和方式（即现场表决方式、通讯表决方式、现场结合通讯表决方式）。</w:t>
      </w:r>
    </w:p>
    <w:p w14:paraId="309FFA79"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lastRenderedPageBreak/>
        <w:t>（四）说明董事会会议应当出席的董事人数，实际出席会议的董事人数（其中：委托出席的董事人数</w:t>
      </w:r>
      <w:r>
        <w:rPr>
          <w:rFonts w:ascii="仿宋" w:eastAsia="仿宋_GB2312" w:hAnsi="仿宋" w:hint="eastAsia"/>
          <w:color w:val="000000"/>
          <w:sz w:val="30"/>
          <w:szCs w:val="30"/>
        </w:rPr>
        <w:t>，以通讯表决方式出席会议的人数），缺席会议的董事人数。董事缺席会议的，应当披露该董事的姓名和缺席会议的原因，是否是上市公司独立董事。董事委托他人出席会议的，应当披露该董事的姓名、不能亲自出席会议的原因和受托董事姓名，是否是上市公司独立董事。</w:t>
      </w:r>
    </w:p>
    <w:p w14:paraId="0458CE40"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（五）说明董事会会议的主持人和列席人员。</w:t>
      </w:r>
    </w:p>
    <w:p w14:paraId="5DED1C01" w14:textId="77777777" w:rsidR="0052694E" w:rsidRDefault="0052694E">
      <w:pPr>
        <w:adjustRightInd w:val="0"/>
        <w:snapToGrid w:val="0"/>
        <w:spacing w:line="560" w:lineRule="exact"/>
        <w:ind w:firstLineChars="200" w:firstLine="600"/>
        <w:rPr>
          <w:rFonts w:ascii="仿宋" w:eastAsia="仿宋_GB2312" w:hAnsi="仿宋"/>
          <w:color w:val="000000"/>
          <w:sz w:val="30"/>
          <w:szCs w:val="30"/>
        </w:rPr>
      </w:pPr>
    </w:p>
    <w:p w14:paraId="6C583963" w14:textId="77777777" w:rsidR="0052694E" w:rsidRDefault="00D7038D">
      <w:pPr>
        <w:autoSpaceDE w:val="0"/>
        <w:autoSpaceDN w:val="0"/>
        <w:adjustRightInd w:val="0"/>
        <w:snapToGrid w:val="0"/>
        <w:spacing w:line="560" w:lineRule="exact"/>
        <w:ind w:firstLineChars="200" w:firstLine="602"/>
        <w:rPr>
          <w:rFonts w:ascii="仿宋" w:eastAsia="仿宋_GB2312" w:hAnsi="仿宋"/>
          <w:color w:val="000000"/>
          <w:sz w:val="30"/>
          <w:szCs w:val="30"/>
        </w:rPr>
      </w:pPr>
      <w:r>
        <w:rPr>
          <w:rFonts w:ascii="黑体" w:eastAsia="黑体" w:hAnsi="黑体" w:cs="Times New Roman" w:hint="eastAsia"/>
          <w:b/>
          <w:sz w:val="30"/>
          <w:szCs w:val="30"/>
        </w:rPr>
        <w:t>二、董事会会议审议情况</w:t>
      </w:r>
    </w:p>
    <w:p w14:paraId="0F9E81CE"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（一）说明每项议案的名称，获得的同意、反对和弃权的票数，议案是否获得通过。</w:t>
      </w:r>
    </w:p>
    <w:p w14:paraId="4EE6729C"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董事对所审议案投反对票或弃权票的，应当披露有关理由。</w:t>
      </w:r>
      <w:r>
        <w:rPr>
          <w:rFonts w:ascii="仿宋" w:eastAsia="仿宋_GB2312" w:hAnsi="仿宋" w:hint="eastAsia"/>
          <w:color w:val="000000"/>
          <w:sz w:val="30"/>
          <w:szCs w:val="30"/>
        </w:rPr>
        <w:t>独立董事对</w:t>
      </w:r>
      <w:r>
        <w:rPr>
          <w:rFonts w:ascii="仿宋" w:eastAsia="仿宋_GB2312" w:hAnsi="仿宋" w:hint="eastAsia"/>
          <w:color w:val="000000"/>
          <w:sz w:val="30"/>
          <w:szCs w:val="30"/>
        </w:rPr>
        <w:t>所审</w:t>
      </w:r>
      <w:r>
        <w:rPr>
          <w:rFonts w:ascii="仿宋" w:eastAsia="仿宋_GB2312" w:hAnsi="仿宋" w:hint="eastAsia"/>
          <w:color w:val="000000"/>
          <w:sz w:val="30"/>
          <w:szCs w:val="30"/>
        </w:rPr>
        <w:t>议案投</w:t>
      </w:r>
      <w:r>
        <w:rPr>
          <w:rFonts w:ascii="仿宋" w:eastAsia="仿宋_GB2312" w:hAnsi="仿宋" w:hint="eastAsia"/>
          <w:color w:val="000000"/>
          <w:sz w:val="30"/>
          <w:szCs w:val="30"/>
        </w:rPr>
        <w:t>反对票或弃权票的，</w:t>
      </w:r>
      <w:r>
        <w:rPr>
          <w:rFonts w:ascii="仿宋" w:eastAsia="仿宋_GB2312" w:hAnsi="仿宋" w:hint="eastAsia"/>
          <w:color w:val="000000"/>
          <w:sz w:val="30"/>
          <w:szCs w:val="30"/>
        </w:rPr>
        <w:t>应当</w:t>
      </w:r>
      <w:r>
        <w:rPr>
          <w:rFonts w:ascii="仿宋" w:eastAsia="仿宋_GB2312" w:hAnsi="仿宋" w:hint="eastAsia"/>
          <w:color w:val="000000"/>
          <w:sz w:val="30"/>
          <w:szCs w:val="30"/>
        </w:rPr>
        <w:t>在披露董事会决议时，同时披露</w:t>
      </w:r>
      <w:r>
        <w:rPr>
          <w:rFonts w:ascii="仿宋" w:eastAsia="仿宋_GB2312" w:hAnsi="仿宋" w:hint="eastAsia"/>
          <w:color w:val="000000"/>
          <w:sz w:val="30"/>
          <w:szCs w:val="30"/>
        </w:rPr>
        <w:t>独立董事的异议意见</w:t>
      </w:r>
      <w:r>
        <w:rPr>
          <w:rFonts w:ascii="仿宋" w:eastAsia="仿宋_GB2312" w:hAnsi="仿宋" w:hint="eastAsia"/>
          <w:color w:val="000000"/>
          <w:sz w:val="30"/>
          <w:szCs w:val="30"/>
        </w:rPr>
        <w:t>，说明具体理由及依据、议案所涉事项的合法合规性、可能存在的风险</w:t>
      </w:r>
      <w:r>
        <w:rPr>
          <w:rFonts w:ascii="仿宋" w:eastAsia="仿宋_GB2312" w:hAnsi="仿宋" w:hint="eastAsia"/>
          <w:color w:val="000000"/>
          <w:sz w:val="30"/>
          <w:szCs w:val="30"/>
        </w:rPr>
        <w:t>以及对上市公司和中小股东权益对影响等</w:t>
      </w:r>
      <w:r>
        <w:rPr>
          <w:rFonts w:ascii="仿宋" w:eastAsia="仿宋_GB2312" w:hAnsi="仿宋" w:hint="eastAsia"/>
          <w:color w:val="000000"/>
          <w:sz w:val="30"/>
          <w:szCs w:val="30"/>
        </w:rPr>
        <w:t>。</w:t>
      </w:r>
    </w:p>
    <w:p w14:paraId="79C79C0A"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（二）说明每项议案的具体内容。所审议案需按照中国证监会有关规定或本所制定的公告格式进行公告的，应当另行披露详细的相关重大事件公告，并在董事会决议公告中说明该重大事件公告的名称。</w:t>
      </w:r>
    </w:p>
    <w:p w14:paraId="79BA35DF"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（三）所审议案涉及关联交易、关联董事需回避表决的，应当说明关联董事的姓名以及回</w:t>
      </w:r>
      <w:bookmarkStart w:id="2" w:name="_GoBack"/>
      <w:bookmarkEnd w:id="2"/>
      <w:r>
        <w:rPr>
          <w:rFonts w:ascii="仿宋" w:eastAsia="仿宋_GB2312" w:hAnsi="仿宋" w:hint="eastAsia"/>
          <w:color w:val="000000"/>
          <w:sz w:val="30"/>
          <w:szCs w:val="30"/>
        </w:rPr>
        <w:t>避表决情况。</w:t>
      </w:r>
    </w:p>
    <w:p w14:paraId="77B1B128"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（四）所审议案需</w:t>
      </w:r>
      <w:r w:rsidRPr="00EF008A">
        <w:rPr>
          <w:rFonts w:ascii="仿宋" w:eastAsia="仿宋_GB2312" w:hAnsi="仿宋" w:hint="eastAsia"/>
          <w:color w:val="000000"/>
          <w:sz w:val="30"/>
          <w:szCs w:val="30"/>
        </w:rPr>
        <w:t>经审计委员会、全体独立董事过半数同意，提名委员会、薪酬与考核委员会提出建议，或中介机构发表意见</w:t>
      </w:r>
      <w:r w:rsidRPr="00EF008A">
        <w:rPr>
          <w:rFonts w:ascii="仿宋" w:eastAsia="仿宋_GB2312" w:hAnsi="仿宋" w:hint="eastAsia"/>
          <w:color w:val="000000"/>
          <w:sz w:val="30"/>
          <w:szCs w:val="30"/>
        </w:rPr>
        <w:lastRenderedPageBreak/>
        <w:t>的，应说明相关情况。董事会对提名委员会、薪酬与考核委员会的建议未采纳或未完全采纳的，应当披露未采纳的具体理由。</w:t>
      </w:r>
    </w:p>
    <w:p w14:paraId="76E64330"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（五）审议通过的议案需提交股东大会审议的，应当在董事会决议公告中明确说明“本议案需提交股东大会审议”。</w:t>
      </w:r>
    </w:p>
    <w:p w14:paraId="7AAC8BC9" w14:textId="77777777" w:rsidR="0052694E" w:rsidRDefault="0052694E">
      <w:pPr>
        <w:adjustRightInd w:val="0"/>
        <w:snapToGrid w:val="0"/>
        <w:spacing w:line="560" w:lineRule="exact"/>
        <w:ind w:firstLineChars="200" w:firstLine="600"/>
        <w:rPr>
          <w:rFonts w:ascii="仿宋" w:eastAsia="仿宋_GB2312" w:hAnsi="仿宋"/>
          <w:color w:val="000000"/>
          <w:sz w:val="30"/>
          <w:szCs w:val="30"/>
        </w:rPr>
      </w:pPr>
    </w:p>
    <w:p w14:paraId="487B87E5" w14:textId="77777777" w:rsidR="0052694E" w:rsidRDefault="00D7038D">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特此公告。</w:t>
      </w:r>
    </w:p>
    <w:p w14:paraId="461928FE" w14:textId="77777777" w:rsidR="0052694E" w:rsidRDefault="00D7038D">
      <w:pPr>
        <w:adjustRightInd w:val="0"/>
        <w:snapToGrid w:val="0"/>
        <w:spacing w:line="560" w:lineRule="exact"/>
        <w:ind w:firstLineChars="200" w:firstLine="480"/>
        <w:rPr>
          <w:rFonts w:ascii="楷体" w:eastAsia="楷体" w:hAnsi="楷体"/>
          <w:color w:val="000000"/>
          <w:sz w:val="24"/>
          <w:szCs w:val="24"/>
        </w:rPr>
      </w:pPr>
      <w:r>
        <w:rPr>
          <w:rFonts w:ascii="楷体" w:eastAsia="楷体" w:hAnsi="楷体"/>
          <w:color w:val="000000"/>
          <w:sz w:val="24"/>
          <w:szCs w:val="24"/>
        </w:rPr>
        <w:t>（编制提醒</w:t>
      </w:r>
      <w:r>
        <w:rPr>
          <w:rFonts w:ascii="楷体" w:eastAsia="楷体" w:hAnsi="楷体" w:hint="eastAsia"/>
          <w:color w:val="000000"/>
          <w:sz w:val="24"/>
          <w:szCs w:val="24"/>
        </w:rPr>
        <w:t>：董事会仅审议了一项议案</w:t>
      </w:r>
      <w:r>
        <w:rPr>
          <w:rFonts w:ascii="楷体" w:eastAsia="楷体" w:hAnsi="楷体"/>
          <w:color w:val="000000"/>
          <w:sz w:val="24"/>
          <w:szCs w:val="24"/>
        </w:rPr>
        <w:t>,</w:t>
      </w:r>
      <w:r>
        <w:rPr>
          <w:rFonts w:ascii="楷体" w:eastAsia="楷体" w:hAnsi="楷体" w:hint="eastAsia"/>
          <w:color w:val="000000"/>
          <w:sz w:val="24"/>
          <w:szCs w:val="24"/>
        </w:rPr>
        <w:t>且所审议案涉及事项已有具体对应的重大事件公告</w:t>
      </w:r>
      <w:r>
        <w:rPr>
          <w:rFonts w:ascii="楷体" w:eastAsia="楷体" w:hAnsi="楷体"/>
          <w:color w:val="000000"/>
          <w:sz w:val="24"/>
          <w:szCs w:val="24"/>
        </w:rPr>
        <w:t>,</w:t>
      </w:r>
      <w:r>
        <w:rPr>
          <w:rFonts w:ascii="楷体" w:eastAsia="楷体" w:hAnsi="楷体" w:hint="eastAsia"/>
          <w:color w:val="000000"/>
          <w:sz w:val="24"/>
          <w:szCs w:val="24"/>
        </w:rPr>
        <w:t>则公司无需另行提交董事会决议公告</w:t>
      </w:r>
      <w:r>
        <w:rPr>
          <w:rFonts w:ascii="楷体" w:eastAsia="楷体" w:hAnsi="楷体"/>
          <w:color w:val="000000"/>
          <w:sz w:val="24"/>
          <w:szCs w:val="24"/>
        </w:rPr>
        <w:t>,</w:t>
      </w:r>
      <w:r>
        <w:rPr>
          <w:rFonts w:ascii="楷体" w:eastAsia="楷体" w:hAnsi="楷体" w:hint="eastAsia"/>
          <w:color w:val="000000"/>
          <w:sz w:val="24"/>
          <w:szCs w:val="24"/>
        </w:rPr>
        <w:t>仅需在前述公告中参照本公告格式说明董事会审议情况。</w:t>
      </w:r>
      <w:r>
        <w:rPr>
          <w:rFonts w:ascii="楷体" w:eastAsia="楷体" w:hAnsi="楷体"/>
          <w:color w:val="000000"/>
          <w:sz w:val="24"/>
          <w:szCs w:val="24"/>
        </w:rPr>
        <w:t>）</w:t>
      </w:r>
    </w:p>
    <w:p w14:paraId="4E467915" w14:textId="77777777" w:rsidR="0052694E" w:rsidRDefault="0052694E">
      <w:pPr>
        <w:adjustRightInd w:val="0"/>
        <w:snapToGrid w:val="0"/>
        <w:spacing w:line="560" w:lineRule="exact"/>
        <w:ind w:firstLineChars="200" w:firstLine="480"/>
        <w:rPr>
          <w:rFonts w:ascii="楷体" w:eastAsia="楷体" w:hAnsi="楷体"/>
          <w:color w:val="000000"/>
          <w:sz w:val="24"/>
          <w:szCs w:val="24"/>
        </w:rPr>
      </w:pPr>
    </w:p>
    <w:p w14:paraId="009FE82F" w14:textId="77777777" w:rsidR="0052694E" w:rsidRDefault="00D7038D">
      <w:pPr>
        <w:adjustRightInd w:val="0"/>
        <w:snapToGrid w:val="0"/>
        <w:spacing w:line="560" w:lineRule="exact"/>
        <w:ind w:firstLineChars="200" w:firstLine="600"/>
        <w:jc w:val="right"/>
        <w:rPr>
          <w:rFonts w:ascii="仿宋" w:eastAsia="仿宋_GB2312" w:hAnsi="仿宋"/>
          <w:color w:val="000000"/>
          <w:sz w:val="30"/>
          <w:szCs w:val="30"/>
        </w:rPr>
      </w:pPr>
      <w:r>
        <w:rPr>
          <w:rFonts w:ascii="仿宋_GB2312" w:eastAsia="仿宋_GB2312" w:hAnsi="宋体" w:cs="宋体" w:hint="eastAsia"/>
          <w:color w:val="000000"/>
          <w:kern w:val="0"/>
          <w:sz w:val="30"/>
          <w:szCs w:val="30"/>
        </w:rPr>
        <w:t>××××</w:t>
      </w:r>
      <w:r>
        <w:rPr>
          <w:rFonts w:ascii="仿宋_GB2312" w:eastAsia="仿宋_GB2312" w:hAnsi="仿宋_GB2312" w:cs="仿宋_GB2312" w:hint="eastAsia"/>
          <w:color w:val="000000"/>
          <w:sz w:val="30"/>
          <w:szCs w:val="30"/>
        </w:rPr>
        <w:t>股</w:t>
      </w:r>
      <w:r>
        <w:rPr>
          <w:rFonts w:ascii="仿宋" w:eastAsia="仿宋_GB2312" w:hAnsi="仿宋" w:hint="eastAsia"/>
          <w:color w:val="000000"/>
          <w:sz w:val="30"/>
          <w:szCs w:val="30"/>
        </w:rPr>
        <w:t>份有限公司董事会</w:t>
      </w:r>
    </w:p>
    <w:p w14:paraId="119B067A" w14:textId="77777777" w:rsidR="0052694E" w:rsidRDefault="00D7038D">
      <w:pPr>
        <w:adjustRightInd w:val="0"/>
        <w:snapToGrid w:val="0"/>
        <w:spacing w:line="560" w:lineRule="exact"/>
        <w:ind w:firstLineChars="200" w:firstLine="600"/>
        <w:jc w:val="right"/>
        <w:rPr>
          <w:rFonts w:ascii="仿宋" w:eastAsia="仿宋_GB2312" w:hAnsi="仿宋"/>
          <w:color w:val="000000"/>
          <w:sz w:val="30"/>
          <w:szCs w:val="30"/>
        </w:rPr>
      </w:pPr>
      <w:r>
        <w:rPr>
          <w:rFonts w:ascii="仿宋" w:eastAsia="仿宋_GB2312" w:hAnsi="仿宋" w:hint="eastAsia"/>
          <w:color w:val="000000"/>
          <w:sz w:val="30"/>
          <w:szCs w:val="30"/>
        </w:rPr>
        <w:t>年</w:t>
      </w:r>
      <w:r>
        <w:rPr>
          <w:rFonts w:ascii="仿宋" w:eastAsia="仿宋_GB2312" w:hAnsi="仿宋"/>
          <w:color w:val="000000"/>
          <w:sz w:val="30"/>
          <w:szCs w:val="30"/>
        </w:rPr>
        <w:t xml:space="preserve">  </w:t>
      </w:r>
      <w:r>
        <w:rPr>
          <w:rFonts w:ascii="仿宋" w:eastAsia="仿宋_GB2312" w:hAnsi="仿宋" w:hint="eastAsia"/>
          <w:color w:val="000000"/>
          <w:sz w:val="30"/>
          <w:szCs w:val="30"/>
        </w:rPr>
        <w:t>月</w:t>
      </w:r>
      <w:r>
        <w:rPr>
          <w:rFonts w:ascii="仿宋" w:eastAsia="仿宋_GB2312" w:hAnsi="仿宋"/>
          <w:color w:val="000000"/>
          <w:sz w:val="30"/>
          <w:szCs w:val="30"/>
        </w:rPr>
        <w:t xml:space="preserve">  </w:t>
      </w:r>
      <w:r>
        <w:rPr>
          <w:rFonts w:ascii="仿宋" w:eastAsia="仿宋_GB2312" w:hAnsi="仿宋" w:hint="eastAsia"/>
          <w:color w:val="000000"/>
          <w:sz w:val="30"/>
          <w:szCs w:val="30"/>
        </w:rPr>
        <w:t>日</w:t>
      </w:r>
    </w:p>
    <w:p w14:paraId="03544107" w14:textId="77777777" w:rsidR="0052694E" w:rsidRDefault="0052694E">
      <w:pPr>
        <w:adjustRightInd w:val="0"/>
        <w:snapToGrid w:val="0"/>
        <w:spacing w:line="560" w:lineRule="exact"/>
        <w:ind w:firstLineChars="200" w:firstLine="600"/>
        <w:jc w:val="right"/>
        <w:rPr>
          <w:rFonts w:ascii="仿宋" w:eastAsia="仿宋_GB2312" w:hAnsi="仿宋"/>
          <w:color w:val="000000"/>
          <w:sz w:val="30"/>
          <w:szCs w:val="30"/>
        </w:rPr>
      </w:pPr>
    </w:p>
    <w:p w14:paraId="524F6C31" w14:textId="77777777" w:rsidR="0052694E" w:rsidRDefault="00D7038D">
      <w:pPr>
        <w:pStyle w:val="af"/>
        <w:numPr>
          <w:ilvl w:val="0"/>
          <w:numId w:val="2"/>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4BF6704D" w14:textId="77777777" w:rsidR="0052694E" w:rsidRDefault="00D7038D">
      <w:pPr>
        <w:adjustRightInd w:val="0"/>
        <w:snapToGrid w:val="0"/>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Pr>
          <w:rFonts w:ascii="仿宋_GB2312" w:eastAsia="仿宋_GB2312" w:hAnsi="宋体" w:cs="宋体"/>
          <w:kern w:val="0"/>
          <w:sz w:val="30"/>
          <w:szCs w:val="30"/>
        </w:rPr>
        <w:t>.</w:t>
      </w:r>
      <w:r>
        <w:rPr>
          <w:rFonts w:ascii="仿宋_GB2312" w:eastAsia="仿宋_GB2312" w:hAnsi="宋体" w:cs="宋体" w:hint="eastAsia"/>
          <w:kern w:val="0"/>
          <w:sz w:val="30"/>
          <w:szCs w:val="30"/>
        </w:rPr>
        <w:t>中介机构意见（如适用）</w:t>
      </w:r>
    </w:p>
    <w:p w14:paraId="483F20A0" w14:textId="77777777" w:rsidR="0052694E" w:rsidRDefault="0052694E">
      <w:pPr>
        <w:adjustRightInd w:val="0"/>
        <w:snapToGrid w:val="0"/>
        <w:spacing w:line="560" w:lineRule="exact"/>
        <w:ind w:firstLineChars="200" w:firstLine="600"/>
        <w:jc w:val="right"/>
        <w:rPr>
          <w:rFonts w:ascii="仿宋" w:eastAsia="仿宋_GB2312" w:hAnsi="仿宋"/>
          <w:color w:val="000000"/>
          <w:sz w:val="30"/>
          <w:szCs w:val="30"/>
        </w:rPr>
      </w:pPr>
    </w:p>
    <w:p w14:paraId="38D36E1F" w14:textId="77777777" w:rsidR="0052694E" w:rsidRDefault="00D7038D">
      <w:pPr>
        <w:pStyle w:val="af"/>
        <w:numPr>
          <w:ilvl w:val="0"/>
          <w:numId w:val="2"/>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2234667E" w14:textId="77777777" w:rsidR="0052694E" w:rsidRDefault="00D7038D" w:rsidP="00EF008A">
      <w:pPr>
        <w:numPr>
          <w:ilvl w:val="0"/>
          <w:numId w:val="3"/>
        </w:numPr>
        <w:tabs>
          <w:tab w:val="clear" w:pos="312"/>
          <w:tab w:val="left" w:pos="930"/>
        </w:tabs>
        <w:adjustRightInd w:val="0"/>
        <w:snapToGrid w:val="0"/>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经与会董事签字确认的董事会决议</w:t>
      </w:r>
    </w:p>
    <w:p w14:paraId="4F4CB156" w14:textId="77777777" w:rsidR="0052694E" w:rsidRDefault="00D7038D" w:rsidP="00EF008A">
      <w:pPr>
        <w:numPr>
          <w:ilvl w:val="0"/>
          <w:numId w:val="3"/>
        </w:numPr>
        <w:tabs>
          <w:tab w:val="clear" w:pos="312"/>
          <w:tab w:val="left" w:pos="930"/>
        </w:tabs>
        <w:adjustRightInd w:val="0"/>
        <w:snapToGrid w:val="0"/>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董事会专门委员会审议、独立董事过半数同意的证明文件（如适用）</w:t>
      </w:r>
    </w:p>
    <w:p w14:paraId="4C3C079C" w14:textId="77777777" w:rsidR="0052694E" w:rsidRDefault="0052694E">
      <w:pPr>
        <w:adjustRightInd w:val="0"/>
        <w:snapToGrid w:val="0"/>
        <w:spacing w:line="560" w:lineRule="exact"/>
        <w:ind w:firstLineChars="200" w:firstLine="600"/>
        <w:rPr>
          <w:rFonts w:ascii="仿宋" w:eastAsia="仿宋_GB2312" w:hAnsi="仿宋"/>
          <w:color w:val="000000"/>
          <w:sz w:val="30"/>
          <w:szCs w:val="30"/>
        </w:rPr>
      </w:pPr>
    </w:p>
    <w:p w14:paraId="35FCBD92" w14:textId="77777777" w:rsidR="0052694E" w:rsidRDefault="0052694E">
      <w:pPr>
        <w:adjustRightInd w:val="0"/>
        <w:snapToGrid w:val="0"/>
        <w:spacing w:line="560" w:lineRule="exact"/>
        <w:ind w:firstLineChars="200" w:firstLine="600"/>
        <w:rPr>
          <w:rFonts w:ascii="仿宋_GB2312" w:eastAsia="仿宋_GB2312" w:hAnsi="宋体" w:cs="宋体"/>
          <w:kern w:val="0"/>
          <w:sz w:val="30"/>
          <w:szCs w:val="30"/>
        </w:rPr>
      </w:pPr>
    </w:p>
    <w:sectPr w:rsidR="0052694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73613" w14:textId="77777777" w:rsidR="00D7038D" w:rsidRDefault="00D7038D">
      <w:r>
        <w:separator/>
      </w:r>
    </w:p>
  </w:endnote>
  <w:endnote w:type="continuationSeparator" w:id="0">
    <w:p w14:paraId="6F9458D4" w14:textId="77777777" w:rsidR="00D7038D" w:rsidRDefault="00D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207842"/>
    </w:sdtPr>
    <w:sdtEndPr/>
    <w:sdtContent>
      <w:p w14:paraId="4A5C6BD5" w14:textId="71DD088E" w:rsidR="0052694E" w:rsidRDefault="00D7038D">
        <w:pPr>
          <w:pStyle w:val="a7"/>
          <w:jc w:val="center"/>
        </w:pPr>
        <w:r>
          <w:fldChar w:fldCharType="begin"/>
        </w:r>
        <w:r>
          <w:instrText>PAGE   \* MERGEFORMAT</w:instrText>
        </w:r>
        <w:r>
          <w:fldChar w:fldCharType="separate"/>
        </w:r>
        <w:r w:rsidR="00EF008A" w:rsidRPr="00EF008A">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9F7B" w14:textId="77777777" w:rsidR="00D7038D" w:rsidRDefault="00D7038D">
      <w:r>
        <w:separator/>
      </w:r>
    </w:p>
  </w:footnote>
  <w:footnote w:type="continuationSeparator" w:id="0">
    <w:p w14:paraId="3977F82A" w14:textId="77777777" w:rsidR="00D7038D" w:rsidRDefault="00D703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7E83D3"/>
    <w:multiLevelType w:val="singleLevel"/>
    <w:tmpl w:val="9E7E83D3"/>
    <w:lvl w:ilvl="0">
      <w:start w:val="1"/>
      <w:numFmt w:val="decimal"/>
      <w:lvlText w:val="%1."/>
      <w:lvlJc w:val="left"/>
      <w:pPr>
        <w:tabs>
          <w:tab w:val="left" w:pos="312"/>
        </w:tabs>
      </w:p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5AE7EB0"/>
    <w:multiLevelType w:val="multilevel"/>
    <w:tmpl w:val="65AE7EB0"/>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930"/>
        </w:tabs>
        <w:ind w:left="930" w:hanging="360"/>
      </w:pPr>
      <w:rPr>
        <w:rFonts w:cs="Times New Roman"/>
      </w:rPr>
    </w:lvl>
    <w:lvl w:ilvl="2">
      <w:start w:val="1"/>
      <w:numFmt w:val="decimal"/>
      <w:lvlText w:val="%3."/>
      <w:lvlJc w:val="left"/>
      <w:pPr>
        <w:tabs>
          <w:tab w:val="left" w:pos="1650"/>
        </w:tabs>
        <w:ind w:left="1650" w:hanging="360"/>
      </w:pPr>
      <w:rPr>
        <w:rFonts w:cs="Times New Roman"/>
      </w:rPr>
    </w:lvl>
    <w:lvl w:ilvl="3">
      <w:start w:val="1"/>
      <w:numFmt w:val="decimal"/>
      <w:lvlText w:val="%4."/>
      <w:lvlJc w:val="left"/>
      <w:pPr>
        <w:tabs>
          <w:tab w:val="left" w:pos="2370"/>
        </w:tabs>
        <w:ind w:left="2370" w:hanging="360"/>
      </w:pPr>
      <w:rPr>
        <w:rFonts w:cs="Times New Roman"/>
      </w:rPr>
    </w:lvl>
    <w:lvl w:ilvl="4">
      <w:start w:val="1"/>
      <w:numFmt w:val="decimal"/>
      <w:lvlText w:val="%5."/>
      <w:lvlJc w:val="left"/>
      <w:pPr>
        <w:tabs>
          <w:tab w:val="left" w:pos="3090"/>
        </w:tabs>
        <w:ind w:left="3090" w:hanging="360"/>
      </w:pPr>
      <w:rPr>
        <w:rFonts w:cs="Times New Roman"/>
      </w:rPr>
    </w:lvl>
    <w:lvl w:ilvl="5">
      <w:start w:val="1"/>
      <w:numFmt w:val="decimal"/>
      <w:lvlText w:val="%6."/>
      <w:lvlJc w:val="left"/>
      <w:pPr>
        <w:tabs>
          <w:tab w:val="left" w:pos="3810"/>
        </w:tabs>
        <w:ind w:left="3810" w:hanging="360"/>
      </w:pPr>
      <w:rPr>
        <w:rFonts w:cs="Times New Roman"/>
      </w:rPr>
    </w:lvl>
    <w:lvl w:ilvl="6">
      <w:start w:val="1"/>
      <w:numFmt w:val="decimal"/>
      <w:lvlText w:val="%7."/>
      <w:lvlJc w:val="left"/>
      <w:pPr>
        <w:tabs>
          <w:tab w:val="left" w:pos="4530"/>
        </w:tabs>
        <w:ind w:left="4530" w:hanging="360"/>
      </w:pPr>
      <w:rPr>
        <w:rFonts w:cs="Times New Roman"/>
      </w:rPr>
    </w:lvl>
    <w:lvl w:ilvl="7">
      <w:start w:val="1"/>
      <w:numFmt w:val="decimal"/>
      <w:lvlText w:val="%8."/>
      <w:lvlJc w:val="left"/>
      <w:pPr>
        <w:tabs>
          <w:tab w:val="left" w:pos="5250"/>
        </w:tabs>
        <w:ind w:left="5250" w:hanging="360"/>
      </w:pPr>
      <w:rPr>
        <w:rFonts w:cs="Times New Roman"/>
      </w:rPr>
    </w:lvl>
    <w:lvl w:ilvl="8">
      <w:start w:val="1"/>
      <w:numFmt w:val="decimal"/>
      <w:lvlText w:val="%9."/>
      <w:lvlJc w:val="left"/>
      <w:pPr>
        <w:tabs>
          <w:tab w:val="left" w:pos="5970"/>
        </w:tabs>
        <w:ind w:left="5970" w:hanging="360"/>
      </w:pPr>
      <w:rPr>
        <w:rFonts w:cs="Times New Roman"/>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27E2"/>
    <w:rsid w:val="9F7D7758"/>
    <w:rsid w:val="0008555B"/>
    <w:rsid w:val="000B1A1F"/>
    <w:rsid w:val="000D459A"/>
    <w:rsid w:val="00123266"/>
    <w:rsid w:val="0014777F"/>
    <w:rsid w:val="00192BD0"/>
    <w:rsid w:val="001A727A"/>
    <w:rsid w:val="001D06CF"/>
    <w:rsid w:val="00207B64"/>
    <w:rsid w:val="00225FE6"/>
    <w:rsid w:val="00243128"/>
    <w:rsid w:val="00252550"/>
    <w:rsid w:val="002B6913"/>
    <w:rsid w:val="003571E3"/>
    <w:rsid w:val="00391A1B"/>
    <w:rsid w:val="003E38F1"/>
    <w:rsid w:val="004A790E"/>
    <w:rsid w:val="004B5841"/>
    <w:rsid w:val="004D041E"/>
    <w:rsid w:val="004D0E8E"/>
    <w:rsid w:val="004E7C16"/>
    <w:rsid w:val="00522BE2"/>
    <w:rsid w:val="0052694E"/>
    <w:rsid w:val="005429C2"/>
    <w:rsid w:val="0055216A"/>
    <w:rsid w:val="005A2954"/>
    <w:rsid w:val="006150E2"/>
    <w:rsid w:val="006704CD"/>
    <w:rsid w:val="006E4DD1"/>
    <w:rsid w:val="00714B84"/>
    <w:rsid w:val="00726F44"/>
    <w:rsid w:val="00774170"/>
    <w:rsid w:val="00784666"/>
    <w:rsid w:val="007B073D"/>
    <w:rsid w:val="007B1916"/>
    <w:rsid w:val="007C3FFA"/>
    <w:rsid w:val="008320FC"/>
    <w:rsid w:val="008A06E7"/>
    <w:rsid w:val="0090186C"/>
    <w:rsid w:val="00915D39"/>
    <w:rsid w:val="00947C32"/>
    <w:rsid w:val="009B47DE"/>
    <w:rsid w:val="009D1A30"/>
    <w:rsid w:val="009E3152"/>
    <w:rsid w:val="00A27D2E"/>
    <w:rsid w:val="00A51C23"/>
    <w:rsid w:val="00A823F8"/>
    <w:rsid w:val="00AC3419"/>
    <w:rsid w:val="00BB61B6"/>
    <w:rsid w:val="00BC233A"/>
    <w:rsid w:val="00BC6717"/>
    <w:rsid w:val="00BF55AE"/>
    <w:rsid w:val="00BF7BDB"/>
    <w:rsid w:val="00C176A6"/>
    <w:rsid w:val="00C47186"/>
    <w:rsid w:val="00CB3486"/>
    <w:rsid w:val="00CB5EB0"/>
    <w:rsid w:val="00D40293"/>
    <w:rsid w:val="00D45861"/>
    <w:rsid w:val="00D46F41"/>
    <w:rsid w:val="00D7038D"/>
    <w:rsid w:val="00D8189C"/>
    <w:rsid w:val="00DB744D"/>
    <w:rsid w:val="00DD62E6"/>
    <w:rsid w:val="00DE3385"/>
    <w:rsid w:val="00DF73E8"/>
    <w:rsid w:val="00E301F1"/>
    <w:rsid w:val="00E558AE"/>
    <w:rsid w:val="00E95F43"/>
    <w:rsid w:val="00EC496E"/>
    <w:rsid w:val="00EE084C"/>
    <w:rsid w:val="00EF008A"/>
    <w:rsid w:val="00F0268C"/>
    <w:rsid w:val="00F670DD"/>
    <w:rsid w:val="00FE6306"/>
    <w:rsid w:val="00FF7741"/>
    <w:rsid w:val="37F6649E"/>
    <w:rsid w:val="5150387B"/>
    <w:rsid w:val="521827E2"/>
    <w:rsid w:val="54CA7B2B"/>
    <w:rsid w:val="77D11EA6"/>
    <w:rsid w:val="7DFA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523B7"/>
  <w15:docId w15:val="{6767D3E3-ED66-44CD-8063-5333FAD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spacing w:before="240" w:after="60"/>
      <w:jc w:val="center"/>
      <w:outlineLvl w:val="0"/>
    </w:pPr>
    <w:rPr>
      <w:rFonts w:asciiTheme="majorHAnsi" w:eastAsia="宋体" w:hAnsiTheme="majorHAnsi" w:cstheme="majorBidi"/>
      <w:b/>
      <w:bCs/>
      <w:sz w:val="30"/>
      <w:szCs w:val="32"/>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szCs w:val="22"/>
    </w:rPr>
  </w:style>
  <w:style w:type="character" w:customStyle="1" w:styleId="ad">
    <w:name w:val="批注主题 字符"/>
    <w:basedOn w:val="a4"/>
    <w:link w:val="ac"/>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2023-08-02T01:49:00Z</dcterms:created>
  <dcterms:modified xsi:type="dcterms:W3CDTF">2023-08-02T01:50:00Z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