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039" w:rsidRDefault="00BA32BF">
      <w:pPr>
        <w:jc w:val="center"/>
        <w:rPr>
          <w:rFonts w:ascii="Times New Roman" w:eastAsia="黑体" w:hAnsi="Times New Roman"/>
          <w:b/>
          <w:bCs/>
          <w:sz w:val="36"/>
          <w:szCs w:val="36"/>
        </w:rPr>
      </w:pPr>
      <w:r>
        <w:rPr>
          <w:rFonts w:ascii="Times New Roman" w:eastAsia="黑体" w:hAnsi="Times New Roman"/>
          <w:b/>
          <w:bCs/>
          <w:sz w:val="36"/>
          <w:szCs w:val="36"/>
        </w:rPr>
        <w:t>第三十</w:t>
      </w:r>
      <w:r>
        <w:rPr>
          <w:rFonts w:ascii="Times New Roman" w:eastAsia="黑体" w:hAnsi="Times New Roman" w:hint="eastAsia"/>
          <w:b/>
          <w:bCs/>
          <w:sz w:val="36"/>
          <w:szCs w:val="36"/>
        </w:rPr>
        <w:t>五</w:t>
      </w:r>
      <w:r>
        <w:rPr>
          <w:rFonts w:ascii="Times New Roman" w:eastAsia="黑体" w:hAnsi="Times New Roman"/>
          <w:b/>
          <w:bCs/>
          <w:sz w:val="36"/>
          <w:szCs w:val="36"/>
        </w:rPr>
        <w:t>号</w:t>
      </w:r>
      <w:r>
        <w:rPr>
          <w:rFonts w:ascii="Times New Roman" w:eastAsia="黑体" w:hAnsi="Times New Roman"/>
          <w:b/>
          <w:bCs/>
          <w:sz w:val="36"/>
          <w:szCs w:val="36"/>
        </w:rPr>
        <w:t xml:space="preserve"> </w:t>
      </w:r>
      <w:r>
        <w:rPr>
          <w:rFonts w:ascii="Times New Roman" w:eastAsia="黑体" w:hAnsi="Times New Roman"/>
          <w:b/>
          <w:bCs/>
          <w:sz w:val="36"/>
          <w:szCs w:val="36"/>
        </w:rPr>
        <w:t>上市公司利润分配、公积金转增</w:t>
      </w:r>
    </w:p>
    <w:p w:rsidR="005C3039" w:rsidRDefault="00BA32BF">
      <w:pPr>
        <w:jc w:val="center"/>
        <w:rPr>
          <w:rFonts w:ascii="Times New Roman" w:eastAsia="黑体" w:hAnsi="Times New Roman"/>
          <w:b/>
          <w:bCs/>
          <w:sz w:val="36"/>
          <w:szCs w:val="36"/>
        </w:rPr>
      </w:pPr>
      <w:r>
        <w:rPr>
          <w:rFonts w:ascii="Times New Roman" w:eastAsia="黑体" w:hAnsi="Times New Roman"/>
          <w:b/>
          <w:bCs/>
          <w:sz w:val="36"/>
          <w:szCs w:val="36"/>
        </w:rPr>
        <w:t>股本方案公告</w:t>
      </w:r>
    </w:p>
    <w:p w:rsidR="005C3039" w:rsidRDefault="005C3039">
      <w:pPr>
        <w:adjustRightInd w:val="0"/>
        <w:snapToGrid w:val="0"/>
        <w:spacing w:line="560" w:lineRule="exact"/>
        <w:ind w:firstLineChars="196" w:firstLine="590"/>
        <w:rPr>
          <w:rFonts w:ascii="Times New Roman" w:eastAsia="仿宋_GB2312" w:hAnsi="Times New Roman"/>
          <w:b/>
          <w:sz w:val="30"/>
          <w:szCs w:val="30"/>
        </w:rPr>
      </w:pPr>
    </w:p>
    <w:p w:rsidR="005C3039" w:rsidRDefault="00BA32BF">
      <w:pPr>
        <w:autoSpaceDE w:val="0"/>
        <w:autoSpaceDN w:val="0"/>
        <w:adjustRightInd w:val="0"/>
        <w:snapToGrid w:val="0"/>
        <w:spacing w:line="560" w:lineRule="exact"/>
        <w:rPr>
          <w:rFonts w:ascii="Times New Roman" w:eastAsia="仿宋_GB2312" w:hAnsi="Times New Roman"/>
          <w:b/>
          <w:sz w:val="30"/>
          <w:szCs w:val="30"/>
        </w:rPr>
      </w:pPr>
      <w:r>
        <w:rPr>
          <w:rFonts w:ascii="Times New Roman" w:eastAsia="仿宋_GB2312" w:hAnsi="Times New Roman"/>
          <w:b/>
          <w:sz w:val="30"/>
          <w:szCs w:val="30"/>
        </w:rPr>
        <w:t>适用情形：</w:t>
      </w:r>
    </w:p>
    <w:p w:rsidR="005C3039" w:rsidRDefault="00BA32BF">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上市公司编制披露利润分配、公积金转增股本方案，包括派发现金红利、股票股利、以公积金转增股本等，适用本公告格式。</w:t>
      </w:r>
    </w:p>
    <w:p w:rsidR="005C3039" w:rsidRDefault="00BA32BF">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上市公司董事会在审议通过利润分配、公积金转增股本方案后，原则上与相关董事会决议公告一并披露本公告。</w:t>
      </w:r>
    </w:p>
    <w:p w:rsidR="005C3039" w:rsidRDefault="00BA32BF">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3.</w:t>
      </w:r>
      <w:r>
        <w:rPr>
          <w:rFonts w:ascii="Times New Roman" w:eastAsia="仿宋_GB2312" w:hAnsi="Times New Roman"/>
          <w:color w:val="000000"/>
          <w:sz w:val="30"/>
          <w:szCs w:val="30"/>
        </w:rPr>
        <w:t>上市公司董事会审议高送转事项的，应当适用本公告格式。单独或合计持有公司</w:t>
      </w:r>
      <w:r>
        <w:rPr>
          <w:rFonts w:ascii="Times New Roman" w:eastAsia="仿宋_GB2312" w:hAnsi="Times New Roman"/>
          <w:color w:val="000000"/>
          <w:sz w:val="30"/>
          <w:szCs w:val="30"/>
        </w:rPr>
        <w:t>3%</w:t>
      </w:r>
      <w:r>
        <w:rPr>
          <w:rFonts w:ascii="Times New Roman" w:eastAsia="仿宋_GB2312" w:hAnsi="Times New Roman"/>
          <w:color w:val="000000"/>
          <w:sz w:val="30"/>
          <w:szCs w:val="30"/>
        </w:rPr>
        <w:t>以上</w:t>
      </w:r>
      <w:r>
        <w:rPr>
          <w:rFonts w:ascii="Times New Roman" w:eastAsia="仿宋_GB2312" w:hAnsi="Times New Roman" w:hint="eastAsia"/>
          <w:color w:val="000000"/>
          <w:sz w:val="30"/>
          <w:szCs w:val="30"/>
        </w:rPr>
        <w:t>股份</w:t>
      </w:r>
      <w:r>
        <w:rPr>
          <w:rFonts w:ascii="Times New Roman" w:eastAsia="仿宋_GB2312" w:hAnsi="Times New Roman"/>
          <w:color w:val="000000"/>
          <w:sz w:val="30"/>
          <w:szCs w:val="30"/>
        </w:rPr>
        <w:t>的股东及其一致行动人直接向股东大会提出高送转议案的，参照适用本公告格式。</w:t>
      </w:r>
    </w:p>
    <w:p w:rsidR="005C3039" w:rsidRDefault="00BA32BF">
      <w:pPr>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4.</w:t>
      </w:r>
      <w:r>
        <w:rPr>
          <w:rFonts w:ascii="Times New Roman" w:eastAsia="仿宋_GB2312" w:hAnsi="Times New Roman"/>
          <w:color w:val="000000"/>
          <w:sz w:val="30"/>
          <w:szCs w:val="30"/>
        </w:rPr>
        <w:t>上市公司拟披露本所规则规定的高送转方案的，应当符合相关业务规则要求。</w:t>
      </w:r>
    </w:p>
    <w:p w:rsidR="005C3039" w:rsidRDefault="005C3039">
      <w:pPr>
        <w:adjustRightInd w:val="0"/>
        <w:snapToGrid w:val="0"/>
        <w:spacing w:line="560" w:lineRule="exact"/>
        <w:ind w:firstLineChars="350" w:firstLine="840"/>
        <w:rPr>
          <w:rFonts w:ascii="Times New Roman" w:hAnsi="Times New Roman"/>
          <w:sz w:val="24"/>
        </w:rPr>
      </w:pPr>
    </w:p>
    <w:p w:rsidR="005C3039" w:rsidRDefault="00BA32BF">
      <w:pPr>
        <w:adjustRightInd w:val="0"/>
        <w:snapToGrid w:val="0"/>
        <w:spacing w:line="560" w:lineRule="exact"/>
        <w:rPr>
          <w:rFonts w:ascii="Times New Roman" w:eastAsia="仿宋_GB2312" w:hAnsi="Times New Roman"/>
          <w:sz w:val="30"/>
          <w:szCs w:val="30"/>
        </w:rPr>
      </w:pPr>
      <w:r>
        <w:rPr>
          <w:rFonts w:ascii="Times New Roman" w:eastAsia="仿宋_GB2312" w:hAnsi="Times New Roman"/>
          <w:sz w:val="30"/>
          <w:szCs w:val="30"/>
        </w:rPr>
        <w:t>证券代码：</w:t>
      </w:r>
      <w:r>
        <w:rPr>
          <w:rFonts w:ascii="Times New Roman" w:eastAsia="仿宋_GB2312" w:hAnsi="Times New Roman"/>
          <w:sz w:val="30"/>
          <w:szCs w:val="30"/>
        </w:rPr>
        <w:t xml:space="preserve">             </w:t>
      </w:r>
      <w:r>
        <w:rPr>
          <w:rFonts w:ascii="Times New Roman" w:eastAsia="仿宋_GB2312" w:hAnsi="Times New Roman"/>
          <w:sz w:val="30"/>
          <w:szCs w:val="30"/>
        </w:rPr>
        <w:t>证券简称：</w:t>
      </w:r>
      <w:r>
        <w:rPr>
          <w:rFonts w:ascii="Times New Roman" w:eastAsia="仿宋_GB2312" w:hAnsi="Times New Roman"/>
          <w:sz w:val="30"/>
          <w:szCs w:val="30"/>
        </w:rPr>
        <w:t xml:space="preserve">            </w:t>
      </w:r>
      <w:r>
        <w:rPr>
          <w:rFonts w:ascii="Times New Roman" w:eastAsia="仿宋_GB2312" w:hAnsi="Times New Roman"/>
          <w:sz w:val="30"/>
          <w:szCs w:val="30"/>
        </w:rPr>
        <w:t>公告编号：</w:t>
      </w:r>
    </w:p>
    <w:p w:rsidR="005C3039" w:rsidRDefault="005C3039">
      <w:pPr>
        <w:adjustRightInd w:val="0"/>
        <w:snapToGrid w:val="0"/>
        <w:spacing w:line="560" w:lineRule="exact"/>
        <w:jc w:val="center"/>
        <w:rPr>
          <w:rFonts w:ascii="Times New Roman" w:hAnsi="Times New Roman"/>
          <w:sz w:val="24"/>
        </w:rPr>
      </w:pPr>
    </w:p>
    <w:p w:rsidR="005C3039" w:rsidRDefault="00BA32BF">
      <w:pPr>
        <w:snapToGrid w:val="0"/>
        <w:spacing w:line="560" w:lineRule="exact"/>
        <w:jc w:val="center"/>
        <w:rPr>
          <w:rFonts w:ascii="仿宋_GB2312" w:eastAsia="仿宋_GB2312" w:hAnsi="Times New Roman"/>
          <w:color w:val="000000"/>
          <w:sz w:val="30"/>
          <w:szCs w:val="30"/>
        </w:rPr>
      </w:pPr>
      <w:r>
        <w:rPr>
          <w:rFonts w:ascii="仿宋_GB2312" w:eastAsia="仿宋_GB2312" w:hAnsi="Times New Roman" w:hint="eastAsia"/>
          <w:color w:val="000000"/>
          <w:sz w:val="30"/>
          <w:szCs w:val="30"/>
        </w:rPr>
        <w:t>XXXX股份有限公司XXXX年年度（一季度/半年度/三季度）</w:t>
      </w:r>
    </w:p>
    <w:p w:rsidR="005C3039" w:rsidRDefault="00BA32BF">
      <w:pPr>
        <w:snapToGrid w:val="0"/>
        <w:spacing w:line="560" w:lineRule="exact"/>
        <w:jc w:val="center"/>
        <w:rPr>
          <w:rFonts w:ascii="仿宋_GB2312" w:eastAsia="仿宋_GB2312" w:hAnsi="Times New Roman"/>
          <w:color w:val="000000"/>
          <w:sz w:val="30"/>
          <w:szCs w:val="30"/>
        </w:rPr>
      </w:pPr>
      <w:r>
        <w:rPr>
          <w:rFonts w:ascii="仿宋_GB2312" w:eastAsia="仿宋_GB2312" w:hAnsi="Times New Roman" w:hint="eastAsia"/>
          <w:color w:val="000000"/>
          <w:sz w:val="30"/>
          <w:szCs w:val="30"/>
        </w:rPr>
        <w:t>利润分配（及公积金转增股本）方案公告</w:t>
      </w:r>
    </w:p>
    <w:p w:rsidR="005C3039" w:rsidRDefault="005C3039">
      <w:pPr>
        <w:widowControl/>
        <w:spacing w:line="560" w:lineRule="exact"/>
        <w:ind w:firstLineChars="200" w:firstLine="480"/>
        <w:rPr>
          <w:rFonts w:ascii="Times New Roman" w:eastAsia="楷体" w:hAnsi="Times New Roman"/>
          <w:sz w:val="24"/>
        </w:rPr>
      </w:pP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1.</w:t>
      </w:r>
      <w:r>
        <w:rPr>
          <w:rFonts w:ascii="Times New Roman" w:eastAsia="楷体" w:hAnsi="Times New Roman"/>
          <w:color w:val="000000"/>
          <w:kern w:val="0"/>
          <w:sz w:val="24"/>
          <w:szCs w:val="24"/>
        </w:rPr>
        <w:t>根据相关规定，为保证权益分派实施时股本的确定性，上市公司向中国结算提交权益分派申请后、实施完毕之前，不能申请实施发行证券等其他涉及股本结构变动的业务或者披露相关业务实施公告。上市公司应当做好证券发行、利润</w:t>
      </w:r>
      <w:r>
        <w:rPr>
          <w:rFonts w:ascii="Times New Roman" w:eastAsia="楷体" w:hAnsi="Times New Roman"/>
          <w:color w:val="000000"/>
          <w:kern w:val="0"/>
          <w:sz w:val="24"/>
          <w:szCs w:val="24"/>
        </w:rPr>
        <w:lastRenderedPageBreak/>
        <w:t>分配工作等相关安排，避免产生冲突。</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2.</w:t>
      </w:r>
      <w:r>
        <w:rPr>
          <w:rFonts w:ascii="Times New Roman" w:eastAsia="楷体" w:hAnsi="Times New Roman"/>
          <w:color w:val="000000"/>
          <w:kern w:val="0"/>
          <w:sz w:val="24"/>
          <w:szCs w:val="24"/>
        </w:rPr>
        <w:t>上市公司拟依据半年度财务数据派发股票股利或者以公积金转增股本的，半年度财务报告应当审计。</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3.</w:t>
      </w:r>
      <w:r>
        <w:rPr>
          <w:rFonts w:ascii="Times New Roman" w:eastAsia="楷体" w:hAnsi="Times New Roman"/>
          <w:color w:val="000000"/>
          <w:kern w:val="0"/>
          <w:sz w:val="24"/>
          <w:szCs w:val="24"/>
        </w:rPr>
        <w:t>利润分配、转增股本方案经股东大会审议通过后实施时，应当按照权益分派实施相关公告格式的要求披露实施安排。）</w:t>
      </w:r>
    </w:p>
    <w:p w:rsidR="005C3039" w:rsidRDefault="005C3039">
      <w:pPr>
        <w:adjustRightInd w:val="0"/>
        <w:snapToGrid w:val="0"/>
        <w:spacing w:line="560" w:lineRule="exact"/>
        <w:ind w:firstLineChars="200" w:firstLine="480"/>
        <w:rPr>
          <w:rFonts w:ascii="Times New Roman" w:hAnsi="Times New Roman"/>
          <w:sz w:val="24"/>
        </w:rPr>
      </w:pPr>
    </w:p>
    <w:p w:rsidR="005C3039" w:rsidRDefault="00BA32BF">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本公司董事会及全体董事保证本公告内容不存在任何虚假记载、误导性陈述或者重大遗漏，并对其内容的真实性、准确性和完整性承担法律责任。</w:t>
      </w:r>
    </w:p>
    <w:p w:rsidR="005C3039" w:rsidRDefault="00BA32BF">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如有董事对临时公告内容的真实性、准确性和完整性无法保证或存在异议的，公司应当在公告中作特别提示。</w:t>
      </w:r>
    </w:p>
    <w:p w:rsidR="005C3039" w:rsidRDefault="005C3039">
      <w:pPr>
        <w:adjustRightInd w:val="0"/>
        <w:snapToGrid w:val="0"/>
        <w:spacing w:line="560" w:lineRule="exact"/>
        <w:ind w:firstLineChars="200" w:firstLine="600"/>
        <w:rPr>
          <w:rFonts w:ascii="Times New Roman" w:eastAsia="仿宋_GB2312" w:hAnsi="Times New Roman"/>
          <w:bCs/>
          <w:sz w:val="30"/>
          <w:szCs w:val="30"/>
        </w:rPr>
      </w:pPr>
    </w:p>
    <w:p w:rsidR="005C3039" w:rsidRDefault="00BA32BF">
      <w:pPr>
        <w:adjustRightInd w:val="0"/>
        <w:snapToGrid w:val="0"/>
        <w:spacing w:line="560" w:lineRule="exact"/>
        <w:ind w:firstLineChars="200" w:firstLine="602"/>
        <w:rPr>
          <w:rFonts w:ascii="Times New Roman" w:eastAsia="仿宋_GB2312" w:hAnsi="Times New Roman"/>
          <w:b/>
          <w:sz w:val="30"/>
          <w:szCs w:val="30"/>
        </w:rPr>
      </w:pPr>
      <w:r>
        <w:rPr>
          <w:rFonts w:ascii="Times New Roman" w:eastAsia="仿宋_GB2312" w:hAnsi="Times New Roman"/>
          <w:b/>
          <w:sz w:val="30"/>
          <w:szCs w:val="30"/>
        </w:rPr>
        <w:t>重要内容提示：</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每股分配比例，每股转增比例</w:t>
      </w:r>
    </w:p>
    <w:p w:rsidR="005C3039" w:rsidRDefault="00BA32BF">
      <w:pPr>
        <w:widowControl/>
        <w:spacing w:line="560" w:lineRule="exact"/>
        <w:ind w:firstLineChars="200" w:firstLine="600"/>
        <w:jc w:val="left"/>
        <w:rPr>
          <w:rFonts w:ascii="仿宋_GB2312" w:eastAsia="仿宋_GB2312" w:hAnsi="Times New Roman"/>
          <w:color w:val="000000"/>
          <w:sz w:val="30"/>
          <w:szCs w:val="30"/>
        </w:rPr>
      </w:pPr>
      <w:r>
        <w:rPr>
          <w:rFonts w:ascii="仿宋_GB2312" w:eastAsia="仿宋_GB2312" w:hAnsi="Times New Roman" w:hint="eastAsia"/>
          <w:color w:val="000000"/>
          <w:sz w:val="30"/>
          <w:szCs w:val="30"/>
        </w:rPr>
        <w:t>A股每股派发现金红利XX元，B股每股派发现金红利XX美元</w:t>
      </w:r>
    </w:p>
    <w:p w:rsidR="005C3039" w:rsidRDefault="00BA32BF">
      <w:pPr>
        <w:widowControl/>
        <w:spacing w:line="560" w:lineRule="exact"/>
        <w:ind w:firstLineChars="200" w:firstLine="600"/>
        <w:jc w:val="left"/>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每股派送红股XX股，每股转增XX股</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公司董事会关于高送转议案的审议结果（如适用）</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提议高送转的股东未来6个月是否有减持计划（如适用）</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本次利润分配/公积金转增股本以实施权益分派股权登记日登记的总股本为基数，具体日期将在权益分派实施公告中明确。</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在实施权益分派的股权登记日前公司总股本发生变动的，拟维持分配（转增）总额/每股分配（转增）比例不变，相应调</w:t>
      </w:r>
      <w:r>
        <w:rPr>
          <w:rFonts w:ascii="仿宋_GB2312" w:eastAsia="仿宋_GB2312" w:hAnsi="Times New Roman" w:hint="eastAsia"/>
          <w:color w:val="000000"/>
          <w:sz w:val="30"/>
          <w:szCs w:val="30"/>
        </w:rPr>
        <w:lastRenderedPageBreak/>
        <w:t>整每股分配（转增）比例/分配（转增）总额，并将在相关公告中披露。</w:t>
      </w:r>
    </w:p>
    <w:p w:rsidR="005C3039" w:rsidRDefault="00BA32BF">
      <w:pPr>
        <w:numPr>
          <w:ilvl w:val="3"/>
          <w:numId w:val="1"/>
        </w:numPr>
        <w:tabs>
          <w:tab w:val="clear" w:pos="2218"/>
          <w:tab w:val="left" w:pos="1080"/>
        </w:tabs>
        <w:adjustRightInd w:val="0"/>
        <w:snapToGrid w:val="0"/>
        <w:spacing w:line="560" w:lineRule="exact"/>
        <w:ind w:left="0"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本年度现金分红比例低于30%的简要原因说明（如适用）</w:t>
      </w:r>
    </w:p>
    <w:p w:rsidR="005C3039" w:rsidRDefault="005C3039" w:rsidP="00DA3E4D">
      <w:pPr>
        <w:widowControl/>
        <w:spacing w:line="560" w:lineRule="exact"/>
        <w:ind w:firstLineChars="200" w:firstLine="643"/>
        <w:rPr>
          <w:rFonts w:ascii="Times New Roman" w:eastAsia="黑体" w:hAnsi="Times New Roman"/>
          <w:b/>
          <w:color w:val="000000"/>
          <w:kern w:val="0"/>
          <w:sz w:val="32"/>
          <w:szCs w:val="32"/>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b/>
          <w:sz w:val="30"/>
          <w:szCs w:val="30"/>
        </w:rPr>
        <w:t>一、利润分配方案内容</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经XX会计师事务所审计，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1.上市公司拟向全体股东每股派发现金红利XX元（含税）。截至XX年XX月XX日，公司总股本XX股，以此计算合计拟派发现金红利XX元（含税）。本年度公司现金分红（包括中期已分配的现金红利）比例为XX%。</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2.上市公司拟向全体股东每股送红股XX股、以公积金转增XX股。截至XX年XX月XX日，公司总股本XX股，本次送转股后，公司的总股本为XX股。</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仿宋_GB2312" w:eastAsia="仿宋_GB2312" w:hAnsi="Times New Roman" w:hint="eastAsia"/>
          <w:color w:val="000000"/>
          <w:kern w:val="0"/>
          <w:sz w:val="30"/>
          <w:szCs w:val="30"/>
        </w:rPr>
        <w:t>上市公司因股权激励授予、股份回购等原因，涉及部分股份</w:t>
      </w:r>
      <w:r>
        <w:rPr>
          <w:rFonts w:ascii="Times New Roman" w:eastAsia="仿宋_GB2312" w:hAnsi="Times New Roman"/>
          <w:color w:val="000000"/>
          <w:kern w:val="0"/>
          <w:sz w:val="30"/>
          <w:szCs w:val="30"/>
        </w:rPr>
        <w:t>不参与本次利润分配及资本公积金转增股本的，需要列明不参与本次利润分配及资本公积金转增股本的股份数。</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如在本公告披露之日起至实施权益分派股权登记日期间，因可转债转股</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回购股份</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股权激励授予股份回购注销</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重大资产重组股份回购注销等致使公司总股本发生变动的，公司拟维持分配（转增）总额</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每股分配（转增）比例不变，相应调整每股分配</w:t>
      </w:r>
      <w:r>
        <w:rPr>
          <w:rFonts w:ascii="Times New Roman" w:eastAsia="仿宋_GB2312" w:hAnsi="Times New Roman"/>
          <w:color w:val="000000"/>
          <w:kern w:val="0"/>
          <w:sz w:val="30"/>
          <w:szCs w:val="30"/>
        </w:rPr>
        <w:lastRenderedPageBreak/>
        <w:t>（转增）比例</w:t>
      </w:r>
      <w:r>
        <w:rPr>
          <w:rFonts w:ascii="Times New Roman" w:eastAsia="仿宋_GB2312" w:hAnsi="Times New Roman"/>
          <w:color w:val="000000"/>
          <w:kern w:val="0"/>
          <w:sz w:val="30"/>
          <w:szCs w:val="30"/>
        </w:rPr>
        <w:t>/</w:t>
      </w:r>
      <w:r>
        <w:rPr>
          <w:rFonts w:ascii="Times New Roman" w:eastAsia="仿宋_GB2312" w:hAnsi="Times New Roman"/>
          <w:color w:val="000000"/>
          <w:kern w:val="0"/>
          <w:sz w:val="30"/>
          <w:szCs w:val="30"/>
        </w:rPr>
        <w:t>分配（转增）总额。如后续总股本发生变化，将另行公告具体调整情况。</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本次利润分配、公积金转增股本方案尚需提交股东大会审议。</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1.</w:t>
      </w:r>
      <w:r>
        <w:rPr>
          <w:rFonts w:ascii="Times New Roman" w:eastAsia="楷体" w:hAnsi="Times New Roman"/>
          <w:color w:val="000000"/>
          <w:kern w:val="0"/>
          <w:sz w:val="24"/>
          <w:szCs w:val="24"/>
        </w:rPr>
        <w:t>上市公司本次利润分配及公积金转增股本方案未以总股本为基数实施或存在其他差异化安排的，应当在公告作出特别提示和说明。</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2.</w:t>
      </w:r>
      <w:r>
        <w:rPr>
          <w:rFonts w:ascii="Times New Roman" w:eastAsia="楷体" w:hAnsi="Times New Roman"/>
          <w:color w:val="000000"/>
          <w:kern w:val="0"/>
          <w:sz w:val="24"/>
          <w:szCs w:val="24"/>
        </w:rPr>
        <w:t>上市公司在确定</w:t>
      </w:r>
      <w:r>
        <w:rPr>
          <w:rFonts w:ascii="Times New Roman" w:eastAsia="楷体" w:hAnsi="Times New Roman" w:hint="eastAsia"/>
          <w:color w:val="000000"/>
          <w:kern w:val="0"/>
          <w:sz w:val="24"/>
          <w:szCs w:val="24"/>
        </w:rPr>
        <w:t>能否实施利润分配</w:t>
      </w:r>
      <w:r>
        <w:rPr>
          <w:rFonts w:ascii="Times New Roman" w:eastAsia="楷体" w:hAnsi="Times New Roman"/>
          <w:color w:val="000000"/>
          <w:kern w:val="0"/>
          <w:sz w:val="24"/>
          <w:szCs w:val="24"/>
        </w:rPr>
        <w:t>时应当以母公司报表</w:t>
      </w:r>
      <w:r>
        <w:rPr>
          <w:rFonts w:ascii="Times New Roman" w:eastAsia="楷体" w:hAnsi="Times New Roman" w:hint="eastAsia"/>
          <w:color w:val="000000"/>
          <w:kern w:val="0"/>
          <w:sz w:val="24"/>
          <w:szCs w:val="24"/>
        </w:rPr>
        <w:t>期末未分配利润</w:t>
      </w:r>
      <w:r>
        <w:rPr>
          <w:rFonts w:ascii="Times New Roman" w:eastAsia="楷体" w:hAnsi="Times New Roman"/>
          <w:color w:val="000000"/>
          <w:kern w:val="0"/>
          <w:sz w:val="24"/>
          <w:szCs w:val="24"/>
        </w:rPr>
        <w:t>为基础，计算所涉及的分红比例时应当以合并报表</w:t>
      </w:r>
      <w:r>
        <w:rPr>
          <w:rFonts w:ascii="Times New Roman" w:eastAsia="楷体" w:hAnsi="Times New Roman" w:hint="eastAsia"/>
          <w:color w:val="000000"/>
          <w:kern w:val="0"/>
          <w:sz w:val="24"/>
          <w:szCs w:val="24"/>
        </w:rPr>
        <w:t>归属于上市公司股东净利润</w:t>
      </w:r>
      <w:r>
        <w:rPr>
          <w:rFonts w:ascii="Times New Roman" w:eastAsia="楷体" w:hAnsi="Times New Roman"/>
          <w:color w:val="000000"/>
          <w:kern w:val="0"/>
          <w:sz w:val="24"/>
          <w:szCs w:val="24"/>
        </w:rPr>
        <w:t>为基础。）</w:t>
      </w:r>
    </w:p>
    <w:p w:rsidR="005C3039" w:rsidRDefault="005C3039">
      <w:pPr>
        <w:autoSpaceDE w:val="0"/>
        <w:autoSpaceDN w:val="0"/>
        <w:adjustRightInd w:val="0"/>
        <w:snapToGrid w:val="0"/>
        <w:spacing w:line="560" w:lineRule="exact"/>
        <w:ind w:firstLineChars="200" w:firstLine="602"/>
        <w:rPr>
          <w:rFonts w:ascii="Times New Roman" w:eastAsia="黑体" w:hAnsi="Times New Roman"/>
          <w:b/>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b/>
          <w:sz w:val="30"/>
          <w:szCs w:val="30"/>
        </w:rPr>
        <w:t>二、本年度现金分红比例低于</w:t>
      </w:r>
      <w:r>
        <w:rPr>
          <w:rFonts w:ascii="Times New Roman" w:eastAsia="黑体" w:hAnsi="Times New Roman"/>
          <w:b/>
          <w:sz w:val="30"/>
          <w:szCs w:val="30"/>
        </w:rPr>
        <w:t>30%</w:t>
      </w:r>
      <w:r>
        <w:rPr>
          <w:rFonts w:ascii="Times New Roman" w:eastAsia="黑体" w:hAnsi="Times New Roman"/>
          <w:b/>
          <w:sz w:val="30"/>
          <w:szCs w:val="30"/>
        </w:rPr>
        <w:t>的情况说明（如适用）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报告期内，上市公司实现归属于上市公司股东的净利润XX元，拟分配的现金红利总额（包括中期已分配的现金红利，以及以现金为对价，当年采用集中竞价方式、要约方式已实施的股份回购金额）XX元，占本年度归属于上市公司股东的净利润比例低于30%，具体原因说明如下。</w:t>
      </w:r>
    </w:p>
    <w:p w:rsidR="005C3039" w:rsidRDefault="00BA32BF">
      <w:pPr>
        <w:autoSpaceDE w:val="0"/>
        <w:autoSpaceDN w:val="0"/>
        <w:adjustRightInd w:val="0"/>
        <w:snapToGrid w:val="0"/>
        <w:spacing w:line="560" w:lineRule="exact"/>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    （一）上市公司所处行业特点、发展阶段、自身经营模式、盈利水平、偿债能力及资金需求；</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（二）上市公司留存未分配利润的预计用途及收益情况；</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（三）公司是否按照中国证监会相关规定为中小股东参与现金分红决策提供了便利；</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（四）公司为增强投资者回报水平拟采取的措施。</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1.</w:t>
      </w:r>
      <w:r>
        <w:rPr>
          <w:rFonts w:ascii="Times New Roman" w:eastAsia="楷体" w:hAnsi="Times New Roman"/>
          <w:color w:val="000000"/>
          <w:kern w:val="0"/>
          <w:sz w:val="24"/>
          <w:szCs w:val="24"/>
        </w:rPr>
        <w:t>当</w:t>
      </w:r>
      <w:r>
        <w:rPr>
          <w:rFonts w:ascii="Times New Roman" w:eastAsia="楷体" w:hAnsi="Times New Roman" w:hint="eastAsia"/>
          <w:color w:val="000000"/>
          <w:kern w:val="0"/>
          <w:sz w:val="24"/>
          <w:szCs w:val="24"/>
        </w:rPr>
        <w:t>上市公司年度报告期内盈利且母公司报表中未分配利润为正，</w:t>
      </w:r>
      <w:r>
        <w:rPr>
          <w:rFonts w:ascii="Times New Roman" w:eastAsia="楷体" w:hAnsi="Times New Roman"/>
          <w:color w:val="000000"/>
          <w:kern w:val="0"/>
          <w:sz w:val="24"/>
          <w:szCs w:val="24"/>
        </w:rPr>
        <w:t>未进行现</w:t>
      </w:r>
      <w:r>
        <w:rPr>
          <w:rFonts w:ascii="Times New Roman" w:eastAsia="楷体" w:hAnsi="Times New Roman"/>
          <w:color w:val="000000"/>
          <w:kern w:val="0"/>
          <w:sz w:val="24"/>
          <w:szCs w:val="24"/>
        </w:rPr>
        <w:lastRenderedPageBreak/>
        <w:t>金分红或拟分配的现金红利总额（包括中期已分配的现金红利）与当年归属于上市公司股东的净利润之比低于</w:t>
      </w:r>
      <w:r>
        <w:rPr>
          <w:rFonts w:ascii="Times New Roman" w:eastAsia="楷体" w:hAnsi="Times New Roman"/>
          <w:color w:val="000000"/>
          <w:kern w:val="0"/>
          <w:sz w:val="24"/>
          <w:szCs w:val="24"/>
        </w:rPr>
        <w:t>30%</w:t>
      </w:r>
      <w:r>
        <w:rPr>
          <w:rFonts w:ascii="Times New Roman" w:eastAsia="楷体" w:hAnsi="Times New Roman"/>
          <w:color w:val="000000"/>
          <w:kern w:val="0"/>
          <w:sz w:val="24"/>
          <w:szCs w:val="24"/>
        </w:rPr>
        <w:t>的，公司董事会应当就有关情况进行针对性说明。</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2</w:t>
      </w:r>
      <w:r>
        <w:rPr>
          <w:rFonts w:ascii="Times New Roman" w:eastAsia="楷体" w:hAnsi="Times New Roman"/>
          <w:color w:val="000000"/>
          <w:kern w:val="0"/>
          <w:sz w:val="24"/>
          <w:szCs w:val="24"/>
        </w:rPr>
        <w:t>.</w:t>
      </w:r>
      <w:r>
        <w:rPr>
          <w:rFonts w:ascii="Times New Roman" w:eastAsia="楷体" w:hAnsi="Times New Roman"/>
          <w:color w:val="000000"/>
          <w:kern w:val="0"/>
          <w:sz w:val="24"/>
          <w:szCs w:val="24"/>
        </w:rPr>
        <w:t>上市公司以现金为对价，采用集中竞价方式、要约方式回购股份的，当年已实施的股份回购金额视同现金分红，纳入该年度现金分红的相关比例计算。</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3</w:t>
      </w:r>
      <w:r>
        <w:rPr>
          <w:rFonts w:ascii="Times New Roman" w:eastAsia="楷体" w:hAnsi="Times New Roman"/>
          <w:color w:val="000000"/>
          <w:kern w:val="0"/>
          <w:sz w:val="24"/>
          <w:szCs w:val="24"/>
        </w:rPr>
        <w:t>.</w:t>
      </w:r>
      <w:r>
        <w:rPr>
          <w:rFonts w:ascii="Times New Roman" w:eastAsia="楷体" w:hAnsi="Times New Roman"/>
          <w:color w:val="000000"/>
          <w:kern w:val="0"/>
          <w:sz w:val="24"/>
          <w:szCs w:val="24"/>
        </w:rPr>
        <w:t>现金分红比例低于</w:t>
      </w:r>
      <w:r>
        <w:rPr>
          <w:rFonts w:ascii="Times New Roman" w:eastAsia="楷体" w:hAnsi="Times New Roman"/>
          <w:color w:val="000000"/>
          <w:kern w:val="0"/>
          <w:sz w:val="24"/>
          <w:szCs w:val="24"/>
        </w:rPr>
        <w:t>30%</w:t>
      </w:r>
      <w:r>
        <w:rPr>
          <w:rFonts w:ascii="Times New Roman" w:eastAsia="楷体" w:hAnsi="Times New Roman"/>
          <w:color w:val="000000"/>
          <w:kern w:val="0"/>
          <w:sz w:val="24"/>
          <w:szCs w:val="24"/>
        </w:rPr>
        <w:t>，上市公司应当在年度报告披露之后、年度股东大会股权登记日之前，召开上市公司业绩说明会，就相关事项与媒体、股东特别是持有上市公司股份的机构投资者、中小股东进行沟通和交流，及时答复媒体和股东关心的问题。</w:t>
      </w:r>
      <w:r>
        <w:rPr>
          <w:rFonts w:ascii="Times New Roman" w:eastAsia="楷体" w:hAnsi="Times New Roman" w:hint="eastAsia"/>
          <w:color w:val="000000"/>
          <w:kern w:val="0"/>
          <w:sz w:val="24"/>
          <w:szCs w:val="24"/>
        </w:rPr>
        <w:t>）</w:t>
      </w:r>
    </w:p>
    <w:p w:rsidR="005C3039" w:rsidRDefault="005C3039">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三、上市公司母公司报表未分配利润为负但合并报表未分配利润为正的情况说明（如适用）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上市公司母公司报表中期末未分配利润为X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元，合并报表中期末未分配利润为X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元，报告期内，上市公司控股子公司向上市公司母公司实施现金分红XX元。说明母公司未分配利润为负但合并报表未分配利润为正的原因，及公司为增强投资者回报水平拟采取的措施。</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（编制提醒：上市公司母公司报表中未分配利润为负</w:t>
      </w:r>
      <w:r w:rsidR="00DA3E4D">
        <w:rPr>
          <w:rFonts w:ascii="Times New Roman" w:eastAsia="楷体" w:hAnsi="Times New Roman" w:hint="eastAsia"/>
          <w:color w:val="000000"/>
          <w:kern w:val="0"/>
          <w:sz w:val="24"/>
          <w:szCs w:val="24"/>
        </w:rPr>
        <w:t>但</w:t>
      </w:r>
      <w:r>
        <w:rPr>
          <w:rFonts w:ascii="Times New Roman" w:eastAsia="楷体" w:hAnsi="Times New Roman" w:hint="eastAsia"/>
          <w:color w:val="000000"/>
          <w:kern w:val="0"/>
          <w:sz w:val="24"/>
          <w:szCs w:val="24"/>
        </w:rPr>
        <w:t>合并报表中未分配利润为正的，公司应当在年度利润分配相关公告中披露上市公司控股子公司向母公司实施利润分配的情况，及上市公司为增强投资者回报水平拟采取的措施。）</w:t>
      </w:r>
    </w:p>
    <w:p w:rsidR="005C3039" w:rsidRDefault="005C3039">
      <w:pPr>
        <w:autoSpaceDE w:val="0"/>
        <w:autoSpaceDN w:val="0"/>
        <w:adjustRightInd w:val="0"/>
        <w:snapToGrid w:val="0"/>
        <w:spacing w:line="560" w:lineRule="exact"/>
        <w:ind w:firstLineChars="200" w:firstLine="602"/>
        <w:rPr>
          <w:rFonts w:ascii="Times New Roman" w:eastAsia="黑体" w:hAnsi="Times New Roman"/>
          <w:b/>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四、最近连续两个会计年度交易性金融资产等科目金额合计占总资产的</w:t>
      </w:r>
      <w:r>
        <w:rPr>
          <w:rFonts w:ascii="Times New Roman" w:eastAsia="黑体" w:hAnsi="Times New Roman"/>
          <w:b/>
          <w:sz w:val="30"/>
          <w:szCs w:val="30"/>
        </w:rPr>
        <w:t>50%</w:t>
      </w:r>
      <w:r>
        <w:rPr>
          <w:rFonts w:ascii="Times New Roman" w:eastAsia="黑体" w:hAnsi="Times New Roman" w:hint="eastAsia"/>
          <w:b/>
          <w:sz w:val="30"/>
          <w:szCs w:val="30"/>
        </w:rPr>
        <w:t>以上但分红比例低于</w:t>
      </w:r>
      <w:r>
        <w:rPr>
          <w:rFonts w:ascii="Times New Roman" w:eastAsia="黑体" w:hAnsi="Times New Roman"/>
          <w:b/>
          <w:sz w:val="30"/>
          <w:szCs w:val="30"/>
        </w:rPr>
        <w:t>50%</w:t>
      </w:r>
      <w:r>
        <w:rPr>
          <w:rFonts w:ascii="Times New Roman" w:eastAsia="黑体" w:hAnsi="Times New Roman" w:hint="eastAsia"/>
          <w:b/>
          <w:sz w:val="30"/>
          <w:szCs w:val="30"/>
        </w:rPr>
        <w:t>的情况说明（如适用）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Times New Roman" w:eastAsia="仿宋_GB2312" w:hAnsi="Times New Roman" w:hint="eastAsia"/>
          <w:color w:val="000000"/>
          <w:kern w:val="0"/>
          <w:sz w:val="30"/>
          <w:szCs w:val="30"/>
        </w:rPr>
        <w:t>公司报告期内</w:t>
      </w:r>
      <w:r>
        <w:rPr>
          <w:rFonts w:ascii="仿宋_GB2312" w:eastAsia="仿宋_GB2312" w:hAnsi="Times New Roman" w:hint="eastAsia"/>
          <w:color w:val="000000"/>
          <w:kern w:val="0"/>
          <w:sz w:val="30"/>
          <w:szCs w:val="30"/>
        </w:rPr>
        <w:t>实现归属于上市公司股东的净利润XX元，母公</w:t>
      </w:r>
      <w:r>
        <w:rPr>
          <w:rFonts w:ascii="仿宋_GB2312" w:eastAsia="仿宋_GB2312" w:hAnsi="Times New Roman" w:hint="eastAsia"/>
          <w:color w:val="000000"/>
          <w:kern w:val="0"/>
          <w:sz w:val="30"/>
          <w:szCs w:val="30"/>
        </w:rPr>
        <w:lastRenderedPageBreak/>
        <w:t>司期末未分配利润XX元</w:t>
      </w:r>
      <w:r>
        <w:rPr>
          <w:rFonts w:ascii="Times New Roman"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%，均达到5</w:t>
      </w:r>
      <w:r>
        <w:rPr>
          <w:rFonts w:ascii="仿宋_GB2312" w:eastAsia="仿宋_GB2312" w:hAnsi="Times New Roman"/>
          <w:color w:val="000000"/>
          <w:kern w:val="0"/>
          <w:sz w:val="30"/>
          <w:szCs w:val="30"/>
        </w:rPr>
        <w:t>0%</w:t>
      </w:r>
      <w:r>
        <w:rPr>
          <w:rFonts w:ascii="仿宋_GB2312" w:eastAsia="仿宋_GB2312" w:hAnsi="Times New Roman" w:hint="eastAsia"/>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说明如下。</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（一）现金分红比例确定的依据；</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Times New Roman" w:eastAsia="仿宋_GB2312" w:hAnsi="Times New Roman" w:hint="eastAsia"/>
          <w:color w:val="000000"/>
          <w:kern w:val="0"/>
          <w:sz w:val="30"/>
          <w:szCs w:val="30"/>
        </w:rPr>
        <w:t>（二）</w:t>
      </w:r>
      <w:r>
        <w:rPr>
          <w:rFonts w:ascii="仿宋_GB2312" w:eastAsia="仿宋_GB2312" w:hAnsi="Times New Roman" w:hint="eastAsia"/>
          <w:color w:val="000000"/>
          <w:kern w:val="0"/>
          <w:sz w:val="30"/>
          <w:szCs w:val="30"/>
        </w:rPr>
        <w:t>未来增强投资者回报的规划。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（编制提醒：本条适用于非金融业上市公司。）</w:t>
      </w:r>
    </w:p>
    <w:p w:rsidR="005C3039" w:rsidRDefault="005C3039">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五、现金分红方案合理性的情况说明（如适用）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情形一：</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报告期内，公司现金分红总额X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元，占当期归属于上市公司股东净利润的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，达到1</w:t>
      </w:r>
      <w:r>
        <w:rPr>
          <w:rFonts w:ascii="仿宋_GB2312" w:eastAsia="仿宋_GB2312" w:hAnsi="Times New Roman"/>
          <w:color w:val="000000"/>
          <w:kern w:val="0"/>
          <w:sz w:val="30"/>
          <w:szCs w:val="30"/>
        </w:rPr>
        <w:t>00%</w:t>
      </w:r>
      <w:r>
        <w:rPr>
          <w:rFonts w:ascii="仿宋_GB2312" w:eastAsia="仿宋_GB2312" w:hAnsi="Times New Roman" w:hint="eastAsia"/>
          <w:color w:val="000000"/>
          <w:kern w:val="0"/>
          <w:sz w:val="30"/>
          <w:szCs w:val="30"/>
        </w:rPr>
        <w:t>以上；占期末母公司报表中未分配利润的</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，达到5</w:t>
      </w:r>
      <w:r>
        <w:rPr>
          <w:rFonts w:ascii="仿宋_GB2312" w:eastAsia="仿宋_GB2312" w:hAnsi="Times New Roman"/>
          <w:color w:val="000000"/>
          <w:kern w:val="0"/>
          <w:sz w:val="30"/>
          <w:szCs w:val="30"/>
        </w:rPr>
        <w:t>0</w:t>
      </w:r>
      <w:r>
        <w:rPr>
          <w:rFonts w:ascii="仿宋_GB2312" w:eastAsia="仿宋_GB2312" w:hAnsi="Times New Roman" w:hint="eastAsia"/>
          <w:color w:val="000000"/>
          <w:kern w:val="0"/>
          <w:sz w:val="30"/>
          <w:szCs w:val="30"/>
        </w:rPr>
        <w:t>%以上。说明如下：利润分配是否影响公司偿债能力，过去十二个月内是否使用过募集资金补充流动资金以及未来十二个月是否计划使用募集资金补充流动资金。</w:t>
      </w:r>
    </w:p>
    <w:p w:rsidR="005C3039" w:rsidRDefault="00BA32BF">
      <w:pPr>
        <w:autoSpaceDE w:val="0"/>
        <w:autoSpaceDN w:val="0"/>
        <w:adjustRightInd w:val="0"/>
        <w:snapToGrid w:val="0"/>
        <w:spacing w:line="560" w:lineRule="exact"/>
        <w:ind w:firstLineChars="200" w:firstLine="480"/>
        <w:rPr>
          <w:rFonts w:ascii="仿宋_GB2312" w:eastAsia="仿宋_GB2312" w:hAnsi="Times New Roman"/>
          <w:color w:val="000000"/>
          <w:kern w:val="0"/>
          <w:sz w:val="30"/>
          <w:szCs w:val="30"/>
        </w:rPr>
      </w:pPr>
      <w:r>
        <w:rPr>
          <w:rFonts w:ascii="Times New Roman" w:eastAsia="楷体" w:hAnsi="Times New Roman"/>
          <w:color w:val="000000"/>
          <w:kern w:val="0"/>
          <w:sz w:val="24"/>
          <w:szCs w:val="24"/>
        </w:rPr>
        <w:t>（编制提醒：</w:t>
      </w:r>
      <w:r>
        <w:rPr>
          <w:rFonts w:ascii="Times New Roman" w:eastAsia="楷体" w:hAnsi="Times New Roman" w:hint="eastAsia"/>
          <w:color w:val="000000"/>
          <w:kern w:val="0"/>
          <w:sz w:val="24"/>
          <w:szCs w:val="24"/>
        </w:rPr>
        <w:t>上市公司利润分配方案中现金分红的金额达到或者超过当期归属于上市公司股东净利润的</w:t>
      </w:r>
      <w:r>
        <w:rPr>
          <w:rFonts w:ascii="Times New Roman" w:eastAsia="楷体" w:hAnsi="Times New Roman"/>
          <w:color w:val="000000"/>
          <w:kern w:val="0"/>
          <w:sz w:val="24"/>
          <w:szCs w:val="24"/>
        </w:rPr>
        <w:t>100%</w:t>
      </w:r>
      <w:r>
        <w:rPr>
          <w:rFonts w:ascii="Times New Roman" w:eastAsia="楷体" w:hAnsi="Times New Roman" w:hint="eastAsia"/>
          <w:color w:val="000000"/>
          <w:kern w:val="0"/>
          <w:sz w:val="24"/>
          <w:szCs w:val="24"/>
        </w:rPr>
        <w:t>，且达到或者超过当期末母公司报表中未分配利润的</w:t>
      </w:r>
      <w:r>
        <w:rPr>
          <w:rFonts w:ascii="Times New Roman" w:eastAsia="楷体" w:hAnsi="Times New Roman"/>
          <w:color w:val="000000"/>
          <w:kern w:val="0"/>
          <w:sz w:val="24"/>
          <w:szCs w:val="24"/>
        </w:rPr>
        <w:t>50%</w:t>
      </w:r>
      <w:r>
        <w:rPr>
          <w:rFonts w:ascii="Times New Roman" w:eastAsia="楷体" w:hAnsi="Times New Roman" w:hint="eastAsia"/>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情形二：</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报告期末，公司资产负债率</w:t>
      </w:r>
      <w:r>
        <w:rPr>
          <w:rFonts w:ascii="仿宋_GB2312" w:eastAsia="仿宋_GB2312" w:hAnsi="Times New Roman"/>
          <w:color w:val="000000"/>
          <w:kern w:val="0"/>
          <w:sz w:val="30"/>
          <w:szCs w:val="30"/>
        </w:rPr>
        <w:t>XX</w:t>
      </w:r>
      <w:r>
        <w:rPr>
          <w:rFonts w:ascii="仿宋_GB2312" w:eastAsia="仿宋_GB2312" w:hAnsi="Times New Roman" w:hint="eastAsia"/>
          <w:color w:val="000000"/>
          <w:kern w:val="0"/>
          <w:sz w:val="30"/>
          <w:szCs w:val="30"/>
        </w:rPr>
        <w:t>%，一年内到期的债务X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元，账面货币资金X</w:t>
      </w:r>
      <w:r>
        <w:rPr>
          <w:rFonts w:ascii="仿宋_GB2312" w:eastAsia="仿宋_GB2312" w:hAnsi="Times New Roman"/>
          <w:color w:val="000000"/>
          <w:kern w:val="0"/>
          <w:sz w:val="30"/>
          <w:szCs w:val="30"/>
        </w:rPr>
        <w:t>X</w:t>
      </w:r>
      <w:r>
        <w:rPr>
          <w:rFonts w:ascii="仿宋_GB2312" w:eastAsia="仿宋_GB2312" w:hAnsi="Times New Roman" w:hint="eastAsia"/>
          <w:color w:val="000000"/>
          <w:kern w:val="0"/>
          <w:sz w:val="30"/>
          <w:szCs w:val="30"/>
        </w:rPr>
        <w:t>元，一年内融资总额XX元，融资成本XX元，经营活动产生现金流净额XX元，公司本期利润分配预案的确定依据，会/不会导致公司营运资金不足或者影响公司正常经营。</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r>
        <w:rPr>
          <w:rFonts w:ascii="Times New Roman" w:eastAsia="楷体" w:hAnsi="Times New Roman" w:hint="eastAsia"/>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（一）最近一个会计年度的财务会计报告被出具非无保留意见的审计报告或者带与持续经营相关的重大不确定性段落的无保留意见的审计报告，且实施现金分红的；</w:t>
      </w:r>
    </w:p>
    <w:p w:rsidR="005C3039" w:rsidRDefault="00BA32BF">
      <w:pPr>
        <w:autoSpaceDE w:val="0"/>
        <w:autoSpaceDN w:val="0"/>
        <w:adjustRightInd w:val="0"/>
        <w:snapToGrid w:val="0"/>
        <w:spacing w:line="560" w:lineRule="exact"/>
        <w:ind w:firstLineChars="200" w:firstLine="480"/>
        <w:rPr>
          <w:rFonts w:ascii="仿宋_GB2312" w:eastAsia="仿宋_GB2312" w:hAnsi="Times New Roman"/>
          <w:color w:val="000000"/>
          <w:kern w:val="0"/>
          <w:sz w:val="30"/>
          <w:szCs w:val="30"/>
        </w:rPr>
      </w:pPr>
      <w:r>
        <w:rPr>
          <w:rFonts w:ascii="Times New Roman" w:eastAsia="楷体" w:hAnsi="Times New Roman" w:hint="eastAsia"/>
          <w:color w:val="000000"/>
          <w:kern w:val="0"/>
          <w:sz w:val="24"/>
          <w:szCs w:val="24"/>
        </w:rPr>
        <w:t>（二）报告期末资产负债率超过</w:t>
      </w:r>
      <w:r>
        <w:rPr>
          <w:rFonts w:ascii="Times New Roman" w:eastAsia="楷体" w:hAnsi="Times New Roman" w:hint="eastAsia"/>
          <w:color w:val="000000"/>
          <w:kern w:val="0"/>
          <w:sz w:val="24"/>
          <w:szCs w:val="24"/>
        </w:rPr>
        <w:t>80%</w:t>
      </w:r>
      <w:r>
        <w:rPr>
          <w:rFonts w:ascii="Times New Roman" w:eastAsia="楷体" w:hAnsi="Times New Roman" w:hint="eastAsia"/>
          <w:color w:val="000000"/>
          <w:kern w:val="0"/>
          <w:sz w:val="24"/>
          <w:szCs w:val="24"/>
        </w:rPr>
        <w:t>且当期经营活动产生的现金流量净额为负，现金分红金额超过当期</w:t>
      </w:r>
      <w:bookmarkStart w:id="0" w:name="_GoBack"/>
      <w:bookmarkEnd w:id="0"/>
      <w:r>
        <w:rPr>
          <w:rFonts w:ascii="Times New Roman" w:eastAsia="楷体" w:hAnsi="Times New Roman" w:hint="eastAsia"/>
          <w:color w:val="000000"/>
          <w:kern w:val="0"/>
          <w:sz w:val="24"/>
          <w:szCs w:val="24"/>
        </w:rPr>
        <w:t>归属于上市公司股东净利润</w:t>
      </w:r>
      <w:r>
        <w:rPr>
          <w:rFonts w:ascii="Times New Roman" w:eastAsia="楷体" w:hAnsi="Times New Roman" w:hint="eastAsia"/>
          <w:color w:val="000000"/>
          <w:kern w:val="0"/>
          <w:sz w:val="24"/>
          <w:szCs w:val="24"/>
        </w:rPr>
        <w:t>50%</w:t>
      </w:r>
      <w:r>
        <w:rPr>
          <w:rFonts w:ascii="Times New Roman" w:eastAsia="楷体" w:hAnsi="Times New Roman" w:hint="eastAsia"/>
          <w:color w:val="000000"/>
          <w:kern w:val="0"/>
          <w:sz w:val="24"/>
          <w:szCs w:val="24"/>
        </w:rPr>
        <w:t>的，金融业上市公司除外。）</w:t>
      </w:r>
    </w:p>
    <w:p w:rsidR="005C3039" w:rsidRDefault="005C3039">
      <w:pPr>
        <w:autoSpaceDE w:val="0"/>
        <w:autoSpaceDN w:val="0"/>
        <w:adjustRightInd w:val="0"/>
        <w:snapToGrid w:val="0"/>
        <w:spacing w:line="560" w:lineRule="exact"/>
        <w:ind w:firstLineChars="200" w:firstLine="602"/>
        <w:rPr>
          <w:rFonts w:ascii="Times New Roman" w:eastAsia="黑体" w:hAnsi="Times New Roman"/>
          <w:b/>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六</w:t>
      </w:r>
      <w:r>
        <w:rPr>
          <w:rFonts w:ascii="Times New Roman" w:eastAsia="黑体" w:hAnsi="Times New Roman"/>
          <w:b/>
          <w:sz w:val="30"/>
          <w:szCs w:val="30"/>
        </w:rPr>
        <w:t>、股东提议高送转的情况及理由（如适用）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（一）单独或合计持有公司</w:t>
      </w:r>
      <w:r>
        <w:rPr>
          <w:rFonts w:ascii="Times New Roman" w:eastAsia="仿宋_GB2312" w:hAnsi="Times New Roman"/>
          <w:color w:val="000000"/>
          <w:kern w:val="0"/>
          <w:sz w:val="30"/>
          <w:szCs w:val="30"/>
        </w:rPr>
        <w:t>3%</w:t>
      </w:r>
      <w:r>
        <w:rPr>
          <w:rFonts w:ascii="Times New Roman" w:eastAsia="仿宋_GB2312" w:hAnsi="Times New Roman"/>
          <w:color w:val="000000"/>
          <w:kern w:val="0"/>
          <w:sz w:val="30"/>
          <w:szCs w:val="30"/>
        </w:rPr>
        <w:t>以上的股东及其一致行动人（以下简称提议股东）向公司董事会提议高送转的时间和方式。</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（二）股东向公司董事会提议高送转的主要理由，如本次提议是否符合公司当期实际经营业绩情况、是否满足公司当前经营活动需要、是否有利于公司未来发展等。</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（三）提议股东应当承诺并披露，如董事会同意提交股东大会审议高送转议案，将在股东大会上投票同意该项议案。</w:t>
      </w:r>
    </w:p>
    <w:p w:rsidR="005C3039" w:rsidRDefault="005C3039">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lastRenderedPageBreak/>
        <w:t>七</w:t>
      </w:r>
      <w:r>
        <w:rPr>
          <w:rFonts w:ascii="Times New Roman" w:eastAsia="黑体" w:hAnsi="Times New Roman"/>
          <w:b/>
          <w:sz w:val="30"/>
          <w:szCs w:val="30"/>
        </w:rPr>
        <w:t>、公司履行的决策程序</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（一）董事会会议的召开、审议和表决情况</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1.公司于XX年XX月XX日召开XX年XX届XX次董事会审议通过本利润分配方案，本方案符合公司章程规定的利润分配政策和公司已披露的股东回报规划。（如不符合，披露具体原因及相关保护投资者措施）。</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送转比例构成高送转的，董事投票反对将高送转议案提交股东大会审议的，公司应当披露董事反对的具体理由。董事持有公司股份，并在董事会表决通过高送转议案时投赞成票的，应当明确承诺将在股东大会审议高送转议案时投票同意该项议案，并予以披露。（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3.送转比例构成高送转的，董事会审议高送转议案时，应当结合公司实际经营业绩情况等因素，审慎评估高送转方案的合理性与可行性，并予以披露。（如适用）</w:t>
      </w:r>
    </w:p>
    <w:p w:rsidR="005C3039" w:rsidRDefault="00BA32BF">
      <w:pPr>
        <w:autoSpaceDE w:val="0"/>
        <w:autoSpaceDN w:val="0"/>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4.送转比例构成高送转的，董事会审议通过非控股股东提议高送转事项的，应当同时征询公司控股股东、实际控制人对高送转议案的表决意向，并予以披露。（如适用）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w:t>
      </w:r>
      <w:r>
        <w:rPr>
          <w:rFonts w:ascii="Times New Roman" w:eastAsia="仿宋_GB2312" w:hAnsi="Times New Roman" w:hint="eastAsia"/>
          <w:color w:val="000000"/>
          <w:kern w:val="0"/>
          <w:sz w:val="30"/>
          <w:szCs w:val="30"/>
        </w:rPr>
        <w:t>二</w:t>
      </w:r>
      <w:r>
        <w:rPr>
          <w:rFonts w:ascii="Times New Roman" w:eastAsia="仿宋_GB2312" w:hAnsi="Times New Roman"/>
          <w:color w:val="000000"/>
          <w:kern w:val="0"/>
          <w:sz w:val="30"/>
          <w:szCs w:val="30"/>
        </w:rPr>
        <w:t>）监事会意见（如有）</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（编制提醒：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1</w:t>
      </w:r>
      <w:r>
        <w:rPr>
          <w:rFonts w:ascii="Times New Roman" w:eastAsia="楷体" w:hAnsi="Times New Roman"/>
          <w:color w:val="000000"/>
          <w:kern w:val="0"/>
          <w:sz w:val="24"/>
          <w:szCs w:val="24"/>
        </w:rPr>
        <w:t>.</w:t>
      </w:r>
      <w:r>
        <w:rPr>
          <w:rFonts w:ascii="Times New Roman" w:eastAsia="楷体" w:hAnsi="Times New Roman" w:hint="eastAsia"/>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hint="eastAsia"/>
          <w:color w:val="000000"/>
          <w:kern w:val="0"/>
          <w:sz w:val="24"/>
          <w:szCs w:val="24"/>
        </w:rPr>
        <w:t>2.</w:t>
      </w:r>
      <w:r>
        <w:rPr>
          <w:rFonts w:ascii="Times New Roman" w:eastAsia="楷体" w:hAnsi="Times New Roman"/>
          <w:color w:val="000000"/>
          <w:kern w:val="0"/>
          <w:sz w:val="24"/>
          <w:szCs w:val="24"/>
        </w:rPr>
        <w:t>监事会发现董事会存在以下情形之一的，应当发表明确意见，并督促其及时改正：</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lastRenderedPageBreak/>
        <w:t>（一）未严格执行现金分红政策和股东回报规划；</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（二）未严格履行现金分红相应决策程序；</w:t>
      </w:r>
    </w:p>
    <w:p w:rsidR="005C3039" w:rsidRDefault="00BA32BF">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Pr>
          <w:rFonts w:ascii="Times New Roman" w:eastAsia="楷体" w:hAnsi="Times New Roman"/>
          <w:color w:val="000000"/>
          <w:kern w:val="0"/>
          <w:sz w:val="24"/>
          <w:szCs w:val="24"/>
        </w:rPr>
        <w:t>（三）未能真实、准确、完整披露现金分红政策及其执行情况。）</w:t>
      </w:r>
    </w:p>
    <w:p w:rsidR="005C3039" w:rsidRDefault="005C3039">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八</w:t>
      </w:r>
      <w:r>
        <w:rPr>
          <w:rFonts w:ascii="Times New Roman" w:eastAsia="黑体" w:hAnsi="Times New Roman"/>
          <w:b/>
          <w:sz w:val="30"/>
          <w:szCs w:val="30"/>
        </w:rPr>
        <w:t>、公司董事及提议股东的持股变动情况与减持计划（如适用）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（一）公司董事及提议股东在董事会审议高送转事项之前</w:t>
      </w:r>
      <w:r>
        <w:rPr>
          <w:rFonts w:ascii="Times New Roman" w:eastAsia="仿宋_GB2312" w:hAnsi="Times New Roman"/>
          <w:color w:val="000000"/>
          <w:kern w:val="0"/>
          <w:sz w:val="30"/>
          <w:szCs w:val="30"/>
        </w:rPr>
        <w:t>6</w:t>
      </w:r>
      <w:r>
        <w:rPr>
          <w:rFonts w:ascii="Times New Roman" w:eastAsia="仿宋_GB2312" w:hAnsi="Times New Roman"/>
          <w:color w:val="000000"/>
          <w:kern w:val="0"/>
          <w:sz w:val="30"/>
          <w:szCs w:val="30"/>
        </w:rPr>
        <w:t>个月内的持股变动情况，如是否协议买卖公司股份、是否在二级市场增减持公司股份、是否认购公司定向增发股份、是否参与公司员工持股或股权激励计划等。</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（二）公司问询提议高送转方案的股东、控股股东及其一致行动人和董事、监事、高级管理人员未来减持计划的具体过程及问询回复情况，包括但不限于未来</w:t>
      </w:r>
      <w:r>
        <w:rPr>
          <w:rFonts w:ascii="Times New Roman" w:eastAsia="仿宋_GB2312" w:hAnsi="Times New Roman"/>
          <w:color w:val="000000"/>
          <w:kern w:val="0"/>
          <w:sz w:val="30"/>
          <w:szCs w:val="30"/>
        </w:rPr>
        <w:t xml:space="preserve"> 3 </w:t>
      </w:r>
      <w:r>
        <w:rPr>
          <w:rFonts w:ascii="Times New Roman" w:eastAsia="仿宋_GB2312" w:hAnsi="Times New Roman"/>
          <w:color w:val="000000"/>
          <w:kern w:val="0"/>
          <w:sz w:val="30"/>
          <w:szCs w:val="30"/>
        </w:rPr>
        <w:t>个月、未来</w:t>
      </w:r>
      <w:r>
        <w:rPr>
          <w:rFonts w:ascii="Times New Roman" w:eastAsia="仿宋_GB2312" w:hAnsi="Times New Roman"/>
          <w:color w:val="000000"/>
          <w:kern w:val="0"/>
          <w:sz w:val="30"/>
          <w:szCs w:val="30"/>
        </w:rPr>
        <w:t xml:space="preserve"> 6 </w:t>
      </w:r>
      <w:r>
        <w:rPr>
          <w:rFonts w:ascii="Times New Roman" w:eastAsia="仿宋_GB2312" w:hAnsi="Times New Roman"/>
          <w:color w:val="000000"/>
          <w:kern w:val="0"/>
          <w:sz w:val="30"/>
          <w:szCs w:val="30"/>
        </w:rPr>
        <w:t>个月的减持计划情况，并披露相关股东的回复。</w:t>
      </w:r>
    </w:p>
    <w:p w:rsidR="005C3039" w:rsidRDefault="005C3039">
      <w:pPr>
        <w:autoSpaceDE w:val="0"/>
        <w:autoSpaceDN w:val="0"/>
        <w:adjustRightInd w:val="0"/>
        <w:snapToGrid w:val="0"/>
        <w:spacing w:line="560" w:lineRule="exact"/>
        <w:ind w:firstLineChars="200" w:firstLine="602"/>
        <w:rPr>
          <w:rFonts w:ascii="Times New Roman" w:eastAsia="黑体" w:hAnsi="Times New Roman"/>
          <w:b/>
          <w:sz w:val="30"/>
          <w:szCs w:val="30"/>
        </w:rPr>
      </w:pPr>
    </w:p>
    <w:p w:rsidR="005C3039" w:rsidRDefault="00BA32BF">
      <w:pPr>
        <w:autoSpaceDE w:val="0"/>
        <w:autoSpaceDN w:val="0"/>
        <w:adjustRightInd w:val="0"/>
        <w:snapToGrid w:val="0"/>
        <w:spacing w:line="560" w:lineRule="exact"/>
        <w:ind w:firstLineChars="200" w:firstLine="602"/>
        <w:rPr>
          <w:rFonts w:ascii="Times New Roman" w:eastAsia="黑体" w:hAnsi="Times New Roman"/>
          <w:b/>
          <w:sz w:val="30"/>
          <w:szCs w:val="30"/>
        </w:rPr>
      </w:pPr>
      <w:r>
        <w:rPr>
          <w:rFonts w:ascii="Times New Roman" w:eastAsia="黑体" w:hAnsi="Times New Roman" w:hint="eastAsia"/>
          <w:b/>
          <w:sz w:val="30"/>
          <w:szCs w:val="30"/>
        </w:rPr>
        <w:t>九</w:t>
      </w:r>
      <w:r>
        <w:rPr>
          <w:rFonts w:ascii="Times New Roman" w:eastAsia="黑体" w:hAnsi="Times New Roman"/>
          <w:b/>
          <w:sz w:val="30"/>
          <w:szCs w:val="30"/>
        </w:rPr>
        <w:t>、相关风险提示</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（一）现金分红对上市公司每股收益、现金流状况、生产经营的影响分析（如适用）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（二）董事会应当披露本次提交股东大会审议的高送转提案可能被股东大会否决的重大风险。（如适用）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（三）董事会应当披露在审议通过高送转议案前后的</w:t>
      </w:r>
      <w:r>
        <w:rPr>
          <w:rFonts w:ascii="Times New Roman" w:eastAsia="仿宋_GB2312" w:hAnsi="Times New Roman"/>
          <w:color w:val="000000"/>
          <w:kern w:val="0"/>
          <w:sz w:val="30"/>
          <w:szCs w:val="30"/>
        </w:rPr>
        <w:t>6</w:t>
      </w:r>
      <w:r>
        <w:rPr>
          <w:rFonts w:ascii="Times New Roman" w:eastAsia="仿宋_GB2312" w:hAnsi="Times New Roman"/>
          <w:color w:val="000000"/>
          <w:kern w:val="0"/>
          <w:sz w:val="30"/>
          <w:szCs w:val="30"/>
        </w:rPr>
        <w:t>个月内，公司限售股解禁及限售期即将届满的情况。（如适用）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（四）董事会应当在公告中明确做出以下风险提示：高送转对公司股东享有的净资产权益及其持股比例不产生实质性影响，</w:t>
      </w:r>
      <w:r>
        <w:rPr>
          <w:rFonts w:ascii="Times New Roman" w:eastAsia="仿宋_GB2312" w:hAnsi="Times New Roman"/>
          <w:color w:val="000000"/>
          <w:kern w:val="0"/>
          <w:sz w:val="30"/>
          <w:szCs w:val="30"/>
        </w:rPr>
        <w:lastRenderedPageBreak/>
        <w:t>请投资者理性判断，并注意相关投资风险。（如适用）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（五）其他风险说明。</w:t>
      </w:r>
    </w:p>
    <w:p w:rsidR="005C3039" w:rsidRDefault="005C3039">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特此公告。</w:t>
      </w:r>
    </w:p>
    <w:p w:rsidR="005C3039" w:rsidRDefault="005C3039">
      <w:pPr>
        <w:adjustRightInd w:val="0"/>
        <w:snapToGrid w:val="0"/>
        <w:spacing w:line="560" w:lineRule="exact"/>
        <w:ind w:firstLineChars="200" w:firstLine="480"/>
        <w:rPr>
          <w:rFonts w:ascii="Times New Roman" w:hAnsi="Times New Roman"/>
          <w:sz w:val="24"/>
        </w:rPr>
      </w:pPr>
    </w:p>
    <w:p w:rsidR="005C3039" w:rsidRDefault="00BA32BF">
      <w:pPr>
        <w:autoSpaceDE w:val="0"/>
        <w:autoSpaceDN w:val="0"/>
        <w:adjustRightInd w:val="0"/>
        <w:spacing w:line="560" w:lineRule="exact"/>
        <w:jc w:val="right"/>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××××股份有限公司董事会</w:t>
      </w:r>
    </w:p>
    <w:p w:rsidR="005C3039" w:rsidRDefault="00BA32BF">
      <w:pPr>
        <w:autoSpaceDE w:val="0"/>
        <w:autoSpaceDN w:val="0"/>
        <w:adjustRightInd w:val="0"/>
        <w:spacing w:line="560" w:lineRule="exact"/>
        <w:jc w:val="right"/>
        <w:rPr>
          <w:rFonts w:ascii="Times New Roman" w:eastAsia="仿宋_GB2312" w:hAnsi="Times New Roman"/>
          <w:color w:val="000000"/>
          <w:kern w:val="0"/>
          <w:sz w:val="30"/>
          <w:szCs w:val="30"/>
        </w:rPr>
      </w:pP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年</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月</w:t>
      </w: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0"/>
          <w:szCs w:val="30"/>
        </w:rPr>
        <w:t>日</w:t>
      </w:r>
    </w:p>
    <w:p w:rsidR="005C3039" w:rsidRDefault="005C3039">
      <w:pPr>
        <w:autoSpaceDE w:val="0"/>
        <w:autoSpaceDN w:val="0"/>
        <w:adjustRightInd w:val="0"/>
        <w:spacing w:line="560" w:lineRule="exact"/>
        <w:ind w:right="1200"/>
        <w:rPr>
          <w:rFonts w:ascii="Times New Roman" w:eastAsia="仿宋_GB2312" w:hAnsi="Times New Roman"/>
          <w:color w:val="000000"/>
          <w:sz w:val="30"/>
          <w:szCs w:val="30"/>
        </w:rPr>
      </w:pPr>
    </w:p>
    <w:p w:rsidR="005C3039" w:rsidRDefault="00BA32BF">
      <w:pPr>
        <w:pStyle w:val="ab"/>
        <w:numPr>
          <w:ilvl w:val="0"/>
          <w:numId w:val="2"/>
        </w:numPr>
        <w:autoSpaceDE w:val="0"/>
        <w:autoSpaceDN w:val="0"/>
        <w:adjustRightInd w:val="0"/>
        <w:snapToGrid w:val="0"/>
        <w:spacing w:line="560" w:lineRule="exact"/>
        <w:ind w:firstLineChars="0"/>
        <w:jc w:val="left"/>
        <w:rPr>
          <w:rFonts w:ascii="Times New Roman" w:eastAsia="仿宋_GB2312" w:hAnsi="Times New Roman"/>
          <w:b/>
          <w:color w:val="000000"/>
          <w:sz w:val="30"/>
          <w:szCs w:val="30"/>
        </w:rPr>
      </w:pPr>
      <w:r>
        <w:rPr>
          <w:rFonts w:ascii="Times New Roman" w:eastAsia="仿宋_GB2312" w:hAnsi="Times New Roman"/>
          <w:b/>
          <w:color w:val="000000"/>
          <w:sz w:val="30"/>
          <w:szCs w:val="30"/>
        </w:rPr>
        <w:t>上网公告</w:t>
      </w:r>
      <w:r>
        <w:rPr>
          <w:rFonts w:ascii="Times New Roman" w:eastAsia="仿宋_GB2312" w:hAnsi="Times New Roman" w:hint="eastAsia"/>
          <w:b/>
          <w:color w:val="000000"/>
          <w:sz w:val="30"/>
          <w:szCs w:val="30"/>
        </w:rPr>
        <w:t>文件</w:t>
      </w:r>
    </w:p>
    <w:p w:rsidR="005C3039" w:rsidRDefault="00BA32BF">
      <w:pPr>
        <w:autoSpaceDE w:val="0"/>
        <w:autoSpaceDN w:val="0"/>
        <w:adjustRightInd w:val="0"/>
        <w:snapToGrid w:val="0"/>
        <w:spacing w:line="560" w:lineRule="exact"/>
        <w:ind w:left="147" w:firstLine="420"/>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color w:val="000000"/>
          <w:sz w:val="30"/>
          <w:szCs w:val="30"/>
        </w:rPr>
        <w:t>股东提议高送转的书面文件（如适用）</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color w:val="000000"/>
          <w:sz w:val="30"/>
          <w:szCs w:val="30"/>
        </w:rPr>
        <w:t>提议高送转股东、控股股东及其一致行动人和董事、监事、高级管理人员对公司问询未来减持计划的回复（如适用）</w:t>
      </w:r>
    </w:p>
    <w:p w:rsidR="005C3039" w:rsidRDefault="00BA32BF">
      <w:pPr>
        <w:pStyle w:val="ab"/>
        <w:numPr>
          <w:ilvl w:val="0"/>
          <w:numId w:val="2"/>
        </w:numPr>
        <w:autoSpaceDE w:val="0"/>
        <w:autoSpaceDN w:val="0"/>
        <w:adjustRightInd w:val="0"/>
        <w:snapToGrid w:val="0"/>
        <w:spacing w:line="560" w:lineRule="exact"/>
        <w:ind w:firstLineChars="0"/>
        <w:jc w:val="left"/>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报备文件</w:t>
      </w:r>
    </w:p>
    <w:p w:rsidR="005C3039" w:rsidRDefault="00BA32BF">
      <w:pPr>
        <w:autoSpaceDE w:val="0"/>
        <w:autoSpaceDN w:val="0"/>
        <w:adjustRightInd w:val="0"/>
        <w:snapToGrid w:val="0"/>
        <w:spacing w:line="560" w:lineRule="exact"/>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1.</w:t>
      </w:r>
      <w:r>
        <w:rPr>
          <w:rFonts w:ascii="Times New Roman" w:eastAsia="仿宋_GB2312" w:hAnsi="Times New Roman" w:hint="eastAsia"/>
          <w:color w:val="000000"/>
          <w:sz w:val="30"/>
          <w:szCs w:val="30"/>
        </w:rPr>
        <w:t>独立董事异议意见（如适用）</w:t>
      </w:r>
    </w:p>
    <w:p w:rsidR="005C3039" w:rsidRDefault="005C3039">
      <w:pPr>
        <w:pStyle w:val="a6"/>
        <w:spacing w:line="560" w:lineRule="exact"/>
        <w:ind w:firstLine="750"/>
        <w:jc w:val="right"/>
        <w:rPr>
          <w:rFonts w:ascii="Times New Roman" w:eastAsia="仿宋_GB2312" w:hAnsi="Times New Roman"/>
          <w:color w:val="000000"/>
          <w:sz w:val="30"/>
          <w:szCs w:val="30"/>
        </w:rPr>
      </w:pPr>
    </w:p>
    <w:sectPr w:rsidR="005C3039" w:rsidSect="005C30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D5" w:rsidRDefault="007F6AD5" w:rsidP="005C3039">
      <w:r>
        <w:separator/>
      </w:r>
    </w:p>
  </w:endnote>
  <w:endnote w:type="continuationSeparator" w:id="0">
    <w:p w:rsidR="007F6AD5" w:rsidRDefault="007F6AD5" w:rsidP="005C30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39" w:rsidRDefault="00C544FF">
    <w:pPr>
      <w:pStyle w:val="a6"/>
      <w:jc w:val="center"/>
    </w:pPr>
    <w:r>
      <w:fldChar w:fldCharType="begin"/>
    </w:r>
    <w:r w:rsidR="00BA32BF">
      <w:instrText>PAGE   \* MERGEFORMAT</w:instrText>
    </w:r>
    <w:r>
      <w:fldChar w:fldCharType="separate"/>
    </w:r>
    <w:r w:rsidR="00390AD6" w:rsidRPr="00390AD6">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D5" w:rsidRDefault="007F6AD5" w:rsidP="005C3039">
      <w:r>
        <w:separator/>
      </w:r>
    </w:p>
  </w:footnote>
  <w:footnote w:type="continuationSeparator" w:id="0">
    <w:p w:rsidR="007F6AD5" w:rsidRDefault="007F6AD5" w:rsidP="005C3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86009"/>
    <w:multiLevelType w:val="multilevel"/>
    <w:tmpl w:val="23286009"/>
    <w:lvl w:ilvl="0">
      <w:numFmt w:val="bullet"/>
      <w:lvlText w:val=""/>
      <w:lvlJc w:val="left"/>
      <w:pPr>
        <w:tabs>
          <w:tab w:val="left" w:pos="1318"/>
        </w:tabs>
        <w:ind w:left="1318" w:hanging="780"/>
      </w:pPr>
      <w:rPr>
        <w:rFonts w:ascii="Wingdings" w:eastAsia="仿宋_GB2312" w:hAnsi="Wingdings" w:cs="Times New Roman" w:hint="default"/>
        <w:b w:val="0"/>
      </w:rPr>
    </w:lvl>
    <w:lvl w:ilvl="1">
      <w:start w:val="1"/>
      <w:numFmt w:val="bullet"/>
      <w:lvlText w:val=""/>
      <w:lvlJc w:val="left"/>
      <w:pPr>
        <w:tabs>
          <w:tab w:val="left" w:pos="1378"/>
        </w:tabs>
        <w:ind w:left="1378" w:hanging="420"/>
      </w:pPr>
      <w:rPr>
        <w:rFonts w:ascii="Wingdings" w:hAnsi="Wingdings" w:hint="default"/>
      </w:rPr>
    </w:lvl>
    <w:lvl w:ilvl="2">
      <w:start w:val="1"/>
      <w:numFmt w:val="bullet"/>
      <w:lvlText w:val=""/>
      <w:lvlJc w:val="left"/>
      <w:pPr>
        <w:tabs>
          <w:tab w:val="left" w:pos="1798"/>
        </w:tabs>
        <w:ind w:left="1798" w:hanging="420"/>
      </w:pPr>
      <w:rPr>
        <w:rFonts w:ascii="Wingdings" w:hAnsi="Wingdings" w:hint="default"/>
      </w:rPr>
    </w:lvl>
    <w:lvl w:ilvl="3">
      <w:start w:val="1"/>
      <w:numFmt w:val="bullet"/>
      <w:lvlText w:val=""/>
      <w:lvlJc w:val="left"/>
      <w:pPr>
        <w:tabs>
          <w:tab w:val="left" w:pos="2218"/>
        </w:tabs>
        <w:ind w:left="2218" w:hanging="420"/>
      </w:pPr>
      <w:rPr>
        <w:rFonts w:ascii="Wingdings" w:hAnsi="Wingdings" w:hint="default"/>
        <w:b w:val="0"/>
      </w:rPr>
    </w:lvl>
    <w:lvl w:ilvl="4">
      <w:start w:val="1"/>
      <w:numFmt w:val="bullet"/>
      <w:lvlText w:val=""/>
      <w:lvlJc w:val="left"/>
      <w:pPr>
        <w:tabs>
          <w:tab w:val="left" w:pos="2638"/>
        </w:tabs>
        <w:ind w:left="2638" w:hanging="420"/>
      </w:pPr>
      <w:rPr>
        <w:rFonts w:ascii="Wingdings" w:hAnsi="Wingdings" w:hint="default"/>
      </w:rPr>
    </w:lvl>
    <w:lvl w:ilvl="5">
      <w:start w:val="1"/>
      <w:numFmt w:val="bullet"/>
      <w:lvlText w:val=""/>
      <w:lvlJc w:val="left"/>
      <w:pPr>
        <w:tabs>
          <w:tab w:val="left" w:pos="3058"/>
        </w:tabs>
        <w:ind w:left="3058" w:hanging="420"/>
      </w:pPr>
      <w:rPr>
        <w:rFonts w:ascii="Wingdings" w:hAnsi="Wingdings" w:hint="default"/>
      </w:rPr>
    </w:lvl>
    <w:lvl w:ilvl="6">
      <w:start w:val="1"/>
      <w:numFmt w:val="bullet"/>
      <w:lvlText w:val=""/>
      <w:lvlJc w:val="left"/>
      <w:pPr>
        <w:tabs>
          <w:tab w:val="left" w:pos="3478"/>
        </w:tabs>
        <w:ind w:left="3478" w:hanging="420"/>
      </w:pPr>
      <w:rPr>
        <w:rFonts w:ascii="Wingdings" w:hAnsi="Wingdings" w:hint="default"/>
      </w:rPr>
    </w:lvl>
    <w:lvl w:ilvl="7">
      <w:start w:val="1"/>
      <w:numFmt w:val="bullet"/>
      <w:lvlText w:val=""/>
      <w:lvlJc w:val="left"/>
      <w:pPr>
        <w:tabs>
          <w:tab w:val="left" w:pos="3898"/>
        </w:tabs>
        <w:ind w:left="3898" w:hanging="420"/>
      </w:pPr>
      <w:rPr>
        <w:rFonts w:ascii="Wingdings" w:hAnsi="Wingdings" w:hint="default"/>
      </w:rPr>
    </w:lvl>
    <w:lvl w:ilvl="8">
      <w:start w:val="1"/>
      <w:numFmt w:val="bullet"/>
      <w:lvlText w:val=""/>
      <w:lvlJc w:val="left"/>
      <w:pPr>
        <w:tabs>
          <w:tab w:val="left" w:pos="4318"/>
        </w:tabs>
        <w:ind w:left="4318" w:hanging="420"/>
      </w:pPr>
      <w:rPr>
        <w:rFonts w:ascii="Wingdings" w:hAnsi="Wingdings" w:hint="default"/>
      </w:rPr>
    </w:lvl>
  </w:abstractNum>
  <w:abstractNum w:abstractNumId="1">
    <w:nsid w:val="234F360F"/>
    <w:multiLevelType w:val="multilevel"/>
    <w:tmpl w:val="234F360F"/>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0FF"/>
    <w:rsid w:val="EEFF9B04"/>
    <w:rsid w:val="000121F2"/>
    <w:rsid w:val="00013615"/>
    <w:rsid w:val="00022900"/>
    <w:rsid w:val="00022D1A"/>
    <w:rsid w:val="00024A36"/>
    <w:rsid w:val="000332EC"/>
    <w:rsid w:val="00033C39"/>
    <w:rsid w:val="00034298"/>
    <w:rsid w:val="00035E18"/>
    <w:rsid w:val="000409AB"/>
    <w:rsid w:val="00041067"/>
    <w:rsid w:val="00041A82"/>
    <w:rsid w:val="000454E7"/>
    <w:rsid w:val="00046727"/>
    <w:rsid w:val="0004693E"/>
    <w:rsid w:val="00047D69"/>
    <w:rsid w:val="00051754"/>
    <w:rsid w:val="0005507D"/>
    <w:rsid w:val="000606F2"/>
    <w:rsid w:val="0006196C"/>
    <w:rsid w:val="00061B35"/>
    <w:rsid w:val="00062618"/>
    <w:rsid w:val="00062D4E"/>
    <w:rsid w:val="000721B7"/>
    <w:rsid w:val="00085113"/>
    <w:rsid w:val="00085BE2"/>
    <w:rsid w:val="0009061F"/>
    <w:rsid w:val="0009394A"/>
    <w:rsid w:val="000942F3"/>
    <w:rsid w:val="0009560A"/>
    <w:rsid w:val="00095AB1"/>
    <w:rsid w:val="000A27D3"/>
    <w:rsid w:val="000A31AF"/>
    <w:rsid w:val="000A3CBE"/>
    <w:rsid w:val="000A70D4"/>
    <w:rsid w:val="000B1EC7"/>
    <w:rsid w:val="000B4FF6"/>
    <w:rsid w:val="000B648A"/>
    <w:rsid w:val="000B69C8"/>
    <w:rsid w:val="000B6FBA"/>
    <w:rsid w:val="000C3BBD"/>
    <w:rsid w:val="000C498A"/>
    <w:rsid w:val="000C66A4"/>
    <w:rsid w:val="000C7153"/>
    <w:rsid w:val="000D0E7E"/>
    <w:rsid w:val="000D7048"/>
    <w:rsid w:val="000D7793"/>
    <w:rsid w:val="000E18EC"/>
    <w:rsid w:val="000E459E"/>
    <w:rsid w:val="000E69AA"/>
    <w:rsid w:val="000E69C2"/>
    <w:rsid w:val="000F5DEC"/>
    <w:rsid w:val="001026C4"/>
    <w:rsid w:val="00105CFD"/>
    <w:rsid w:val="0010688F"/>
    <w:rsid w:val="00107D25"/>
    <w:rsid w:val="00110D4B"/>
    <w:rsid w:val="0011125A"/>
    <w:rsid w:val="00117720"/>
    <w:rsid w:val="001239DD"/>
    <w:rsid w:val="00124129"/>
    <w:rsid w:val="0013279E"/>
    <w:rsid w:val="00132CBC"/>
    <w:rsid w:val="00135102"/>
    <w:rsid w:val="00135155"/>
    <w:rsid w:val="00135D79"/>
    <w:rsid w:val="001429E4"/>
    <w:rsid w:val="0016255E"/>
    <w:rsid w:val="00163A84"/>
    <w:rsid w:val="00166F19"/>
    <w:rsid w:val="00173EE0"/>
    <w:rsid w:val="00175784"/>
    <w:rsid w:val="00176F09"/>
    <w:rsid w:val="001773A8"/>
    <w:rsid w:val="0017765E"/>
    <w:rsid w:val="00181105"/>
    <w:rsid w:val="00182DB1"/>
    <w:rsid w:val="00183EEB"/>
    <w:rsid w:val="00191041"/>
    <w:rsid w:val="00194D89"/>
    <w:rsid w:val="00197274"/>
    <w:rsid w:val="001A0A47"/>
    <w:rsid w:val="001A2686"/>
    <w:rsid w:val="001B304E"/>
    <w:rsid w:val="001B7891"/>
    <w:rsid w:val="001C5EE0"/>
    <w:rsid w:val="001C602C"/>
    <w:rsid w:val="001D4624"/>
    <w:rsid w:val="001D5B0F"/>
    <w:rsid w:val="001E478D"/>
    <w:rsid w:val="001E669E"/>
    <w:rsid w:val="001E72F9"/>
    <w:rsid w:val="001F120A"/>
    <w:rsid w:val="001F3585"/>
    <w:rsid w:val="001F419F"/>
    <w:rsid w:val="00204C1C"/>
    <w:rsid w:val="002061A1"/>
    <w:rsid w:val="00216480"/>
    <w:rsid w:val="002175E6"/>
    <w:rsid w:val="00221061"/>
    <w:rsid w:val="00222FA1"/>
    <w:rsid w:val="00223CA3"/>
    <w:rsid w:val="002250F0"/>
    <w:rsid w:val="00226478"/>
    <w:rsid w:val="002272A2"/>
    <w:rsid w:val="00233D65"/>
    <w:rsid w:val="00236433"/>
    <w:rsid w:val="00236B36"/>
    <w:rsid w:val="00237D19"/>
    <w:rsid w:val="00251142"/>
    <w:rsid w:val="00261480"/>
    <w:rsid w:val="00267615"/>
    <w:rsid w:val="002707CD"/>
    <w:rsid w:val="00274313"/>
    <w:rsid w:val="0029121A"/>
    <w:rsid w:val="00291E51"/>
    <w:rsid w:val="00293BFC"/>
    <w:rsid w:val="00294628"/>
    <w:rsid w:val="00294BEB"/>
    <w:rsid w:val="00296009"/>
    <w:rsid w:val="002A2BC1"/>
    <w:rsid w:val="002A7765"/>
    <w:rsid w:val="002B3986"/>
    <w:rsid w:val="002B425A"/>
    <w:rsid w:val="002C0BC9"/>
    <w:rsid w:val="002C730B"/>
    <w:rsid w:val="002E2441"/>
    <w:rsid w:val="002E3252"/>
    <w:rsid w:val="002E3695"/>
    <w:rsid w:val="002E4EE5"/>
    <w:rsid w:val="002E51A8"/>
    <w:rsid w:val="002E51BB"/>
    <w:rsid w:val="002E6FEF"/>
    <w:rsid w:val="002F27A6"/>
    <w:rsid w:val="002F27E2"/>
    <w:rsid w:val="002F3362"/>
    <w:rsid w:val="002F3E42"/>
    <w:rsid w:val="00302AD8"/>
    <w:rsid w:val="00304200"/>
    <w:rsid w:val="003140CC"/>
    <w:rsid w:val="00314D3D"/>
    <w:rsid w:val="00320A44"/>
    <w:rsid w:val="00326A87"/>
    <w:rsid w:val="0033055E"/>
    <w:rsid w:val="00331A8B"/>
    <w:rsid w:val="00334456"/>
    <w:rsid w:val="00335574"/>
    <w:rsid w:val="00342B35"/>
    <w:rsid w:val="00354468"/>
    <w:rsid w:val="0036009C"/>
    <w:rsid w:val="00372375"/>
    <w:rsid w:val="003725DA"/>
    <w:rsid w:val="003738AF"/>
    <w:rsid w:val="00374968"/>
    <w:rsid w:val="00375C97"/>
    <w:rsid w:val="003848F6"/>
    <w:rsid w:val="00385A72"/>
    <w:rsid w:val="00386819"/>
    <w:rsid w:val="003874A4"/>
    <w:rsid w:val="003907E1"/>
    <w:rsid w:val="00390AD6"/>
    <w:rsid w:val="00391EBC"/>
    <w:rsid w:val="0039455F"/>
    <w:rsid w:val="003A196F"/>
    <w:rsid w:val="003A1AF9"/>
    <w:rsid w:val="003A42E9"/>
    <w:rsid w:val="003C3E96"/>
    <w:rsid w:val="003C4413"/>
    <w:rsid w:val="003C7546"/>
    <w:rsid w:val="003D0785"/>
    <w:rsid w:val="003D3D2B"/>
    <w:rsid w:val="003D49C9"/>
    <w:rsid w:val="003D515C"/>
    <w:rsid w:val="003E4702"/>
    <w:rsid w:val="003F19B6"/>
    <w:rsid w:val="00400B18"/>
    <w:rsid w:val="0040285E"/>
    <w:rsid w:val="00402B13"/>
    <w:rsid w:val="00406C0D"/>
    <w:rsid w:val="00414121"/>
    <w:rsid w:val="00414C2C"/>
    <w:rsid w:val="00414E61"/>
    <w:rsid w:val="00416846"/>
    <w:rsid w:val="0042010B"/>
    <w:rsid w:val="00423F19"/>
    <w:rsid w:val="00424EA1"/>
    <w:rsid w:val="00427CDE"/>
    <w:rsid w:val="00432B0C"/>
    <w:rsid w:val="004332A9"/>
    <w:rsid w:val="004375D2"/>
    <w:rsid w:val="00441600"/>
    <w:rsid w:val="00442B5E"/>
    <w:rsid w:val="0044641A"/>
    <w:rsid w:val="00452FC7"/>
    <w:rsid w:val="0045616A"/>
    <w:rsid w:val="00463D11"/>
    <w:rsid w:val="004668ED"/>
    <w:rsid w:val="00467E0F"/>
    <w:rsid w:val="00474394"/>
    <w:rsid w:val="00486D02"/>
    <w:rsid w:val="00487EDB"/>
    <w:rsid w:val="004901D9"/>
    <w:rsid w:val="00490245"/>
    <w:rsid w:val="00491C88"/>
    <w:rsid w:val="00497058"/>
    <w:rsid w:val="004A1E1E"/>
    <w:rsid w:val="004A3A95"/>
    <w:rsid w:val="004A5F21"/>
    <w:rsid w:val="004A63F2"/>
    <w:rsid w:val="004B0AD5"/>
    <w:rsid w:val="004B1AA9"/>
    <w:rsid w:val="004B67A1"/>
    <w:rsid w:val="004C0788"/>
    <w:rsid w:val="004C2959"/>
    <w:rsid w:val="004C51D3"/>
    <w:rsid w:val="004C7688"/>
    <w:rsid w:val="004C76EB"/>
    <w:rsid w:val="004D0164"/>
    <w:rsid w:val="004D0D25"/>
    <w:rsid w:val="004D6808"/>
    <w:rsid w:val="004E27DD"/>
    <w:rsid w:val="004E5874"/>
    <w:rsid w:val="004F46DA"/>
    <w:rsid w:val="004F4C38"/>
    <w:rsid w:val="00501B8D"/>
    <w:rsid w:val="00501B90"/>
    <w:rsid w:val="00503945"/>
    <w:rsid w:val="0050540D"/>
    <w:rsid w:val="00506D1B"/>
    <w:rsid w:val="00511467"/>
    <w:rsid w:val="00515DA4"/>
    <w:rsid w:val="00520616"/>
    <w:rsid w:val="00520869"/>
    <w:rsid w:val="00523C04"/>
    <w:rsid w:val="00526390"/>
    <w:rsid w:val="005311A0"/>
    <w:rsid w:val="00535684"/>
    <w:rsid w:val="00536E36"/>
    <w:rsid w:val="00542729"/>
    <w:rsid w:val="005437F3"/>
    <w:rsid w:val="00550967"/>
    <w:rsid w:val="00556D87"/>
    <w:rsid w:val="005572E2"/>
    <w:rsid w:val="00564FDE"/>
    <w:rsid w:val="0057211E"/>
    <w:rsid w:val="00572894"/>
    <w:rsid w:val="00572CD2"/>
    <w:rsid w:val="00573CF6"/>
    <w:rsid w:val="005779F2"/>
    <w:rsid w:val="00584687"/>
    <w:rsid w:val="00585C65"/>
    <w:rsid w:val="00587437"/>
    <w:rsid w:val="0059051C"/>
    <w:rsid w:val="00595012"/>
    <w:rsid w:val="00596FCA"/>
    <w:rsid w:val="00597D76"/>
    <w:rsid w:val="005A0FB9"/>
    <w:rsid w:val="005A2E60"/>
    <w:rsid w:val="005A3972"/>
    <w:rsid w:val="005A5E3E"/>
    <w:rsid w:val="005A6B70"/>
    <w:rsid w:val="005A6D71"/>
    <w:rsid w:val="005B0AF7"/>
    <w:rsid w:val="005B171A"/>
    <w:rsid w:val="005B1BCD"/>
    <w:rsid w:val="005B2D60"/>
    <w:rsid w:val="005C058C"/>
    <w:rsid w:val="005C3039"/>
    <w:rsid w:val="005C416B"/>
    <w:rsid w:val="005C78FA"/>
    <w:rsid w:val="005E07AB"/>
    <w:rsid w:val="005E0B01"/>
    <w:rsid w:val="005E5C56"/>
    <w:rsid w:val="005E7845"/>
    <w:rsid w:val="005F29C3"/>
    <w:rsid w:val="006041E4"/>
    <w:rsid w:val="00605FAF"/>
    <w:rsid w:val="00607BA2"/>
    <w:rsid w:val="00613A7B"/>
    <w:rsid w:val="0061591D"/>
    <w:rsid w:val="00617849"/>
    <w:rsid w:val="00621B6C"/>
    <w:rsid w:val="0063183B"/>
    <w:rsid w:val="00632CDA"/>
    <w:rsid w:val="0064288C"/>
    <w:rsid w:val="00642C9C"/>
    <w:rsid w:val="00655631"/>
    <w:rsid w:val="00655E57"/>
    <w:rsid w:val="00660471"/>
    <w:rsid w:val="006604D1"/>
    <w:rsid w:val="0066224C"/>
    <w:rsid w:val="00666361"/>
    <w:rsid w:val="00671391"/>
    <w:rsid w:val="0067198B"/>
    <w:rsid w:val="00675A2D"/>
    <w:rsid w:val="00677431"/>
    <w:rsid w:val="00677F62"/>
    <w:rsid w:val="006834E7"/>
    <w:rsid w:val="00686CEA"/>
    <w:rsid w:val="00687996"/>
    <w:rsid w:val="00691779"/>
    <w:rsid w:val="006963B5"/>
    <w:rsid w:val="006A5840"/>
    <w:rsid w:val="006A781B"/>
    <w:rsid w:val="006A7899"/>
    <w:rsid w:val="006B01DC"/>
    <w:rsid w:val="006B3541"/>
    <w:rsid w:val="006D21A3"/>
    <w:rsid w:val="006D33A5"/>
    <w:rsid w:val="006D6081"/>
    <w:rsid w:val="006E1E54"/>
    <w:rsid w:val="006F06D8"/>
    <w:rsid w:val="006F2851"/>
    <w:rsid w:val="006F2D96"/>
    <w:rsid w:val="007047A6"/>
    <w:rsid w:val="00707B6D"/>
    <w:rsid w:val="00711905"/>
    <w:rsid w:val="00711A96"/>
    <w:rsid w:val="00712E61"/>
    <w:rsid w:val="00713018"/>
    <w:rsid w:val="00713A54"/>
    <w:rsid w:val="007154DC"/>
    <w:rsid w:val="0071578E"/>
    <w:rsid w:val="00715F10"/>
    <w:rsid w:val="00717211"/>
    <w:rsid w:val="007212E5"/>
    <w:rsid w:val="007225B7"/>
    <w:rsid w:val="00722684"/>
    <w:rsid w:val="00727DDC"/>
    <w:rsid w:val="00733683"/>
    <w:rsid w:val="007342A0"/>
    <w:rsid w:val="007354D2"/>
    <w:rsid w:val="00735546"/>
    <w:rsid w:val="007366FC"/>
    <w:rsid w:val="00736C29"/>
    <w:rsid w:val="0074385E"/>
    <w:rsid w:val="007454C8"/>
    <w:rsid w:val="00750AED"/>
    <w:rsid w:val="007545D2"/>
    <w:rsid w:val="00754901"/>
    <w:rsid w:val="00755F6E"/>
    <w:rsid w:val="0076201E"/>
    <w:rsid w:val="007621AA"/>
    <w:rsid w:val="00771088"/>
    <w:rsid w:val="00772E00"/>
    <w:rsid w:val="00773A20"/>
    <w:rsid w:val="007746BD"/>
    <w:rsid w:val="00774903"/>
    <w:rsid w:val="00780892"/>
    <w:rsid w:val="007846F7"/>
    <w:rsid w:val="00785216"/>
    <w:rsid w:val="00785250"/>
    <w:rsid w:val="0079390A"/>
    <w:rsid w:val="007A4CEF"/>
    <w:rsid w:val="007A78E0"/>
    <w:rsid w:val="007B26D0"/>
    <w:rsid w:val="007B5758"/>
    <w:rsid w:val="007C62C8"/>
    <w:rsid w:val="007C7FC0"/>
    <w:rsid w:val="007D0F7E"/>
    <w:rsid w:val="007D1E5C"/>
    <w:rsid w:val="007D427A"/>
    <w:rsid w:val="007D51BD"/>
    <w:rsid w:val="007D6643"/>
    <w:rsid w:val="007E1239"/>
    <w:rsid w:val="007E5033"/>
    <w:rsid w:val="007E509E"/>
    <w:rsid w:val="007F1A9D"/>
    <w:rsid w:val="007F2FAC"/>
    <w:rsid w:val="007F448F"/>
    <w:rsid w:val="007F6AD5"/>
    <w:rsid w:val="008056C9"/>
    <w:rsid w:val="0080582A"/>
    <w:rsid w:val="008102DF"/>
    <w:rsid w:val="0081281A"/>
    <w:rsid w:val="00814D65"/>
    <w:rsid w:val="00817229"/>
    <w:rsid w:val="00817BE8"/>
    <w:rsid w:val="008217CC"/>
    <w:rsid w:val="00821CD9"/>
    <w:rsid w:val="008255B7"/>
    <w:rsid w:val="008264D0"/>
    <w:rsid w:val="00831A68"/>
    <w:rsid w:val="00837DC7"/>
    <w:rsid w:val="00843765"/>
    <w:rsid w:val="0084524A"/>
    <w:rsid w:val="00852F6A"/>
    <w:rsid w:val="00855F7B"/>
    <w:rsid w:val="00864B52"/>
    <w:rsid w:val="00864C9F"/>
    <w:rsid w:val="0086541A"/>
    <w:rsid w:val="00867D30"/>
    <w:rsid w:val="008701D3"/>
    <w:rsid w:val="008713FE"/>
    <w:rsid w:val="00873F01"/>
    <w:rsid w:val="008772D9"/>
    <w:rsid w:val="00884A6B"/>
    <w:rsid w:val="00890415"/>
    <w:rsid w:val="008923ED"/>
    <w:rsid w:val="008959A7"/>
    <w:rsid w:val="00897BB2"/>
    <w:rsid w:val="008A0C06"/>
    <w:rsid w:val="008B3F98"/>
    <w:rsid w:val="008B509D"/>
    <w:rsid w:val="008B74CE"/>
    <w:rsid w:val="008C0690"/>
    <w:rsid w:val="008C646E"/>
    <w:rsid w:val="008D0D6B"/>
    <w:rsid w:val="008D12FE"/>
    <w:rsid w:val="008D3FC4"/>
    <w:rsid w:val="008D61FF"/>
    <w:rsid w:val="008F273E"/>
    <w:rsid w:val="008F6159"/>
    <w:rsid w:val="00901C98"/>
    <w:rsid w:val="009034FA"/>
    <w:rsid w:val="00915CE4"/>
    <w:rsid w:val="009213AE"/>
    <w:rsid w:val="009246A4"/>
    <w:rsid w:val="00924B34"/>
    <w:rsid w:val="00930B19"/>
    <w:rsid w:val="00931FFE"/>
    <w:rsid w:val="00933591"/>
    <w:rsid w:val="0094404C"/>
    <w:rsid w:val="009440A5"/>
    <w:rsid w:val="0094550F"/>
    <w:rsid w:val="00947DF2"/>
    <w:rsid w:val="00950593"/>
    <w:rsid w:val="0095079F"/>
    <w:rsid w:val="00952BBB"/>
    <w:rsid w:val="00954EB1"/>
    <w:rsid w:val="00955AAA"/>
    <w:rsid w:val="009570EE"/>
    <w:rsid w:val="00975156"/>
    <w:rsid w:val="00976314"/>
    <w:rsid w:val="00977AAA"/>
    <w:rsid w:val="00980819"/>
    <w:rsid w:val="00981FA2"/>
    <w:rsid w:val="0098430C"/>
    <w:rsid w:val="00984340"/>
    <w:rsid w:val="0098556E"/>
    <w:rsid w:val="009A1CA0"/>
    <w:rsid w:val="009B0E3B"/>
    <w:rsid w:val="009B1035"/>
    <w:rsid w:val="009B7CBB"/>
    <w:rsid w:val="009C0B8A"/>
    <w:rsid w:val="009C3247"/>
    <w:rsid w:val="009C53DB"/>
    <w:rsid w:val="009D3EDB"/>
    <w:rsid w:val="009D5F36"/>
    <w:rsid w:val="009D661B"/>
    <w:rsid w:val="009D69D5"/>
    <w:rsid w:val="009E3396"/>
    <w:rsid w:val="009E6822"/>
    <w:rsid w:val="009E6F80"/>
    <w:rsid w:val="009F0132"/>
    <w:rsid w:val="009F2EF8"/>
    <w:rsid w:val="009F74B6"/>
    <w:rsid w:val="009F78AE"/>
    <w:rsid w:val="009F7977"/>
    <w:rsid w:val="00A00417"/>
    <w:rsid w:val="00A01848"/>
    <w:rsid w:val="00A0446F"/>
    <w:rsid w:val="00A07229"/>
    <w:rsid w:val="00A0781E"/>
    <w:rsid w:val="00A12D49"/>
    <w:rsid w:val="00A136C5"/>
    <w:rsid w:val="00A141C5"/>
    <w:rsid w:val="00A15040"/>
    <w:rsid w:val="00A21CD9"/>
    <w:rsid w:val="00A31DAE"/>
    <w:rsid w:val="00A41589"/>
    <w:rsid w:val="00A427D2"/>
    <w:rsid w:val="00A51009"/>
    <w:rsid w:val="00A52A11"/>
    <w:rsid w:val="00A53057"/>
    <w:rsid w:val="00A534D9"/>
    <w:rsid w:val="00A55619"/>
    <w:rsid w:val="00A61878"/>
    <w:rsid w:val="00A6312A"/>
    <w:rsid w:val="00A668FC"/>
    <w:rsid w:val="00A732BB"/>
    <w:rsid w:val="00A76E6E"/>
    <w:rsid w:val="00A80575"/>
    <w:rsid w:val="00A8249B"/>
    <w:rsid w:val="00A84436"/>
    <w:rsid w:val="00A84AF0"/>
    <w:rsid w:val="00A94401"/>
    <w:rsid w:val="00A97240"/>
    <w:rsid w:val="00AA513B"/>
    <w:rsid w:val="00AA5BB3"/>
    <w:rsid w:val="00AB5255"/>
    <w:rsid w:val="00AB5ACE"/>
    <w:rsid w:val="00AB75D4"/>
    <w:rsid w:val="00AC08AD"/>
    <w:rsid w:val="00AC4327"/>
    <w:rsid w:val="00AC48BC"/>
    <w:rsid w:val="00AC6633"/>
    <w:rsid w:val="00AD2C51"/>
    <w:rsid w:val="00AD4D5B"/>
    <w:rsid w:val="00AD5E33"/>
    <w:rsid w:val="00AE0EF7"/>
    <w:rsid w:val="00AF4255"/>
    <w:rsid w:val="00AF4412"/>
    <w:rsid w:val="00AF49B9"/>
    <w:rsid w:val="00AF4D6B"/>
    <w:rsid w:val="00AF5A1A"/>
    <w:rsid w:val="00AF6F95"/>
    <w:rsid w:val="00B0489D"/>
    <w:rsid w:val="00B054AF"/>
    <w:rsid w:val="00B060D7"/>
    <w:rsid w:val="00B10BF8"/>
    <w:rsid w:val="00B11286"/>
    <w:rsid w:val="00B11EFF"/>
    <w:rsid w:val="00B1272A"/>
    <w:rsid w:val="00B13529"/>
    <w:rsid w:val="00B23376"/>
    <w:rsid w:val="00B233CA"/>
    <w:rsid w:val="00B241C9"/>
    <w:rsid w:val="00B27C69"/>
    <w:rsid w:val="00B33085"/>
    <w:rsid w:val="00B412A1"/>
    <w:rsid w:val="00B41857"/>
    <w:rsid w:val="00B44790"/>
    <w:rsid w:val="00B4487F"/>
    <w:rsid w:val="00B51583"/>
    <w:rsid w:val="00B52D80"/>
    <w:rsid w:val="00B57D51"/>
    <w:rsid w:val="00B617F5"/>
    <w:rsid w:val="00B62042"/>
    <w:rsid w:val="00B6211C"/>
    <w:rsid w:val="00B63CB1"/>
    <w:rsid w:val="00B64EEE"/>
    <w:rsid w:val="00B65FD4"/>
    <w:rsid w:val="00B7027B"/>
    <w:rsid w:val="00B712DF"/>
    <w:rsid w:val="00B72913"/>
    <w:rsid w:val="00B738CE"/>
    <w:rsid w:val="00B73CD6"/>
    <w:rsid w:val="00B81E0C"/>
    <w:rsid w:val="00B83146"/>
    <w:rsid w:val="00B8623F"/>
    <w:rsid w:val="00B8766E"/>
    <w:rsid w:val="00B87D9F"/>
    <w:rsid w:val="00B87E5C"/>
    <w:rsid w:val="00B96E08"/>
    <w:rsid w:val="00B97150"/>
    <w:rsid w:val="00BA2608"/>
    <w:rsid w:val="00BA32BF"/>
    <w:rsid w:val="00BA58DB"/>
    <w:rsid w:val="00BA7CA0"/>
    <w:rsid w:val="00BB1DCB"/>
    <w:rsid w:val="00BB26A5"/>
    <w:rsid w:val="00BB29AB"/>
    <w:rsid w:val="00BB3628"/>
    <w:rsid w:val="00BB37F1"/>
    <w:rsid w:val="00BB74BB"/>
    <w:rsid w:val="00BC474A"/>
    <w:rsid w:val="00BD0527"/>
    <w:rsid w:val="00BD33CB"/>
    <w:rsid w:val="00BD3D80"/>
    <w:rsid w:val="00BD6AD1"/>
    <w:rsid w:val="00BE0174"/>
    <w:rsid w:val="00BE04F4"/>
    <w:rsid w:val="00BE087A"/>
    <w:rsid w:val="00BF05FC"/>
    <w:rsid w:val="00BF170B"/>
    <w:rsid w:val="00BF5C2A"/>
    <w:rsid w:val="00BF652D"/>
    <w:rsid w:val="00BF6913"/>
    <w:rsid w:val="00C059F4"/>
    <w:rsid w:val="00C06714"/>
    <w:rsid w:val="00C15389"/>
    <w:rsid w:val="00C15DB6"/>
    <w:rsid w:val="00C16F9F"/>
    <w:rsid w:val="00C25890"/>
    <w:rsid w:val="00C26AFC"/>
    <w:rsid w:val="00C316B0"/>
    <w:rsid w:val="00C32BE8"/>
    <w:rsid w:val="00C32D58"/>
    <w:rsid w:val="00C33CFD"/>
    <w:rsid w:val="00C34CA7"/>
    <w:rsid w:val="00C36DD5"/>
    <w:rsid w:val="00C377D8"/>
    <w:rsid w:val="00C4633C"/>
    <w:rsid w:val="00C50B6A"/>
    <w:rsid w:val="00C51048"/>
    <w:rsid w:val="00C51123"/>
    <w:rsid w:val="00C544FF"/>
    <w:rsid w:val="00C55505"/>
    <w:rsid w:val="00C55625"/>
    <w:rsid w:val="00C57261"/>
    <w:rsid w:val="00C60DAF"/>
    <w:rsid w:val="00C6138B"/>
    <w:rsid w:val="00C617D1"/>
    <w:rsid w:val="00C62907"/>
    <w:rsid w:val="00C66007"/>
    <w:rsid w:val="00C71E2D"/>
    <w:rsid w:val="00C747BF"/>
    <w:rsid w:val="00C76B9D"/>
    <w:rsid w:val="00C76C61"/>
    <w:rsid w:val="00C81DB0"/>
    <w:rsid w:val="00C82E02"/>
    <w:rsid w:val="00C86581"/>
    <w:rsid w:val="00C91D73"/>
    <w:rsid w:val="00C9343E"/>
    <w:rsid w:val="00C94DC8"/>
    <w:rsid w:val="00CA228F"/>
    <w:rsid w:val="00CA34BD"/>
    <w:rsid w:val="00CB41E0"/>
    <w:rsid w:val="00CC3990"/>
    <w:rsid w:val="00CC5FD6"/>
    <w:rsid w:val="00CC784F"/>
    <w:rsid w:val="00CD067B"/>
    <w:rsid w:val="00CD55C8"/>
    <w:rsid w:val="00CD6C9E"/>
    <w:rsid w:val="00CE0371"/>
    <w:rsid w:val="00CE0FF9"/>
    <w:rsid w:val="00CE2571"/>
    <w:rsid w:val="00CE54BD"/>
    <w:rsid w:val="00CF1916"/>
    <w:rsid w:val="00CF3837"/>
    <w:rsid w:val="00CF7762"/>
    <w:rsid w:val="00D0207B"/>
    <w:rsid w:val="00D063C1"/>
    <w:rsid w:val="00D06D4C"/>
    <w:rsid w:val="00D11A6C"/>
    <w:rsid w:val="00D151CB"/>
    <w:rsid w:val="00D16820"/>
    <w:rsid w:val="00D16B69"/>
    <w:rsid w:val="00D178D8"/>
    <w:rsid w:val="00D20513"/>
    <w:rsid w:val="00D2125C"/>
    <w:rsid w:val="00D219DE"/>
    <w:rsid w:val="00D23076"/>
    <w:rsid w:val="00D2536E"/>
    <w:rsid w:val="00D260F5"/>
    <w:rsid w:val="00D2695C"/>
    <w:rsid w:val="00D31EBE"/>
    <w:rsid w:val="00D37BEF"/>
    <w:rsid w:val="00D40998"/>
    <w:rsid w:val="00D4238A"/>
    <w:rsid w:val="00D455B4"/>
    <w:rsid w:val="00D45BDE"/>
    <w:rsid w:val="00D51C9C"/>
    <w:rsid w:val="00D60679"/>
    <w:rsid w:val="00D60D44"/>
    <w:rsid w:val="00D67277"/>
    <w:rsid w:val="00D74790"/>
    <w:rsid w:val="00D76C00"/>
    <w:rsid w:val="00D84D76"/>
    <w:rsid w:val="00D87A6F"/>
    <w:rsid w:val="00D9397D"/>
    <w:rsid w:val="00D96C80"/>
    <w:rsid w:val="00D97687"/>
    <w:rsid w:val="00DA3E4D"/>
    <w:rsid w:val="00DA4429"/>
    <w:rsid w:val="00DB1C03"/>
    <w:rsid w:val="00DD14A8"/>
    <w:rsid w:val="00DD1AC0"/>
    <w:rsid w:val="00DD2BA8"/>
    <w:rsid w:val="00DD42EA"/>
    <w:rsid w:val="00DE1A18"/>
    <w:rsid w:val="00DF07EA"/>
    <w:rsid w:val="00DF17B2"/>
    <w:rsid w:val="00DF1A7A"/>
    <w:rsid w:val="00DF3BE4"/>
    <w:rsid w:val="00DF573A"/>
    <w:rsid w:val="00DF69AA"/>
    <w:rsid w:val="00E0193F"/>
    <w:rsid w:val="00E046D0"/>
    <w:rsid w:val="00E064A3"/>
    <w:rsid w:val="00E0676A"/>
    <w:rsid w:val="00E0720C"/>
    <w:rsid w:val="00E11ABE"/>
    <w:rsid w:val="00E11DFA"/>
    <w:rsid w:val="00E1345A"/>
    <w:rsid w:val="00E13A58"/>
    <w:rsid w:val="00E1654C"/>
    <w:rsid w:val="00E16C84"/>
    <w:rsid w:val="00E21E0B"/>
    <w:rsid w:val="00E307AC"/>
    <w:rsid w:val="00E315DC"/>
    <w:rsid w:val="00E34AA3"/>
    <w:rsid w:val="00E46026"/>
    <w:rsid w:val="00E50801"/>
    <w:rsid w:val="00E620FF"/>
    <w:rsid w:val="00E67C49"/>
    <w:rsid w:val="00E718FF"/>
    <w:rsid w:val="00E74312"/>
    <w:rsid w:val="00E77335"/>
    <w:rsid w:val="00E90617"/>
    <w:rsid w:val="00E95CCD"/>
    <w:rsid w:val="00E96FF0"/>
    <w:rsid w:val="00EA11FB"/>
    <w:rsid w:val="00EA15BC"/>
    <w:rsid w:val="00EA2932"/>
    <w:rsid w:val="00EA5A16"/>
    <w:rsid w:val="00EA5BA2"/>
    <w:rsid w:val="00EB3F96"/>
    <w:rsid w:val="00EB537C"/>
    <w:rsid w:val="00EC273C"/>
    <w:rsid w:val="00EC3002"/>
    <w:rsid w:val="00EC3354"/>
    <w:rsid w:val="00ED0FC9"/>
    <w:rsid w:val="00EE38A4"/>
    <w:rsid w:val="00EE70BC"/>
    <w:rsid w:val="00EE793C"/>
    <w:rsid w:val="00EF1CBE"/>
    <w:rsid w:val="00EF793E"/>
    <w:rsid w:val="00F02AD3"/>
    <w:rsid w:val="00F057E1"/>
    <w:rsid w:val="00F07A3F"/>
    <w:rsid w:val="00F1098A"/>
    <w:rsid w:val="00F124D9"/>
    <w:rsid w:val="00F14447"/>
    <w:rsid w:val="00F14A7A"/>
    <w:rsid w:val="00F21B96"/>
    <w:rsid w:val="00F24DE4"/>
    <w:rsid w:val="00F26C31"/>
    <w:rsid w:val="00F31F74"/>
    <w:rsid w:val="00F333D9"/>
    <w:rsid w:val="00F45D9F"/>
    <w:rsid w:val="00F53F8D"/>
    <w:rsid w:val="00F54196"/>
    <w:rsid w:val="00F544A0"/>
    <w:rsid w:val="00F55096"/>
    <w:rsid w:val="00F61089"/>
    <w:rsid w:val="00F61624"/>
    <w:rsid w:val="00F61950"/>
    <w:rsid w:val="00F61C3C"/>
    <w:rsid w:val="00F638B5"/>
    <w:rsid w:val="00F663EB"/>
    <w:rsid w:val="00F676D7"/>
    <w:rsid w:val="00F70C0C"/>
    <w:rsid w:val="00F7694B"/>
    <w:rsid w:val="00F7758B"/>
    <w:rsid w:val="00F81363"/>
    <w:rsid w:val="00F85B57"/>
    <w:rsid w:val="00F8710C"/>
    <w:rsid w:val="00F94276"/>
    <w:rsid w:val="00F948A9"/>
    <w:rsid w:val="00F95593"/>
    <w:rsid w:val="00FA0311"/>
    <w:rsid w:val="00FA045B"/>
    <w:rsid w:val="00FA3B68"/>
    <w:rsid w:val="00FA5BC8"/>
    <w:rsid w:val="00FB186F"/>
    <w:rsid w:val="00FB49F0"/>
    <w:rsid w:val="00FC2476"/>
    <w:rsid w:val="00FC3B83"/>
    <w:rsid w:val="00FC643C"/>
    <w:rsid w:val="00FC6F8B"/>
    <w:rsid w:val="00FD0667"/>
    <w:rsid w:val="00FD0CC4"/>
    <w:rsid w:val="00FD0F89"/>
    <w:rsid w:val="00FE1940"/>
    <w:rsid w:val="00FE478F"/>
    <w:rsid w:val="00FE4CD4"/>
    <w:rsid w:val="00FF0D08"/>
    <w:rsid w:val="00FF3AB1"/>
    <w:rsid w:val="00FF4266"/>
    <w:rsid w:val="00FF5B87"/>
    <w:rsid w:val="00FF7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039"/>
    <w:pPr>
      <w:widowControl w:val="0"/>
      <w:jc w:val="both"/>
    </w:pPr>
    <w:rPr>
      <w:kern w:val="2"/>
      <w:sz w:val="21"/>
      <w:szCs w:val="22"/>
    </w:rPr>
  </w:style>
  <w:style w:type="paragraph" w:styleId="1">
    <w:name w:val="heading 1"/>
    <w:basedOn w:val="a"/>
    <w:next w:val="a"/>
    <w:link w:val="1Char"/>
    <w:qFormat/>
    <w:rsid w:val="005C3039"/>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C3039"/>
    <w:rPr>
      <w:rFonts w:ascii="宋体"/>
      <w:sz w:val="18"/>
      <w:szCs w:val="18"/>
    </w:rPr>
  </w:style>
  <w:style w:type="paragraph" w:styleId="a4">
    <w:name w:val="annotation text"/>
    <w:basedOn w:val="a"/>
    <w:link w:val="Char0"/>
    <w:uiPriority w:val="99"/>
    <w:unhideWhenUsed/>
    <w:rsid w:val="005C3039"/>
    <w:pPr>
      <w:jc w:val="left"/>
    </w:pPr>
  </w:style>
  <w:style w:type="paragraph" w:styleId="a5">
    <w:name w:val="Balloon Text"/>
    <w:basedOn w:val="a"/>
    <w:link w:val="Char1"/>
    <w:uiPriority w:val="99"/>
    <w:semiHidden/>
    <w:unhideWhenUsed/>
    <w:qFormat/>
    <w:rsid w:val="005C3039"/>
    <w:rPr>
      <w:sz w:val="18"/>
      <w:szCs w:val="18"/>
    </w:rPr>
  </w:style>
  <w:style w:type="paragraph" w:styleId="a6">
    <w:name w:val="footer"/>
    <w:basedOn w:val="a"/>
    <w:link w:val="Char2"/>
    <w:uiPriority w:val="99"/>
    <w:unhideWhenUsed/>
    <w:qFormat/>
    <w:rsid w:val="005C3039"/>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5C3039"/>
    <w:pPr>
      <w:pBdr>
        <w:bottom w:val="single" w:sz="6" w:space="1" w:color="auto"/>
      </w:pBdr>
      <w:tabs>
        <w:tab w:val="center" w:pos="4153"/>
        <w:tab w:val="right" w:pos="8306"/>
      </w:tabs>
      <w:snapToGrid w:val="0"/>
      <w:jc w:val="center"/>
    </w:pPr>
    <w:rPr>
      <w:kern w:val="0"/>
      <w:sz w:val="18"/>
      <w:szCs w:val="18"/>
    </w:rPr>
  </w:style>
  <w:style w:type="paragraph" w:styleId="a8">
    <w:name w:val="annotation subject"/>
    <w:basedOn w:val="a4"/>
    <w:next w:val="a4"/>
    <w:link w:val="Char4"/>
    <w:uiPriority w:val="99"/>
    <w:semiHidden/>
    <w:unhideWhenUsed/>
    <w:qFormat/>
    <w:rsid w:val="005C3039"/>
    <w:rPr>
      <w:b/>
      <w:bCs/>
    </w:rPr>
  </w:style>
  <w:style w:type="character" w:styleId="a9">
    <w:name w:val="Strong"/>
    <w:uiPriority w:val="22"/>
    <w:qFormat/>
    <w:rsid w:val="005C3039"/>
    <w:rPr>
      <w:b/>
      <w:bCs/>
    </w:rPr>
  </w:style>
  <w:style w:type="character" w:styleId="aa">
    <w:name w:val="annotation reference"/>
    <w:uiPriority w:val="99"/>
    <w:semiHidden/>
    <w:unhideWhenUsed/>
    <w:rsid w:val="005C3039"/>
    <w:rPr>
      <w:sz w:val="21"/>
      <w:szCs w:val="21"/>
    </w:rPr>
  </w:style>
  <w:style w:type="character" w:customStyle="1" w:styleId="Char3">
    <w:name w:val="页眉 Char"/>
    <w:link w:val="a7"/>
    <w:uiPriority w:val="99"/>
    <w:qFormat/>
    <w:rsid w:val="005C3039"/>
    <w:rPr>
      <w:sz w:val="18"/>
      <w:szCs w:val="18"/>
    </w:rPr>
  </w:style>
  <w:style w:type="character" w:customStyle="1" w:styleId="Char2">
    <w:name w:val="页脚 Char"/>
    <w:link w:val="a6"/>
    <w:uiPriority w:val="99"/>
    <w:rsid w:val="005C3039"/>
    <w:rPr>
      <w:sz w:val="18"/>
      <w:szCs w:val="18"/>
    </w:rPr>
  </w:style>
  <w:style w:type="character" w:customStyle="1" w:styleId="1Char">
    <w:name w:val="标题 1 Char"/>
    <w:link w:val="1"/>
    <w:rsid w:val="005C3039"/>
    <w:rPr>
      <w:rFonts w:ascii="Times New Roman" w:eastAsia="宋体" w:hAnsi="Times New Roman" w:cs="Times New Roman"/>
      <w:b/>
      <w:bCs/>
      <w:kern w:val="44"/>
      <w:sz w:val="44"/>
      <w:szCs w:val="44"/>
    </w:rPr>
  </w:style>
  <w:style w:type="paragraph" w:styleId="ab">
    <w:name w:val="List Paragraph"/>
    <w:basedOn w:val="a"/>
    <w:link w:val="Char5"/>
    <w:qFormat/>
    <w:rsid w:val="005C3039"/>
    <w:pPr>
      <w:ind w:firstLineChars="200" w:firstLine="420"/>
    </w:pPr>
  </w:style>
  <w:style w:type="character" w:customStyle="1" w:styleId="Char1">
    <w:name w:val="批注框文本 Char"/>
    <w:link w:val="a5"/>
    <w:uiPriority w:val="99"/>
    <w:semiHidden/>
    <w:qFormat/>
    <w:rsid w:val="005C3039"/>
    <w:rPr>
      <w:kern w:val="2"/>
      <w:sz w:val="18"/>
      <w:szCs w:val="18"/>
    </w:rPr>
  </w:style>
  <w:style w:type="character" w:customStyle="1" w:styleId="Char5">
    <w:name w:val="列出段落 Char"/>
    <w:link w:val="ab"/>
    <w:qFormat/>
    <w:locked/>
    <w:rsid w:val="005C3039"/>
    <w:rPr>
      <w:kern w:val="2"/>
      <w:sz w:val="21"/>
      <w:szCs w:val="22"/>
    </w:rPr>
  </w:style>
  <w:style w:type="character" w:customStyle="1" w:styleId="ac">
    <w:name w:val="页脚 字符"/>
    <w:uiPriority w:val="99"/>
    <w:rsid w:val="005C3039"/>
  </w:style>
  <w:style w:type="character" w:customStyle="1" w:styleId="Char">
    <w:name w:val="文档结构图 Char"/>
    <w:link w:val="a3"/>
    <w:uiPriority w:val="99"/>
    <w:semiHidden/>
    <w:rsid w:val="005C3039"/>
    <w:rPr>
      <w:rFonts w:ascii="宋体"/>
      <w:kern w:val="2"/>
      <w:sz w:val="18"/>
      <w:szCs w:val="18"/>
    </w:rPr>
  </w:style>
  <w:style w:type="character" w:customStyle="1" w:styleId="Char0">
    <w:name w:val="批注文字 Char"/>
    <w:link w:val="a4"/>
    <w:uiPriority w:val="99"/>
    <w:qFormat/>
    <w:rsid w:val="005C3039"/>
    <w:rPr>
      <w:kern w:val="2"/>
      <w:sz w:val="21"/>
      <w:szCs w:val="22"/>
    </w:rPr>
  </w:style>
  <w:style w:type="character" w:customStyle="1" w:styleId="Char4">
    <w:name w:val="批注主题 Char"/>
    <w:link w:val="a8"/>
    <w:uiPriority w:val="99"/>
    <w:semiHidden/>
    <w:qFormat/>
    <w:rsid w:val="005C3039"/>
    <w:rPr>
      <w:b/>
      <w:bCs/>
      <w:kern w:val="2"/>
      <w:sz w:val="21"/>
      <w:szCs w:val="22"/>
    </w:rPr>
  </w:style>
  <w:style w:type="paragraph" w:customStyle="1" w:styleId="10">
    <w:name w:val="修订1"/>
    <w:hidden/>
    <w:uiPriority w:val="99"/>
    <w:semiHidden/>
    <w:rsid w:val="005C303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2023-12-12T09:31:00Z</cp:lastPrinted>
  <dcterms:created xsi:type="dcterms:W3CDTF">2023-12-11T21:16:00Z</dcterms:created>
  <dcterms:modified xsi:type="dcterms:W3CDTF">2023-12-15T03:26:00Z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9BC5F0BC27360B0E3BB77B65496D9A68</vt:lpwstr>
  </property>
</Properties>
</file>