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96711" w:rsidRDefault="000D4C28">
      <w:pPr>
        <w:jc w:val="center"/>
        <w:rPr>
          <w:rFonts w:ascii="黑体" w:eastAsia="黑体" w:hAnsi="黑体"/>
          <w:b/>
          <w:bCs/>
          <w:sz w:val="36"/>
          <w:szCs w:val="36"/>
        </w:rPr>
      </w:pPr>
      <w:bookmarkStart w:id="0" w:name="_Toc340839627"/>
      <w:bookmarkStart w:id="1" w:name="_Toc330904142"/>
      <w:bookmarkStart w:id="2" w:name="_Toc50034074"/>
      <w:r>
        <w:rPr>
          <w:rFonts w:ascii="黑体" w:eastAsia="黑体" w:hAnsi="黑体" w:hint="eastAsia"/>
          <w:b/>
          <w:bCs/>
          <w:sz w:val="36"/>
          <w:szCs w:val="36"/>
        </w:rPr>
        <w:t>第七号</w:t>
      </w:r>
      <w:r>
        <w:rPr>
          <w:rFonts w:ascii="黑体" w:eastAsia="黑体" w:hAnsi="黑体" w:hint="eastAsia"/>
          <w:b/>
          <w:bCs/>
          <w:sz w:val="36"/>
          <w:szCs w:val="36"/>
        </w:rPr>
        <w:t xml:space="preserve"> </w:t>
      </w:r>
      <w:r>
        <w:rPr>
          <w:rFonts w:ascii="黑体" w:eastAsia="黑体" w:hAnsi="黑体" w:hint="eastAsia"/>
          <w:b/>
          <w:bCs/>
          <w:sz w:val="36"/>
          <w:szCs w:val="36"/>
        </w:rPr>
        <w:t>上市公司日常关联交易公告</w:t>
      </w:r>
      <w:bookmarkEnd w:id="0"/>
      <w:bookmarkEnd w:id="1"/>
      <w:bookmarkEnd w:id="2"/>
    </w:p>
    <w:p w:rsidR="00996711" w:rsidRDefault="00996711">
      <w:pPr>
        <w:autoSpaceDE w:val="0"/>
        <w:autoSpaceDN w:val="0"/>
        <w:adjustRightInd w:val="0"/>
        <w:spacing w:line="560" w:lineRule="exact"/>
        <w:jc w:val="center"/>
        <w:rPr>
          <w:rFonts w:ascii="宋体" w:hAnsi="宋体" w:cs="楷体_GB2312-WinCharSetFFFF-H"/>
          <w:color w:val="000000"/>
          <w:kern w:val="0"/>
          <w:sz w:val="32"/>
          <w:szCs w:val="32"/>
        </w:rPr>
      </w:pPr>
    </w:p>
    <w:p w:rsidR="00996711" w:rsidRDefault="000D4C28">
      <w:pPr>
        <w:autoSpaceDE w:val="0"/>
        <w:autoSpaceDN w:val="0"/>
        <w:adjustRightInd w:val="0"/>
        <w:snapToGrid w:val="0"/>
        <w:spacing w:line="560" w:lineRule="exact"/>
        <w:rPr>
          <w:rFonts w:ascii="仿宋_GB2312" w:eastAsia="仿宋_GB2312" w:hAnsi="宋体"/>
          <w:b/>
          <w:sz w:val="30"/>
          <w:szCs w:val="30"/>
        </w:rPr>
      </w:pPr>
      <w:r>
        <w:rPr>
          <w:rFonts w:ascii="仿宋_GB2312" w:eastAsia="仿宋_GB2312" w:hAnsi="宋体" w:hint="eastAsia"/>
          <w:b/>
          <w:sz w:val="30"/>
          <w:szCs w:val="30"/>
        </w:rPr>
        <w:t>适用情形：</w:t>
      </w:r>
    </w:p>
    <w:p w:rsidR="00996711" w:rsidRDefault="000D4C28">
      <w:pPr>
        <w:numPr>
          <w:ilvl w:val="0"/>
          <w:numId w:val="2"/>
        </w:num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上市公司与关联人进行本所《股票上市规则》以及《上市公司</w:t>
      </w:r>
      <w:r>
        <w:rPr>
          <w:rFonts w:ascii="仿宋_GB2312" w:eastAsia="仿宋_GB2312"/>
          <w:color w:val="000000"/>
          <w:sz w:val="30"/>
          <w:szCs w:val="30"/>
        </w:rPr>
        <w:t>自律监管指引第</w:t>
      </w:r>
      <w:r>
        <w:rPr>
          <w:rFonts w:ascii="仿宋_GB2312" w:eastAsia="仿宋_GB2312" w:hint="eastAsia"/>
          <w:color w:val="000000"/>
          <w:sz w:val="30"/>
          <w:szCs w:val="30"/>
        </w:rPr>
        <w:t>5</w:t>
      </w:r>
      <w:r>
        <w:rPr>
          <w:rFonts w:ascii="仿宋_GB2312" w:eastAsia="仿宋_GB2312"/>
          <w:color w:val="000000"/>
          <w:sz w:val="30"/>
          <w:szCs w:val="30"/>
        </w:rPr>
        <w:t>号</w:t>
      </w:r>
      <w:r>
        <w:rPr>
          <w:rFonts w:ascii="仿宋_GB2312" w:eastAsia="仿宋_GB2312"/>
          <w:color w:val="000000"/>
          <w:sz w:val="30"/>
          <w:szCs w:val="30"/>
        </w:rPr>
        <w:t>——</w:t>
      </w:r>
      <w:r>
        <w:rPr>
          <w:rFonts w:ascii="仿宋_GB2312" w:eastAsia="仿宋_GB2312"/>
          <w:color w:val="000000"/>
          <w:sz w:val="30"/>
          <w:szCs w:val="30"/>
        </w:rPr>
        <w:t>交易与关联交易</w:t>
      </w:r>
      <w:r>
        <w:rPr>
          <w:rFonts w:ascii="仿宋_GB2312" w:eastAsia="仿宋_GB2312" w:hint="eastAsia"/>
          <w:color w:val="000000"/>
          <w:sz w:val="30"/>
          <w:szCs w:val="30"/>
        </w:rPr>
        <w:t>》规定的日常关联交易，适用本公告格式。</w:t>
      </w:r>
    </w:p>
    <w:p w:rsidR="00996711" w:rsidRDefault="000D4C28">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w:t>
      </w:r>
      <w:r>
        <w:rPr>
          <w:rFonts w:ascii="仿宋_GB2312" w:eastAsia="仿宋_GB2312"/>
          <w:color w:val="000000"/>
          <w:sz w:val="30"/>
          <w:szCs w:val="30"/>
        </w:rPr>
        <w:t>.</w:t>
      </w:r>
      <w:r>
        <w:rPr>
          <w:rFonts w:ascii="仿宋_GB2312" w:eastAsia="仿宋_GB2312" w:hint="eastAsia"/>
          <w:color w:val="000000"/>
          <w:sz w:val="30"/>
          <w:szCs w:val="30"/>
        </w:rPr>
        <w:t>日常关联交易在实际执行中超出预计总金额的，上市公司根据超出金额重新提交董事会或者股东大会审议，并参照本公告格式进行信息披露。</w:t>
      </w:r>
    </w:p>
    <w:p w:rsidR="00996711" w:rsidRDefault="00996711">
      <w:pPr>
        <w:spacing w:line="560" w:lineRule="exact"/>
        <w:ind w:firstLineChars="200" w:firstLine="600"/>
        <w:rPr>
          <w:rFonts w:ascii="仿宋_GB2312" w:eastAsia="仿宋_GB2312"/>
          <w:color w:val="000000"/>
          <w:sz w:val="30"/>
          <w:szCs w:val="30"/>
        </w:rPr>
      </w:pPr>
    </w:p>
    <w:p w:rsidR="00996711" w:rsidRDefault="000D4C28">
      <w:pPr>
        <w:autoSpaceDE w:val="0"/>
        <w:autoSpaceDN w:val="0"/>
        <w:adjustRightInd w:val="0"/>
        <w:snapToGrid w:val="0"/>
        <w:spacing w:line="560" w:lineRule="exact"/>
        <w:jc w:val="left"/>
        <w:rPr>
          <w:rFonts w:ascii="仿宋" w:eastAsia="仿宋_GB2312" w:hAnsi="仿宋"/>
          <w:sz w:val="30"/>
          <w:szCs w:val="30"/>
        </w:rPr>
      </w:pPr>
      <w:r>
        <w:rPr>
          <w:rFonts w:ascii="仿宋" w:eastAsia="仿宋_GB2312" w:hAnsi="仿宋" w:hint="eastAsia"/>
          <w:sz w:val="30"/>
          <w:szCs w:val="30"/>
        </w:rPr>
        <w:t>证券代码：</w:t>
      </w:r>
      <w:r>
        <w:rPr>
          <w:rFonts w:ascii="仿宋" w:eastAsia="仿宋_GB2312" w:hAnsi="仿宋" w:hint="eastAsia"/>
          <w:sz w:val="30"/>
          <w:szCs w:val="30"/>
        </w:rPr>
        <w:t xml:space="preserve">             </w:t>
      </w:r>
      <w:r>
        <w:rPr>
          <w:rFonts w:ascii="仿宋" w:eastAsia="仿宋_GB2312" w:hAnsi="仿宋" w:hint="eastAsia"/>
          <w:sz w:val="30"/>
          <w:szCs w:val="30"/>
        </w:rPr>
        <w:t>证券简称：</w:t>
      </w:r>
      <w:r>
        <w:rPr>
          <w:rFonts w:ascii="仿宋" w:eastAsia="仿宋_GB2312" w:hAnsi="仿宋" w:hint="eastAsia"/>
          <w:sz w:val="30"/>
          <w:szCs w:val="30"/>
        </w:rPr>
        <w:t xml:space="preserve">           </w:t>
      </w:r>
      <w:r>
        <w:rPr>
          <w:rFonts w:ascii="仿宋" w:eastAsia="仿宋_GB2312" w:hAnsi="仿宋" w:hint="eastAsia"/>
          <w:sz w:val="30"/>
          <w:szCs w:val="30"/>
        </w:rPr>
        <w:t>公告编号：</w:t>
      </w:r>
    </w:p>
    <w:p w:rsidR="00996711" w:rsidRDefault="00996711">
      <w:pPr>
        <w:adjustRightInd w:val="0"/>
        <w:snapToGrid w:val="0"/>
        <w:spacing w:line="560" w:lineRule="exact"/>
        <w:jc w:val="center"/>
        <w:rPr>
          <w:rFonts w:ascii="仿宋_GB2312" w:eastAsia="仿宋_GB2312" w:hAnsi="宋体"/>
          <w:color w:val="000000"/>
          <w:sz w:val="30"/>
          <w:szCs w:val="30"/>
        </w:rPr>
      </w:pPr>
    </w:p>
    <w:p w:rsidR="00996711" w:rsidRDefault="000D4C28">
      <w:pPr>
        <w:autoSpaceDE w:val="0"/>
        <w:autoSpaceDN w:val="0"/>
        <w:adjustRightInd w:val="0"/>
        <w:snapToGrid w:val="0"/>
        <w:spacing w:line="560" w:lineRule="exact"/>
        <w:jc w:val="center"/>
        <w:rPr>
          <w:rFonts w:ascii="仿宋" w:eastAsia="仿宋_GB2312" w:hAnsi="仿宋"/>
          <w:bCs/>
          <w:sz w:val="30"/>
          <w:szCs w:val="30"/>
        </w:rPr>
      </w:pPr>
      <w:r>
        <w:rPr>
          <w:rFonts w:ascii="仿宋_GB2312" w:eastAsia="仿宋_GB2312" w:hAnsi="宋体" w:hint="eastAsia"/>
          <w:color w:val="000000"/>
          <w:sz w:val="30"/>
          <w:szCs w:val="30"/>
        </w:rPr>
        <w:t>X</w:t>
      </w:r>
      <w:r>
        <w:rPr>
          <w:rFonts w:ascii="仿宋_GB2312" w:eastAsia="仿宋_GB2312" w:hAnsi="宋体"/>
          <w:color w:val="000000"/>
          <w:sz w:val="30"/>
          <w:szCs w:val="30"/>
        </w:rPr>
        <w:t>XXX</w:t>
      </w:r>
      <w:r>
        <w:rPr>
          <w:rFonts w:ascii="仿宋" w:eastAsia="仿宋_GB2312" w:hAnsi="仿宋" w:hint="eastAsia"/>
          <w:bCs/>
          <w:sz w:val="30"/>
          <w:szCs w:val="30"/>
        </w:rPr>
        <w:t>股份有限公司日常关联交易公告</w:t>
      </w:r>
    </w:p>
    <w:p w:rsidR="00996711" w:rsidRDefault="00996711">
      <w:pPr>
        <w:snapToGrid w:val="0"/>
        <w:spacing w:line="560" w:lineRule="exact"/>
        <w:jc w:val="center"/>
        <w:rPr>
          <w:rFonts w:ascii="仿宋_GB2312" w:eastAsia="仿宋_GB2312" w:hAnsi="宋体"/>
          <w:color w:val="000000"/>
          <w:sz w:val="30"/>
          <w:szCs w:val="30"/>
        </w:rPr>
      </w:pPr>
    </w:p>
    <w:p w:rsidR="00996711" w:rsidRDefault="000D4C28">
      <w:pPr>
        <w:pBdr>
          <w:top w:val="single" w:sz="4" w:space="1" w:color="auto"/>
          <w:left w:val="single" w:sz="4" w:space="4" w:color="auto"/>
          <w:bottom w:val="single" w:sz="4" w:space="2" w:color="auto"/>
          <w:right w:val="single" w:sz="4" w:space="4" w:color="auto"/>
        </w:pBdr>
        <w:adjustRightInd w:val="0"/>
        <w:spacing w:line="560" w:lineRule="exact"/>
        <w:rPr>
          <w:rFonts w:ascii="仿宋_GB2312" w:eastAsia="仿宋_GB2312" w:hAnsi="宋体"/>
          <w:color w:val="000000"/>
          <w:sz w:val="30"/>
          <w:szCs w:val="30"/>
        </w:rPr>
      </w:pPr>
      <w:r>
        <w:rPr>
          <w:rFonts w:ascii="仿宋_GB2312" w:eastAsia="仿宋_GB2312" w:hAnsi="宋体" w:hint="eastAsia"/>
          <w:color w:val="000000"/>
          <w:sz w:val="30"/>
          <w:szCs w:val="30"/>
        </w:rPr>
        <w:t xml:space="preserve">    </w:t>
      </w:r>
      <w:r>
        <w:rPr>
          <w:rFonts w:ascii="仿宋_GB2312" w:eastAsia="仿宋_GB2312" w:hAnsi="宋体" w:hint="eastAsia"/>
          <w:color w:val="000000"/>
          <w:sz w:val="30"/>
          <w:szCs w:val="30"/>
        </w:rPr>
        <w:t>本公司董事会及全体董事保证本公告内容不存在任何虚假记载、误导性陈述或者重大遗漏，并对其内容的真实性、准确性和完整性承担法律责任。</w:t>
      </w:r>
    </w:p>
    <w:p w:rsidR="00996711" w:rsidRDefault="000D4C28">
      <w:pPr>
        <w:pBdr>
          <w:top w:val="single" w:sz="4" w:space="1" w:color="auto"/>
          <w:left w:val="single" w:sz="4" w:space="4" w:color="auto"/>
          <w:bottom w:val="single" w:sz="4" w:space="2" w:color="auto"/>
          <w:right w:val="single" w:sz="4" w:space="4" w:color="auto"/>
        </w:pBdr>
        <w:adjustRightInd w:val="0"/>
        <w:spacing w:line="560" w:lineRule="exact"/>
        <w:rPr>
          <w:rFonts w:ascii="仿宋_GB2312" w:eastAsia="仿宋_GB2312" w:hAnsi="宋体"/>
          <w:color w:val="000000"/>
          <w:sz w:val="30"/>
          <w:szCs w:val="30"/>
        </w:rPr>
      </w:pPr>
      <w:r>
        <w:rPr>
          <w:rFonts w:ascii="仿宋_GB2312" w:eastAsia="仿宋_GB2312" w:hAnsi="宋体" w:hint="eastAsia"/>
          <w:color w:val="000000"/>
          <w:sz w:val="30"/>
          <w:szCs w:val="30"/>
        </w:rPr>
        <w:t xml:space="preserve">    </w:t>
      </w:r>
      <w:r>
        <w:rPr>
          <w:rFonts w:ascii="仿宋_GB2312" w:eastAsia="仿宋_GB2312" w:hAnsi="宋体" w:hint="eastAsia"/>
          <w:color w:val="000000"/>
          <w:sz w:val="30"/>
          <w:szCs w:val="30"/>
        </w:rPr>
        <w:t>如有董事对临时公告内容的真实性、准确性和完整性无法保证或存在异议的，公司应当在公告中作特别提示。</w:t>
      </w:r>
    </w:p>
    <w:p w:rsidR="00996711" w:rsidRDefault="00996711">
      <w:pPr>
        <w:adjustRightInd w:val="0"/>
        <w:snapToGrid w:val="0"/>
        <w:spacing w:line="560" w:lineRule="exact"/>
        <w:rPr>
          <w:rFonts w:ascii="仿宋_GB2312" w:eastAsia="仿宋_GB2312" w:hAnsi="宋体"/>
          <w:sz w:val="30"/>
          <w:szCs w:val="30"/>
        </w:rPr>
      </w:pPr>
    </w:p>
    <w:p w:rsidR="00996711" w:rsidRDefault="000D4C28">
      <w:pPr>
        <w:adjustRightInd w:val="0"/>
        <w:snapToGrid w:val="0"/>
        <w:spacing w:line="56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重要内容提示：</w:t>
      </w:r>
    </w:p>
    <w:p w:rsidR="00996711" w:rsidRDefault="000D4C28">
      <w:pPr>
        <w:pStyle w:val="10"/>
        <w:numPr>
          <w:ilvl w:val="0"/>
          <w:numId w:val="3"/>
        </w:numPr>
        <w:adjustRightInd w:val="0"/>
        <w:snapToGrid w:val="0"/>
        <w:spacing w:line="560" w:lineRule="exact"/>
        <w:ind w:firstLineChars="0"/>
        <w:rPr>
          <w:rFonts w:ascii="仿宋_GB2312" w:eastAsia="仿宋_GB2312"/>
          <w:color w:val="000000"/>
          <w:sz w:val="30"/>
          <w:szCs w:val="30"/>
        </w:rPr>
      </w:pPr>
      <w:r>
        <w:rPr>
          <w:rFonts w:ascii="仿宋_GB2312" w:eastAsia="仿宋_GB2312" w:hint="eastAsia"/>
          <w:color w:val="000000"/>
          <w:sz w:val="30"/>
          <w:szCs w:val="30"/>
        </w:rPr>
        <w:t>是否需要提交股东大会审议</w:t>
      </w:r>
    </w:p>
    <w:p w:rsidR="00996711" w:rsidRDefault="000D4C28">
      <w:pPr>
        <w:pStyle w:val="10"/>
        <w:numPr>
          <w:ilvl w:val="0"/>
          <w:numId w:val="3"/>
        </w:numPr>
        <w:adjustRightInd w:val="0"/>
        <w:snapToGrid w:val="0"/>
        <w:spacing w:line="560" w:lineRule="exact"/>
        <w:ind w:firstLineChars="0"/>
        <w:rPr>
          <w:rFonts w:ascii="仿宋_GB2312" w:eastAsia="仿宋_GB2312"/>
          <w:color w:val="000000"/>
          <w:sz w:val="30"/>
          <w:szCs w:val="30"/>
        </w:rPr>
      </w:pPr>
      <w:r>
        <w:rPr>
          <w:rFonts w:ascii="仿宋_GB2312" w:eastAsia="仿宋_GB2312" w:hint="eastAsia"/>
          <w:color w:val="000000"/>
          <w:sz w:val="30"/>
          <w:szCs w:val="30"/>
        </w:rPr>
        <w:t>日常关联交易对上市公司的影响（是否对关联人形成较大的依赖）</w:t>
      </w:r>
    </w:p>
    <w:p w:rsidR="00996711" w:rsidRDefault="000D4C28">
      <w:pPr>
        <w:pStyle w:val="10"/>
        <w:numPr>
          <w:ilvl w:val="0"/>
          <w:numId w:val="3"/>
        </w:numPr>
        <w:adjustRightInd w:val="0"/>
        <w:snapToGrid w:val="0"/>
        <w:spacing w:line="560" w:lineRule="exact"/>
        <w:ind w:firstLineChars="0"/>
        <w:rPr>
          <w:rFonts w:ascii="仿宋_GB2312" w:eastAsia="仿宋_GB2312"/>
          <w:color w:val="000000"/>
          <w:sz w:val="30"/>
          <w:szCs w:val="30"/>
        </w:rPr>
      </w:pPr>
      <w:r>
        <w:rPr>
          <w:rFonts w:ascii="仿宋_GB2312" w:eastAsia="仿宋_GB2312" w:hint="eastAsia"/>
          <w:color w:val="000000"/>
          <w:sz w:val="30"/>
          <w:szCs w:val="30"/>
        </w:rPr>
        <w:lastRenderedPageBreak/>
        <w:t>需要提请投资者注意的其他事项（如交易附加条件等）</w:t>
      </w:r>
    </w:p>
    <w:p w:rsidR="00996711" w:rsidRDefault="00996711">
      <w:pPr>
        <w:autoSpaceDE w:val="0"/>
        <w:autoSpaceDN w:val="0"/>
        <w:adjustRightInd w:val="0"/>
        <w:snapToGrid w:val="0"/>
        <w:spacing w:line="560" w:lineRule="exact"/>
        <w:ind w:left="480" w:firstLineChars="200" w:firstLine="600"/>
        <w:jc w:val="left"/>
        <w:rPr>
          <w:rFonts w:ascii="仿宋" w:eastAsia="仿宋_GB2312" w:hAnsi="仿宋"/>
          <w:sz w:val="30"/>
          <w:szCs w:val="30"/>
        </w:rPr>
      </w:pPr>
    </w:p>
    <w:p w:rsidR="00996711" w:rsidRDefault="000D4C28">
      <w:pPr>
        <w:autoSpaceDE w:val="0"/>
        <w:autoSpaceDN w:val="0"/>
        <w:adjustRightInd w:val="0"/>
        <w:snapToGrid w:val="0"/>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t>一、日常关联交易基本情况</w:t>
      </w:r>
    </w:p>
    <w:p w:rsidR="00996711" w:rsidRDefault="000D4C28">
      <w:pPr>
        <w:autoSpaceDE w:val="0"/>
        <w:autoSpaceDN w:val="0"/>
        <w:adjustRightInd w:val="0"/>
        <w:snapToGrid w:val="0"/>
        <w:spacing w:line="560" w:lineRule="exact"/>
        <w:ind w:firstLineChars="200" w:firstLine="600"/>
        <w:jc w:val="left"/>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（一）日常关联交易履行的审议程序</w:t>
      </w:r>
    </w:p>
    <w:p w:rsidR="00996711" w:rsidRDefault="000D4C28">
      <w:pPr>
        <w:autoSpaceDE w:val="0"/>
        <w:autoSpaceDN w:val="0"/>
        <w:adjustRightInd w:val="0"/>
        <w:snapToGrid w:val="0"/>
        <w:spacing w:line="560" w:lineRule="exact"/>
        <w:ind w:firstLineChars="200" w:firstLine="600"/>
        <w:jc w:val="left"/>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说明日常关联交易需要履行的审议程序，包括通过本次日常关联交易事项的董事会召开时间、届次、关联董事回避表决情况以及表决情况等；对于尚需提交股东大会批准的日常关联交易，说明关联股东将在股东大会上对相关议案回避表决；</w:t>
      </w:r>
      <w:r>
        <w:rPr>
          <w:rFonts w:ascii="仿宋_GB2312" w:eastAsia="仿宋_GB2312" w:hAnsi="Calibri" w:cs="Times New Roman" w:hint="eastAsia"/>
          <w:color w:val="000000"/>
          <w:sz w:val="30"/>
          <w:szCs w:val="30"/>
        </w:rPr>
        <w:t>全体独立董事过半数同意以及独立董事专门会议审议的情况</w:t>
      </w:r>
      <w:r>
        <w:rPr>
          <w:rFonts w:ascii="仿宋_GB2312" w:eastAsia="仿宋_GB2312" w:hAnsi="Calibri" w:cs="Times New Roman" w:hint="eastAsia"/>
          <w:color w:val="000000"/>
          <w:sz w:val="30"/>
          <w:szCs w:val="30"/>
        </w:rPr>
        <w:t>。</w:t>
      </w:r>
    </w:p>
    <w:p w:rsidR="00996711" w:rsidRDefault="000D4C28">
      <w:pPr>
        <w:adjustRightInd w:val="0"/>
        <w:snapToGrid w:val="0"/>
        <w:spacing w:line="560" w:lineRule="exact"/>
        <w:ind w:firstLineChars="200" w:firstLine="600"/>
        <w:jc w:val="left"/>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（二）前次日常关联交易的预计和执行情况</w:t>
      </w:r>
    </w:p>
    <w:p w:rsidR="00996711" w:rsidRDefault="000D4C28">
      <w:pPr>
        <w:adjustRightInd w:val="0"/>
        <w:snapToGri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对前次日常关联交易的预计和实际执行情况进行对比说明（可参考下表），与同一</w:t>
      </w:r>
      <w:r>
        <w:rPr>
          <w:rFonts w:ascii="仿宋_GB2312" w:eastAsia="仿宋_GB2312" w:hAnsi="Calibri" w:cs="Times New Roman"/>
          <w:color w:val="000000"/>
          <w:sz w:val="30"/>
          <w:szCs w:val="30"/>
        </w:rPr>
        <w:t>控制下</w:t>
      </w:r>
      <w:r>
        <w:rPr>
          <w:rFonts w:ascii="仿宋_GB2312" w:eastAsia="仿宋_GB2312" w:hAnsi="Calibri" w:cs="Times New Roman" w:hint="eastAsia"/>
          <w:color w:val="000000"/>
          <w:sz w:val="30"/>
          <w:szCs w:val="30"/>
        </w:rPr>
        <w:t>的</w:t>
      </w:r>
      <w:r>
        <w:rPr>
          <w:rFonts w:ascii="仿宋_GB2312" w:eastAsia="仿宋_GB2312" w:hAnsi="Calibri" w:cs="Times New Roman"/>
          <w:color w:val="000000"/>
          <w:sz w:val="30"/>
          <w:szCs w:val="30"/>
        </w:rPr>
        <w:t>各个</w:t>
      </w:r>
      <w:r>
        <w:rPr>
          <w:rFonts w:ascii="仿宋_GB2312" w:eastAsia="仿宋_GB2312" w:hAnsi="Calibri" w:cs="Times New Roman" w:hint="eastAsia"/>
          <w:color w:val="000000"/>
          <w:sz w:val="30"/>
          <w:szCs w:val="30"/>
        </w:rPr>
        <w:t>关联人进行各类关联交易前次预计金额与实际发生金额差异达到</w:t>
      </w:r>
      <w:r>
        <w:rPr>
          <w:rFonts w:ascii="仿宋_GB2312" w:eastAsia="仿宋_GB2312" w:hAnsi="Calibri" w:cs="Times New Roman" w:hint="eastAsia"/>
          <w:color w:val="000000"/>
          <w:sz w:val="30"/>
          <w:szCs w:val="30"/>
        </w:rPr>
        <w:t>300</w:t>
      </w:r>
      <w:r>
        <w:rPr>
          <w:rFonts w:ascii="仿宋_GB2312" w:eastAsia="仿宋_GB2312" w:hAnsi="Calibri" w:cs="Times New Roman" w:hint="eastAsia"/>
          <w:color w:val="000000"/>
          <w:sz w:val="30"/>
          <w:szCs w:val="30"/>
        </w:rPr>
        <w:t>万元人民币以上，且占上市公司最近一期经审计净资产绝对值</w:t>
      </w:r>
      <w:r>
        <w:rPr>
          <w:rFonts w:ascii="仿宋_GB2312" w:eastAsia="仿宋_GB2312" w:hAnsi="Calibri" w:cs="Times New Roman" w:hint="eastAsia"/>
          <w:color w:val="000000"/>
          <w:sz w:val="30"/>
          <w:szCs w:val="30"/>
        </w:rPr>
        <w:t>0.5</w:t>
      </w:r>
      <w:r>
        <w:rPr>
          <w:rFonts w:ascii="仿宋_GB2312" w:eastAsia="仿宋_GB2312" w:hAnsi="Calibri" w:cs="Times New Roman" w:hint="eastAsia"/>
          <w:color w:val="000000"/>
          <w:sz w:val="30"/>
          <w:szCs w:val="30"/>
        </w:rPr>
        <w:t>%</w:t>
      </w:r>
      <w:r>
        <w:rPr>
          <w:rFonts w:ascii="仿宋_GB2312" w:eastAsia="仿宋_GB2312" w:hAnsi="Calibri" w:cs="Times New Roman" w:hint="eastAsia"/>
          <w:color w:val="000000"/>
          <w:sz w:val="30"/>
          <w:szCs w:val="30"/>
        </w:rPr>
        <w:t>以上的，说明原因。上市公司</w:t>
      </w:r>
      <w:r>
        <w:rPr>
          <w:rFonts w:ascii="仿宋_GB2312" w:eastAsia="仿宋_GB2312" w:hAnsi="Calibri" w:cs="Times New Roman"/>
          <w:color w:val="000000"/>
          <w:sz w:val="30"/>
          <w:szCs w:val="30"/>
        </w:rPr>
        <w:t>与</w:t>
      </w:r>
      <w:r>
        <w:rPr>
          <w:rFonts w:ascii="仿宋_GB2312" w:eastAsia="仿宋_GB2312" w:hAnsi="Calibri" w:cs="Times New Roman" w:hint="eastAsia"/>
          <w:color w:val="000000"/>
          <w:sz w:val="30"/>
          <w:szCs w:val="30"/>
        </w:rPr>
        <w:t>非同一</w:t>
      </w:r>
      <w:r>
        <w:rPr>
          <w:rFonts w:ascii="仿宋_GB2312" w:eastAsia="仿宋_GB2312" w:hAnsi="Calibri" w:cs="Times New Roman"/>
          <w:color w:val="000000"/>
          <w:sz w:val="30"/>
          <w:szCs w:val="30"/>
        </w:rPr>
        <w:t>控制下的不同关联人</w:t>
      </w:r>
      <w:r>
        <w:rPr>
          <w:rFonts w:ascii="仿宋_GB2312" w:eastAsia="仿宋_GB2312" w:hAnsi="Calibri" w:cs="Times New Roman" w:hint="eastAsia"/>
          <w:color w:val="000000"/>
          <w:sz w:val="30"/>
          <w:szCs w:val="30"/>
        </w:rPr>
        <w:t>发生的</w:t>
      </w:r>
      <w:r>
        <w:rPr>
          <w:rFonts w:ascii="仿宋_GB2312" w:eastAsia="仿宋_GB2312" w:hAnsi="Calibri" w:cs="Times New Roman"/>
          <w:color w:val="000000"/>
          <w:sz w:val="30"/>
          <w:szCs w:val="30"/>
        </w:rPr>
        <w:t>关联交易金额不合并计算。</w:t>
      </w:r>
    </w:p>
    <w:p w:rsidR="00996711" w:rsidRDefault="00996711">
      <w:pPr>
        <w:adjustRightInd w:val="0"/>
        <w:snapToGrid w:val="0"/>
        <w:spacing w:line="560" w:lineRule="exact"/>
        <w:ind w:firstLineChars="200" w:firstLine="600"/>
        <w:jc w:val="left"/>
        <w:rPr>
          <w:rFonts w:ascii="仿宋_GB2312" w:eastAsia="仿宋_GB2312" w:hAnsi="Calibri" w:cs="Times New Roman"/>
          <w:color w:val="000000"/>
          <w:sz w:val="30"/>
          <w:szCs w:val="30"/>
        </w:rPr>
      </w:pPr>
    </w:p>
    <w:tbl>
      <w:tblPr>
        <w:tblW w:w="8427" w:type="dxa"/>
        <w:tblInd w:w="95" w:type="dxa"/>
        <w:tblLook w:val="04A0" w:firstRow="1" w:lastRow="0" w:firstColumn="1" w:lastColumn="0" w:noHBand="0" w:noVBand="1"/>
      </w:tblPr>
      <w:tblGrid>
        <w:gridCol w:w="1080"/>
        <w:gridCol w:w="1080"/>
        <w:gridCol w:w="1080"/>
        <w:gridCol w:w="1080"/>
        <w:gridCol w:w="4107"/>
      </w:tblGrid>
      <w:tr w:rsidR="00996711">
        <w:trPr>
          <w:trHeight w:val="1710"/>
        </w:trPr>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关联交易类别</w:t>
            </w:r>
          </w:p>
        </w:tc>
        <w:tc>
          <w:tcPr>
            <w:tcW w:w="1080" w:type="dxa"/>
            <w:tcBorders>
              <w:top w:val="single" w:sz="4" w:space="0" w:color="auto"/>
              <w:left w:val="nil"/>
              <w:bottom w:val="single" w:sz="4" w:space="0" w:color="auto"/>
              <w:right w:val="single" w:sz="4" w:space="0" w:color="auto"/>
            </w:tcBorders>
            <w:shd w:val="clear" w:color="auto" w:fill="FFFFFF"/>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关联人</w:t>
            </w:r>
          </w:p>
        </w:tc>
        <w:tc>
          <w:tcPr>
            <w:tcW w:w="1080" w:type="dxa"/>
            <w:tcBorders>
              <w:top w:val="single" w:sz="4" w:space="0" w:color="auto"/>
              <w:left w:val="nil"/>
              <w:bottom w:val="single" w:sz="4" w:space="0" w:color="auto"/>
              <w:right w:val="single" w:sz="4" w:space="0" w:color="auto"/>
            </w:tcBorders>
            <w:shd w:val="clear" w:color="auto" w:fill="FFFFFF"/>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上年（前次）预计金额</w:t>
            </w:r>
          </w:p>
        </w:tc>
        <w:tc>
          <w:tcPr>
            <w:tcW w:w="1080" w:type="dxa"/>
            <w:tcBorders>
              <w:top w:val="single" w:sz="4" w:space="0" w:color="auto"/>
              <w:left w:val="nil"/>
              <w:bottom w:val="single" w:sz="4" w:space="0" w:color="auto"/>
              <w:right w:val="single" w:sz="4" w:space="0" w:color="auto"/>
            </w:tcBorders>
            <w:shd w:val="clear" w:color="auto" w:fill="FFFFFF"/>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上年（前次）实际发生金额</w:t>
            </w:r>
          </w:p>
        </w:tc>
        <w:tc>
          <w:tcPr>
            <w:tcW w:w="4107" w:type="dxa"/>
            <w:tcBorders>
              <w:top w:val="single" w:sz="4" w:space="0" w:color="auto"/>
              <w:left w:val="nil"/>
              <w:bottom w:val="single" w:sz="4" w:space="0" w:color="auto"/>
              <w:right w:val="single" w:sz="4" w:space="0" w:color="auto"/>
            </w:tcBorders>
            <w:shd w:val="clear" w:color="auto" w:fill="FFFFFF"/>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预计金额与实际发生金额差异较大的原因</w:t>
            </w:r>
          </w:p>
        </w:tc>
      </w:tr>
      <w:tr w:rsidR="00996711">
        <w:trPr>
          <w:trHeight w:val="285"/>
        </w:trPr>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向关联人购买</w:t>
            </w:r>
            <w:r>
              <w:rPr>
                <w:rFonts w:ascii="仿宋_GB2312" w:eastAsia="仿宋_GB2312" w:hAnsi="宋体" w:cs="宋体" w:hint="eastAsia"/>
                <w:color w:val="000000"/>
                <w:kern w:val="0"/>
                <w:sz w:val="24"/>
                <w:szCs w:val="21"/>
              </w:rPr>
              <w:lastRenderedPageBreak/>
              <w:t>原材料</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lastRenderedPageBreak/>
              <w:t>甲</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4107"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1080" w:type="dxa"/>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乙</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4107"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1080" w:type="dxa"/>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4107"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1080" w:type="dxa"/>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小计</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4107"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向关联人购买燃料和动力</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甲</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4107"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1080" w:type="dxa"/>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乙</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4107"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1080" w:type="dxa"/>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4107"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1080" w:type="dxa"/>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小计</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4107"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向关联人销售产品、商品</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甲</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4107"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1080" w:type="dxa"/>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乙</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4107"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1080" w:type="dxa"/>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4107"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1080" w:type="dxa"/>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小计</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4107"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向关联人提供劳务</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甲</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4107"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1080" w:type="dxa"/>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乙</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4107"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1080" w:type="dxa"/>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4107"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1080" w:type="dxa"/>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小计</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4107"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接受关</w:t>
            </w:r>
            <w:r>
              <w:rPr>
                <w:rFonts w:ascii="仿宋_GB2312" w:eastAsia="仿宋_GB2312" w:hAnsi="宋体" w:cs="宋体" w:hint="eastAsia"/>
                <w:color w:val="000000"/>
                <w:kern w:val="0"/>
                <w:sz w:val="24"/>
                <w:szCs w:val="21"/>
              </w:rPr>
              <w:lastRenderedPageBreak/>
              <w:t>联人提供的劳务</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lastRenderedPageBreak/>
              <w:t>甲</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4107"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1080" w:type="dxa"/>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乙</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4107"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1080" w:type="dxa"/>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4107"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1080" w:type="dxa"/>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小计</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4107"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委托关联人销售产品、商品</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甲</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4107"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1080" w:type="dxa"/>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乙</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4107"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1080" w:type="dxa"/>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4107"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1080" w:type="dxa"/>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小计</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4107"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525"/>
        </w:trPr>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接受关联人委托代为销售其产品、商品</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甲</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4107"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1080" w:type="dxa"/>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乙</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4107"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1080" w:type="dxa"/>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4107"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1080" w:type="dxa"/>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小计</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4107"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在关联人的财务公司存款</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甲</w:t>
            </w:r>
          </w:p>
        </w:tc>
        <w:tc>
          <w:tcPr>
            <w:tcW w:w="1080"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4107"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1080" w:type="dxa"/>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乙</w:t>
            </w:r>
          </w:p>
        </w:tc>
        <w:tc>
          <w:tcPr>
            <w:tcW w:w="1080"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4107"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1080" w:type="dxa"/>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w:t>
            </w:r>
          </w:p>
        </w:tc>
        <w:tc>
          <w:tcPr>
            <w:tcW w:w="1080"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4107"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1080" w:type="dxa"/>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小计</w:t>
            </w:r>
          </w:p>
        </w:tc>
        <w:tc>
          <w:tcPr>
            <w:tcW w:w="1080"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4107"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lastRenderedPageBreak/>
              <w:t>在关联人的财务公司贷款</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甲</w:t>
            </w:r>
          </w:p>
        </w:tc>
        <w:tc>
          <w:tcPr>
            <w:tcW w:w="1080"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4107"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1080" w:type="dxa"/>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乙</w:t>
            </w:r>
          </w:p>
        </w:tc>
        <w:tc>
          <w:tcPr>
            <w:tcW w:w="1080"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4107"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1080" w:type="dxa"/>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w:t>
            </w:r>
          </w:p>
        </w:tc>
        <w:tc>
          <w:tcPr>
            <w:tcW w:w="1080"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4107"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1080" w:type="dxa"/>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小计</w:t>
            </w:r>
          </w:p>
        </w:tc>
        <w:tc>
          <w:tcPr>
            <w:tcW w:w="1080"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4107"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其他</w:t>
            </w: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甲</w:t>
            </w:r>
          </w:p>
        </w:tc>
        <w:tc>
          <w:tcPr>
            <w:tcW w:w="1080"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4107"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1080" w:type="dxa"/>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乙</w:t>
            </w:r>
          </w:p>
        </w:tc>
        <w:tc>
          <w:tcPr>
            <w:tcW w:w="1080"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4107"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1080" w:type="dxa"/>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w:t>
            </w:r>
          </w:p>
        </w:tc>
        <w:tc>
          <w:tcPr>
            <w:tcW w:w="1080"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4107"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1080" w:type="dxa"/>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1080" w:type="dxa"/>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小计</w:t>
            </w:r>
          </w:p>
        </w:tc>
        <w:tc>
          <w:tcPr>
            <w:tcW w:w="1080"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4107"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合计</w:t>
            </w:r>
          </w:p>
        </w:tc>
        <w:tc>
          <w:tcPr>
            <w:tcW w:w="1080"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4107" w:type="dxa"/>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bl>
    <w:p w:rsidR="00996711" w:rsidRDefault="000D4C28">
      <w:pPr>
        <w:widowControl/>
        <w:adjustRightInd w:val="0"/>
        <w:snapToGrid w:val="0"/>
        <w:spacing w:line="560" w:lineRule="exact"/>
        <w:ind w:firstLineChars="200" w:firstLine="480"/>
        <w:rPr>
          <w:rFonts w:ascii="楷体" w:eastAsia="楷体" w:hAnsi="楷体" w:cs="Times New Roman"/>
          <w:color w:val="000000"/>
          <w:sz w:val="24"/>
          <w:szCs w:val="24"/>
        </w:rPr>
      </w:pPr>
      <w:r>
        <w:rPr>
          <w:rFonts w:ascii="楷体" w:eastAsia="楷体" w:hAnsi="楷体" w:cs="Times New Roman" w:hint="eastAsia"/>
          <w:color w:val="000000"/>
          <w:sz w:val="24"/>
          <w:szCs w:val="24"/>
        </w:rPr>
        <w:t>（编制提醒：若关联人数量众多，上市公司认为难以披露全部关联人信息的，在充分说明原因的情况下可简化披露，其中预计与单一关联人发生交易金额在</w:t>
      </w:r>
      <w:r>
        <w:rPr>
          <w:rFonts w:ascii="楷体" w:eastAsia="楷体" w:hAnsi="楷体" w:cs="Times New Roman" w:hint="eastAsia"/>
          <w:color w:val="000000"/>
          <w:sz w:val="24"/>
          <w:szCs w:val="24"/>
        </w:rPr>
        <w:t>300</w:t>
      </w:r>
      <w:r>
        <w:rPr>
          <w:rFonts w:ascii="楷体" w:eastAsia="楷体" w:hAnsi="楷体" w:cs="Times New Roman" w:hint="eastAsia"/>
          <w:color w:val="000000"/>
          <w:sz w:val="24"/>
          <w:szCs w:val="24"/>
        </w:rPr>
        <w:t>万以上且达到上市公司上一年度经审计净资产</w:t>
      </w:r>
      <w:r>
        <w:rPr>
          <w:rFonts w:ascii="楷体" w:eastAsia="楷体" w:hAnsi="楷体" w:cs="Times New Roman" w:hint="eastAsia"/>
          <w:color w:val="000000"/>
          <w:sz w:val="24"/>
          <w:szCs w:val="24"/>
        </w:rPr>
        <w:t>0.5%</w:t>
      </w:r>
      <w:r>
        <w:rPr>
          <w:rFonts w:ascii="楷体" w:eastAsia="楷体" w:hAnsi="楷体" w:cs="Times New Roman" w:hint="eastAsia"/>
          <w:color w:val="000000"/>
          <w:sz w:val="24"/>
          <w:szCs w:val="24"/>
        </w:rPr>
        <w:t>的，应单独列示上述信息，其他关联人可以同一实际控制人为口径进行合并列示。）</w:t>
      </w:r>
    </w:p>
    <w:p w:rsidR="00996711" w:rsidRDefault="000D4C28">
      <w:pPr>
        <w:autoSpaceDE w:val="0"/>
        <w:autoSpaceDN w:val="0"/>
        <w:adjustRightIn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（三）本次日常关联交易预计金额和类别</w:t>
      </w:r>
    </w:p>
    <w:p w:rsidR="00996711" w:rsidRDefault="000D4C28">
      <w:pPr>
        <w:autoSpaceDE w:val="0"/>
        <w:autoSpaceDN w:val="0"/>
        <w:adjustRightIn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如果公司对当年度的日常关联交易金额进行预计，公司披露预计发生的日常关联交易的主要内容（可参照下表），与同一控制下</w:t>
      </w:r>
      <w:r>
        <w:rPr>
          <w:rFonts w:ascii="仿宋_GB2312" w:eastAsia="仿宋_GB2312" w:hAnsi="Calibri" w:cs="Times New Roman"/>
          <w:color w:val="000000"/>
          <w:sz w:val="30"/>
          <w:szCs w:val="30"/>
        </w:rPr>
        <w:t>的各个</w:t>
      </w:r>
      <w:r>
        <w:rPr>
          <w:rFonts w:ascii="仿宋_GB2312" w:eastAsia="仿宋_GB2312" w:hAnsi="Calibri" w:cs="Times New Roman" w:hint="eastAsia"/>
          <w:color w:val="000000"/>
          <w:sz w:val="30"/>
          <w:szCs w:val="30"/>
        </w:rPr>
        <w:t>关联人进行各类关联交易本次预计金额与前次实际发生金额差异达到</w:t>
      </w:r>
      <w:r>
        <w:rPr>
          <w:rFonts w:ascii="仿宋_GB2312" w:eastAsia="仿宋_GB2312" w:hAnsi="Calibri" w:cs="Times New Roman" w:hint="eastAsia"/>
          <w:color w:val="000000"/>
          <w:sz w:val="30"/>
          <w:szCs w:val="30"/>
        </w:rPr>
        <w:t>300</w:t>
      </w:r>
      <w:r>
        <w:rPr>
          <w:rFonts w:ascii="仿宋_GB2312" w:eastAsia="仿宋_GB2312" w:hAnsi="Calibri" w:cs="Times New Roman" w:hint="eastAsia"/>
          <w:color w:val="000000"/>
          <w:sz w:val="30"/>
          <w:szCs w:val="30"/>
        </w:rPr>
        <w:t>万元人民币以上，且占上市公司最近一期经审计资产绝对值</w:t>
      </w:r>
      <w:r>
        <w:rPr>
          <w:rFonts w:ascii="仿宋_GB2312" w:eastAsia="仿宋_GB2312" w:hAnsi="Calibri" w:cs="Times New Roman" w:hint="eastAsia"/>
          <w:color w:val="000000"/>
          <w:sz w:val="30"/>
          <w:szCs w:val="30"/>
        </w:rPr>
        <w:t>0.5%</w:t>
      </w:r>
      <w:r>
        <w:rPr>
          <w:rFonts w:ascii="仿宋_GB2312" w:eastAsia="仿宋_GB2312" w:hAnsi="Calibri" w:cs="Times New Roman" w:hint="eastAsia"/>
          <w:color w:val="000000"/>
          <w:sz w:val="30"/>
          <w:szCs w:val="30"/>
        </w:rPr>
        <w:t>以上的，说明原因。上市公司</w:t>
      </w:r>
      <w:r>
        <w:rPr>
          <w:rFonts w:ascii="仿宋_GB2312" w:eastAsia="仿宋_GB2312" w:hAnsi="Calibri" w:cs="Times New Roman"/>
          <w:color w:val="000000"/>
          <w:sz w:val="30"/>
          <w:szCs w:val="30"/>
        </w:rPr>
        <w:t>与</w:t>
      </w:r>
      <w:r>
        <w:rPr>
          <w:rFonts w:ascii="仿宋_GB2312" w:eastAsia="仿宋_GB2312" w:hAnsi="Calibri" w:cs="Times New Roman" w:hint="eastAsia"/>
          <w:color w:val="000000"/>
          <w:sz w:val="30"/>
          <w:szCs w:val="30"/>
        </w:rPr>
        <w:t>非同一</w:t>
      </w:r>
      <w:r>
        <w:rPr>
          <w:rFonts w:ascii="仿宋_GB2312" w:eastAsia="仿宋_GB2312" w:hAnsi="Calibri" w:cs="Times New Roman"/>
          <w:color w:val="000000"/>
          <w:sz w:val="30"/>
          <w:szCs w:val="30"/>
        </w:rPr>
        <w:t>控</w:t>
      </w:r>
      <w:r>
        <w:rPr>
          <w:rFonts w:ascii="仿宋_GB2312" w:eastAsia="仿宋_GB2312" w:hAnsi="Calibri" w:cs="Times New Roman"/>
          <w:color w:val="000000"/>
          <w:sz w:val="30"/>
          <w:szCs w:val="30"/>
        </w:rPr>
        <w:lastRenderedPageBreak/>
        <w:t>制下的不同关联人</w:t>
      </w:r>
      <w:r>
        <w:rPr>
          <w:rFonts w:ascii="仿宋_GB2312" w:eastAsia="仿宋_GB2312" w:hAnsi="Calibri" w:cs="Times New Roman" w:hint="eastAsia"/>
          <w:color w:val="000000"/>
          <w:sz w:val="30"/>
          <w:szCs w:val="30"/>
        </w:rPr>
        <w:t>发生的</w:t>
      </w:r>
      <w:r>
        <w:rPr>
          <w:rFonts w:ascii="仿宋_GB2312" w:eastAsia="仿宋_GB2312" w:hAnsi="Calibri" w:cs="Times New Roman"/>
          <w:color w:val="000000"/>
          <w:sz w:val="30"/>
          <w:szCs w:val="30"/>
        </w:rPr>
        <w:t>关联交易金额不合并计算。</w:t>
      </w:r>
    </w:p>
    <w:tbl>
      <w:tblPr>
        <w:tblW w:w="5000" w:type="pct"/>
        <w:tblLook w:val="04A0" w:firstRow="1" w:lastRow="0" w:firstColumn="1" w:lastColumn="0" w:noHBand="0" w:noVBand="1"/>
      </w:tblPr>
      <w:tblGrid>
        <w:gridCol w:w="991"/>
        <w:gridCol w:w="992"/>
        <w:gridCol w:w="992"/>
        <w:gridCol w:w="992"/>
        <w:gridCol w:w="1231"/>
        <w:gridCol w:w="992"/>
        <w:gridCol w:w="992"/>
        <w:gridCol w:w="1340"/>
      </w:tblGrid>
      <w:tr w:rsidR="00996711">
        <w:trPr>
          <w:trHeight w:val="1710"/>
        </w:trPr>
        <w:tc>
          <w:tcPr>
            <w:tcW w:w="582" w:type="pct"/>
            <w:tcBorders>
              <w:top w:val="single" w:sz="4" w:space="0" w:color="auto"/>
              <w:left w:val="single" w:sz="4" w:space="0" w:color="auto"/>
              <w:bottom w:val="single" w:sz="4" w:space="0" w:color="auto"/>
              <w:right w:val="single" w:sz="4" w:space="0" w:color="auto"/>
            </w:tcBorders>
            <w:shd w:val="clear" w:color="auto" w:fill="FFFFFF"/>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关联交易类别</w:t>
            </w:r>
          </w:p>
        </w:tc>
        <w:tc>
          <w:tcPr>
            <w:tcW w:w="582" w:type="pct"/>
            <w:tcBorders>
              <w:top w:val="single" w:sz="4" w:space="0" w:color="auto"/>
              <w:left w:val="nil"/>
              <w:bottom w:val="single" w:sz="4" w:space="0" w:color="auto"/>
              <w:right w:val="single" w:sz="4" w:space="0" w:color="auto"/>
            </w:tcBorders>
            <w:shd w:val="clear" w:color="auto" w:fill="FFFFFF"/>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关联人</w:t>
            </w:r>
          </w:p>
        </w:tc>
        <w:tc>
          <w:tcPr>
            <w:tcW w:w="582" w:type="pct"/>
            <w:tcBorders>
              <w:top w:val="single" w:sz="4" w:space="0" w:color="auto"/>
              <w:left w:val="nil"/>
              <w:bottom w:val="single" w:sz="4" w:space="0" w:color="auto"/>
              <w:right w:val="single" w:sz="4" w:space="0" w:color="auto"/>
            </w:tcBorders>
            <w:shd w:val="clear" w:color="auto" w:fill="FFFFFF"/>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本次预计金额</w:t>
            </w:r>
          </w:p>
        </w:tc>
        <w:tc>
          <w:tcPr>
            <w:tcW w:w="582" w:type="pct"/>
            <w:tcBorders>
              <w:top w:val="single" w:sz="4" w:space="0" w:color="auto"/>
              <w:left w:val="nil"/>
              <w:bottom w:val="single" w:sz="4" w:space="0" w:color="auto"/>
              <w:right w:val="single" w:sz="4" w:space="0" w:color="auto"/>
            </w:tcBorders>
            <w:shd w:val="clear" w:color="auto" w:fill="FFFFFF"/>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占同类业务比例（</w:t>
            </w:r>
            <w:r>
              <w:rPr>
                <w:rFonts w:ascii="仿宋_GB2312" w:eastAsia="仿宋_GB2312" w:hAnsi="宋体" w:cs="宋体" w:hint="eastAsia"/>
                <w:color w:val="000000"/>
                <w:kern w:val="0"/>
                <w:sz w:val="24"/>
                <w:szCs w:val="21"/>
              </w:rPr>
              <w:t>%</w:t>
            </w:r>
            <w:r>
              <w:rPr>
                <w:rFonts w:ascii="仿宋_GB2312" w:eastAsia="仿宋_GB2312" w:hAnsi="宋体" w:cs="宋体" w:hint="eastAsia"/>
                <w:color w:val="000000"/>
                <w:kern w:val="0"/>
                <w:sz w:val="24"/>
                <w:szCs w:val="21"/>
              </w:rPr>
              <w:t>）</w:t>
            </w:r>
          </w:p>
        </w:tc>
        <w:tc>
          <w:tcPr>
            <w:tcW w:w="722" w:type="pct"/>
            <w:tcBorders>
              <w:top w:val="single" w:sz="4" w:space="0" w:color="auto"/>
              <w:left w:val="nil"/>
              <w:bottom w:val="single" w:sz="4" w:space="0" w:color="auto"/>
              <w:right w:val="single" w:sz="4" w:space="0" w:color="auto"/>
            </w:tcBorders>
            <w:shd w:val="clear" w:color="auto" w:fill="FFFFFF"/>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本年年初至披露日与关联人累计已发生的交易金额</w:t>
            </w:r>
          </w:p>
        </w:tc>
        <w:tc>
          <w:tcPr>
            <w:tcW w:w="582" w:type="pct"/>
            <w:tcBorders>
              <w:top w:val="single" w:sz="4" w:space="0" w:color="auto"/>
              <w:left w:val="nil"/>
              <w:bottom w:val="single" w:sz="4" w:space="0" w:color="auto"/>
              <w:right w:val="single" w:sz="4" w:space="0" w:color="auto"/>
            </w:tcBorders>
            <w:shd w:val="clear" w:color="auto" w:fill="FFFFFF"/>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上年实际发生金额</w:t>
            </w:r>
          </w:p>
        </w:tc>
        <w:tc>
          <w:tcPr>
            <w:tcW w:w="582" w:type="pct"/>
            <w:tcBorders>
              <w:top w:val="single" w:sz="4" w:space="0" w:color="auto"/>
              <w:left w:val="nil"/>
              <w:bottom w:val="single" w:sz="4" w:space="0" w:color="auto"/>
              <w:right w:val="single" w:sz="4" w:space="0" w:color="auto"/>
            </w:tcBorders>
            <w:shd w:val="clear" w:color="auto" w:fill="FFFFFF"/>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占同类业务比例（％）</w:t>
            </w:r>
          </w:p>
        </w:tc>
        <w:tc>
          <w:tcPr>
            <w:tcW w:w="787" w:type="pct"/>
            <w:tcBorders>
              <w:top w:val="single" w:sz="4" w:space="0" w:color="auto"/>
              <w:left w:val="nil"/>
              <w:bottom w:val="single" w:sz="4" w:space="0" w:color="auto"/>
              <w:right w:val="single" w:sz="4" w:space="0" w:color="auto"/>
            </w:tcBorders>
            <w:shd w:val="clear" w:color="auto" w:fill="FFFFFF"/>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本次预计金额与上年实际发生金额差异较大的原因</w:t>
            </w:r>
          </w:p>
        </w:tc>
      </w:tr>
      <w:tr w:rsidR="00996711">
        <w:trPr>
          <w:trHeight w:val="285"/>
        </w:trPr>
        <w:tc>
          <w:tcPr>
            <w:tcW w:w="582" w:type="pct"/>
            <w:vMerge w:val="restart"/>
            <w:tcBorders>
              <w:top w:val="nil"/>
              <w:left w:val="single" w:sz="4" w:space="0" w:color="auto"/>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向关联人购买原材料</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甲</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2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87"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582" w:type="pct"/>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乙</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2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87"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582" w:type="pct"/>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2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87"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582" w:type="pct"/>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小计</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2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87"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582" w:type="pct"/>
            <w:vMerge w:val="restart"/>
            <w:tcBorders>
              <w:top w:val="nil"/>
              <w:left w:val="single" w:sz="4" w:space="0" w:color="auto"/>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向关联人购买燃料和动力</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甲</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2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87"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582" w:type="pct"/>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乙</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2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87"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582" w:type="pct"/>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2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87"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582" w:type="pct"/>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小计</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2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87"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582" w:type="pct"/>
            <w:vMerge w:val="restart"/>
            <w:tcBorders>
              <w:top w:val="nil"/>
              <w:left w:val="single" w:sz="4" w:space="0" w:color="auto"/>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向关联人销售产品、商品</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甲</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2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87"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582" w:type="pct"/>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乙</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2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87"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582" w:type="pct"/>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2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87"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582" w:type="pct"/>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小计</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2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87"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582" w:type="pct"/>
            <w:vMerge w:val="restart"/>
            <w:tcBorders>
              <w:top w:val="nil"/>
              <w:left w:val="single" w:sz="4" w:space="0" w:color="auto"/>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lastRenderedPageBreak/>
              <w:t>向关联人提供劳务</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甲</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2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87"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582" w:type="pct"/>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乙</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2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87"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582" w:type="pct"/>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2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87"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582" w:type="pct"/>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小计</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2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87"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582" w:type="pct"/>
            <w:vMerge w:val="restart"/>
            <w:tcBorders>
              <w:top w:val="nil"/>
              <w:left w:val="single" w:sz="4" w:space="0" w:color="auto"/>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接受关联人提供的劳务</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甲</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2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87"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582" w:type="pct"/>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乙</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2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87"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582" w:type="pct"/>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2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87"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582" w:type="pct"/>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小计</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2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87"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582" w:type="pct"/>
            <w:vMerge w:val="restart"/>
            <w:tcBorders>
              <w:top w:val="nil"/>
              <w:left w:val="single" w:sz="4" w:space="0" w:color="auto"/>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委托关联人销售产品、商品</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甲</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2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87"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582" w:type="pct"/>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乙</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2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87"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582" w:type="pct"/>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2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87"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582" w:type="pct"/>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小计</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2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87"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525"/>
        </w:trPr>
        <w:tc>
          <w:tcPr>
            <w:tcW w:w="582" w:type="pct"/>
            <w:vMerge w:val="restart"/>
            <w:tcBorders>
              <w:top w:val="nil"/>
              <w:left w:val="single" w:sz="4" w:space="0" w:color="auto"/>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接受关联人委</w:t>
            </w:r>
            <w:r>
              <w:rPr>
                <w:rFonts w:ascii="仿宋_GB2312" w:eastAsia="仿宋_GB2312" w:hAnsi="宋体" w:cs="宋体" w:hint="eastAsia"/>
                <w:color w:val="000000"/>
                <w:kern w:val="0"/>
                <w:sz w:val="24"/>
                <w:szCs w:val="21"/>
              </w:rPr>
              <w:lastRenderedPageBreak/>
              <w:t>托代为销售其产品、商品</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lastRenderedPageBreak/>
              <w:t>甲</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2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87"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582" w:type="pct"/>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乙</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2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87"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582" w:type="pct"/>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2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87"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582" w:type="pct"/>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小计</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2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87"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582" w:type="pct"/>
            <w:vMerge w:val="restart"/>
            <w:tcBorders>
              <w:top w:val="nil"/>
              <w:left w:val="single" w:sz="4" w:space="0" w:color="auto"/>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在关联人的财务公司存款</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甲</w:t>
            </w:r>
          </w:p>
        </w:tc>
        <w:tc>
          <w:tcPr>
            <w:tcW w:w="58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2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87"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582" w:type="pct"/>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乙</w:t>
            </w:r>
          </w:p>
        </w:tc>
        <w:tc>
          <w:tcPr>
            <w:tcW w:w="58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2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87"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582" w:type="pct"/>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w:t>
            </w:r>
          </w:p>
        </w:tc>
        <w:tc>
          <w:tcPr>
            <w:tcW w:w="58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2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87"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582" w:type="pct"/>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小计</w:t>
            </w:r>
          </w:p>
        </w:tc>
        <w:tc>
          <w:tcPr>
            <w:tcW w:w="58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2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87"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582" w:type="pct"/>
            <w:vMerge w:val="restart"/>
            <w:tcBorders>
              <w:top w:val="nil"/>
              <w:left w:val="single" w:sz="4" w:space="0" w:color="auto"/>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在关联人的财务公司贷款</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甲</w:t>
            </w:r>
          </w:p>
        </w:tc>
        <w:tc>
          <w:tcPr>
            <w:tcW w:w="58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2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87"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582" w:type="pct"/>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乙</w:t>
            </w:r>
          </w:p>
        </w:tc>
        <w:tc>
          <w:tcPr>
            <w:tcW w:w="58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2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87"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582" w:type="pct"/>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w:t>
            </w:r>
          </w:p>
        </w:tc>
        <w:tc>
          <w:tcPr>
            <w:tcW w:w="58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2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87"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582" w:type="pct"/>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小计</w:t>
            </w:r>
          </w:p>
        </w:tc>
        <w:tc>
          <w:tcPr>
            <w:tcW w:w="58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2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87"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582" w:type="pct"/>
            <w:vMerge w:val="restart"/>
            <w:tcBorders>
              <w:top w:val="nil"/>
              <w:left w:val="single" w:sz="4" w:space="0" w:color="auto"/>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其他</w:t>
            </w: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甲</w:t>
            </w:r>
          </w:p>
        </w:tc>
        <w:tc>
          <w:tcPr>
            <w:tcW w:w="58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2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87"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582" w:type="pct"/>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乙</w:t>
            </w:r>
          </w:p>
        </w:tc>
        <w:tc>
          <w:tcPr>
            <w:tcW w:w="58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2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87"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582" w:type="pct"/>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w:t>
            </w:r>
          </w:p>
        </w:tc>
        <w:tc>
          <w:tcPr>
            <w:tcW w:w="58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2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87"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582" w:type="pct"/>
            <w:vMerge/>
            <w:tcBorders>
              <w:top w:val="nil"/>
              <w:left w:val="single" w:sz="4" w:space="0" w:color="auto"/>
              <w:bottom w:val="single" w:sz="4" w:space="0" w:color="auto"/>
              <w:right w:val="single" w:sz="4" w:space="0" w:color="auto"/>
            </w:tcBorders>
            <w:vAlign w:val="center"/>
          </w:tcPr>
          <w:p w:rsidR="00996711" w:rsidRDefault="00996711">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582" w:type="pct"/>
            <w:tcBorders>
              <w:top w:val="nil"/>
              <w:left w:val="nil"/>
              <w:bottom w:val="single" w:sz="4" w:space="0" w:color="auto"/>
              <w:right w:val="single" w:sz="4" w:space="0" w:color="auto"/>
            </w:tcBorders>
            <w:shd w:val="clear" w:color="auto" w:fill="auto"/>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小计</w:t>
            </w:r>
          </w:p>
        </w:tc>
        <w:tc>
          <w:tcPr>
            <w:tcW w:w="58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2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87"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r w:rsidR="00996711">
        <w:trPr>
          <w:trHeight w:val="285"/>
        </w:trPr>
        <w:tc>
          <w:tcPr>
            <w:tcW w:w="582" w:type="pct"/>
            <w:tcBorders>
              <w:top w:val="nil"/>
              <w:left w:val="single" w:sz="4" w:space="0" w:color="auto"/>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合计</w:t>
            </w:r>
          </w:p>
        </w:tc>
        <w:tc>
          <w:tcPr>
            <w:tcW w:w="58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2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582"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c>
          <w:tcPr>
            <w:tcW w:w="787" w:type="pct"/>
            <w:tcBorders>
              <w:top w:val="nil"/>
              <w:left w:val="nil"/>
              <w:bottom w:val="single" w:sz="4" w:space="0" w:color="auto"/>
              <w:right w:val="single" w:sz="4" w:space="0" w:color="auto"/>
            </w:tcBorders>
            <w:shd w:val="clear" w:color="auto" w:fill="auto"/>
            <w:noWrap/>
            <w:vAlign w:val="center"/>
          </w:tcPr>
          <w:p w:rsidR="00996711" w:rsidRDefault="000D4C28">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 xml:space="preserve">　</w:t>
            </w:r>
          </w:p>
        </w:tc>
      </w:tr>
    </w:tbl>
    <w:p w:rsidR="00996711" w:rsidRDefault="00996711">
      <w:pPr>
        <w:autoSpaceDE w:val="0"/>
        <w:autoSpaceDN w:val="0"/>
        <w:adjustRightInd w:val="0"/>
        <w:spacing w:line="560" w:lineRule="exact"/>
        <w:ind w:firstLineChars="200" w:firstLine="600"/>
        <w:rPr>
          <w:rFonts w:ascii="仿宋_GB2312" w:eastAsia="仿宋_GB2312" w:hAnsi="Calibri" w:cs="Times New Roman"/>
          <w:color w:val="000000"/>
          <w:sz w:val="30"/>
          <w:szCs w:val="30"/>
        </w:rPr>
      </w:pPr>
    </w:p>
    <w:p w:rsidR="00996711" w:rsidRDefault="000D4C28">
      <w:pPr>
        <w:autoSpaceDE w:val="0"/>
        <w:autoSpaceDN w:val="0"/>
        <w:adjustRightInd w:val="0"/>
        <w:snapToGrid w:val="0"/>
        <w:spacing w:line="560" w:lineRule="exact"/>
        <w:ind w:firstLineChars="200" w:firstLine="602"/>
        <w:rPr>
          <w:rFonts w:ascii="黑体" w:eastAsia="黑体" w:hAnsi="黑体"/>
          <w:b/>
          <w:sz w:val="30"/>
          <w:szCs w:val="30"/>
        </w:rPr>
      </w:pPr>
      <w:r>
        <w:rPr>
          <w:rFonts w:ascii="黑体" w:eastAsia="黑体" w:hAnsi="黑体" w:hint="eastAsia"/>
          <w:b/>
          <w:sz w:val="30"/>
          <w:szCs w:val="30"/>
        </w:rPr>
        <w:t>二、关联人介绍和关联关系</w:t>
      </w:r>
    </w:p>
    <w:p w:rsidR="00996711" w:rsidRDefault="000D4C28">
      <w:pPr>
        <w:autoSpaceDE w:val="0"/>
        <w:autoSpaceDN w:val="0"/>
        <w:adjustRightIn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对日常关联交易涉及的各关联人情况分别进行说明，内容包括：</w:t>
      </w:r>
    </w:p>
    <w:p w:rsidR="00996711" w:rsidRDefault="000D4C28">
      <w:pPr>
        <w:autoSpaceDE w:val="0"/>
        <w:autoSpaceDN w:val="0"/>
        <w:adjustRightIn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（一）关联人的基本情况。</w:t>
      </w:r>
    </w:p>
    <w:p w:rsidR="00996711" w:rsidRDefault="000D4C28">
      <w:pPr>
        <w:autoSpaceDE w:val="0"/>
        <w:autoSpaceDN w:val="0"/>
        <w:adjustRightInd w:val="0"/>
        <w:spacing w:line="560" w:lineRule="exact"/>
        <w:ind w:firstLineChars="200" w:firstLine="600"/>
        <w:jc w:val="left"/>
        <w:rPr>
          <w:rFonts w:ascii="仿宋_GB2312" w:eastAsia="仿宋_GB2312" w:hAnsi="Calibri" w:cs="Times New Roman"/>
          <w:color w:val="000000"/>
          <w:sz w:val="30"/>
          <w:szCs w:val="30"/>
        </w:rPr>
      </w:pPr>
      <w:r>
        <w:rPr>
          <w:rFonts w:ascii="仿宋_GB2312" w:eastAsia="仿宋_GB2312" w:hAnsi="Calibri" w:cs="Times New Roman"/>
          <w:color w:val="000000"/>
          <w:sz w:val="30"/>
          <w:szCs w:val="30"/>
        </w:rPr>
        <w:t>1.</w:t>
      </w:r>
      <w:r>
        <w:rPr>
          <w:rFonts w:ascii="仿宋_GB2312" w:eastAsia="仿宋_GB2312" w:hAnsi="Calibri" w:cs="Times New Roman"/>
          <w:color w:val="000000"/>
          <w:sz w:val="30"/>
          <w:szCs w:val="30"/>
        </w:rPr>
        <w:t>关联人为法人或其他组织的，</w:t>
      </w:r>
      <w:r>
        <w:rPr>
          <w:rFonts w:ascii="仿宋_GB2312" w:eastAsia="仿宋_GB2312" w:hAnsi="宋体" w:hint="eastAsia"/>
          <w:color w:val="000000"/>
          <w:kern w:val="0"/>
          <w:sz w:val="30"/>
          <w:szCs w:val="30"/>
        </w:rPr>
        <w:t>说明关联人的基本法人信息，例如</w:t>
      </w:r>
      <w:r>
        <w:rPr>
          <w:rFonts w:ascii="仿宋_GB2312" w:eastAsia="仿宋_GB2312" w:hint="eastAsia"/>
          <w:sz w:val="30"/>
          <w:szCs w:val="30"/>
        </w:rPr>
        <w:t>名称、统一社会信用代码、成立时间、注册地、主要办公地点、法定代表人、注册资本、主营业务、主要股东或实际控制人，最近一年又一期的资产总额、负债总额、净资产、营业收入、净利润、资产负债率、影响关联人偿债能力的重大或有事项涉及的总额（包括担保、抵押、诉讼与仲裁事项）等。</w:t>
      </w:r>
    </w:p>
    <w:p w:rsidR="00996711" w:rsidRDefault="000D4C28">
      <w:pPr>
        <w:autoSpaceDE w:val="0"/>
        <w:autoSpaceDN w:val="0"/>
        <w:adjustRightIn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color w:val="000000"/>
          <w:sz w:val="30"/>
          <w:szCs w:val="30"/>
        </w:rPr>
        <w:t>2.</w:t>
      </w:r>
      <w:r>
        <w:rPr>
          <w:rFonts w:ascii="仿宋_GB2312" w:eastAsia="仿宋_GB2312" w:hAnsi="Calibri" w:cs="Times New Roman"/>
          <w:color w:val="000000"/>
          <w:sz w:val="30"/>
          <w:szCs w:val="30"/>
        </w:rPr>
        <w:t>关联人为自然人的，</w:t>
      </w:r>
      <w:r>
        <w:rPr>
          <w:rFonts w:ascii="仿宋_GB2312" w:eastAsia="仿宋_GB2312" w:hint="eastAsia"/>
          <w:sz w:val="30"/>
          <w:szCs w:val="30"/>
        </w:rPr>
        <w:t>披露其姓名</w:t>
      </w:r>
      <w:r>
        <w:rPr>
          <w:rFonts w:ascii="仿宋_GB2312" w:eastAsia="仿宋_GB2312" w:hAnsi="仿宋_GB2312" w:cs="仿宋_GB2312" w:hint="eastAsia"/>
          <w:sz w:val="30"/>
          <w:szCs w:val="30"/>
        </w:rPr>
        <w:t>、</w:t>
      </w:r>
      <w:r>
        <w:rPr>
          <w:rFonts w:ascii="仿宋_GB2312" w:eastAsia="仿宋_GB2312" w:hAnsi="Calibri" w:hint="eastAsia"/>
          <w:color w:val="000000"/>
          <w:sz w:val="30"/>
          <w:szCs w:val="30"/>
        </w:rPr>
        <w:t>就职单位</w:t>
      </w:r>
      <w:r>
        <w:rPr>
          <w:rFonts w:ascii="仿宋_GB2312" w:eastAsia="仿宋_GB2312" w:hint="eastAsia"/>
          <w:sz w:val="30"/>
          <w:szCs w:val="30"/>
        </w:rPr>
        <w:t>等基本情况</w:t>
      </w:r>
      <w:r>
        <w:rPr>
          <w:rFonts w:ascii="仿宋_GB2312" w:eastAsia="仿宋_GB2312" w:hint="eastAsia"/>
          <w:color w:val="000000"/>
          <w:sz w:val="30"/>
          <w:szCs w:val="30"/>
        </w:rPr>
        <w:t>；若上市公司向其销售产品或</w:t>
      </w:r>
      <w:r>
        <w:rPr>
          <w:rFonts w:ascii="仿宋_GB2312" w:eastAsia="仿宋_GB2312"/>
          <w:color w:val="000000"/>
          <w:sz w:val="30"/>
          <w:szCs w:val="30"/>
        </w:rPr>
        <w:t>提供劳务</w:t>
      </w:r>
      <w:r>
        <w:rPr>
          <w:rFonts w:ascii="仿宋_GB2312" w:eastAsia="仿宋_GB2312" w:hint="eastAsia"/>
          <w:color w:val="000000"/>
          <w:sz w:val="30"/>
          <w:szCs w:val="30"/>
        </w:rPr>
        <w:t>的，披露其具有履约能力的证明</w:t>
      </w:r>
      <w:r>
        <w:rPr>
          <w:rFonts w:ascii="仿宋_GB2312" w:eastAsia="仿宋_GB2312" w:hAnsi="宋体" w:hint="eastAsia"/>
          <w:color w:val="000000"/>
          <w:kern w:val="0"/>
          <w:sz w:val="30"/>
          <w:szCs w:val="30"/>
        </w:rPr>
        <w:t>。</w:t>
      </w:r>
    </w:p>
    <w:p w:rsidR="00996711" w:rsidRDefault="000D4C28">
      <w:pPr>
        <w:autoSpaceDE w:val="0"/>
        <w:autoSpaceDN w:val="0"/>
        <w:adjustRightIn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（二）与上市公司的关联关系。</w:t>
      </w:r>
    </w:p>
    <w:p w:rsidR="00996711" w:rsidRDefault="000D4C28">
      <w:pPr>
        <w:autoSpaceDE w:val="0"/>
        <w:autoSpaceDN w:val="0"/>
        <w:adjustRightIn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（三）前期同类关联交易的执行情况和履约能力分析。结合关联人主要财务指标和经营情况，按照关联交易类型对关联人的履约能力进行分析，如向关联人出售商品的，对关联人的支付能力进行合理判断等。</w:t>
      </w:r>
    </w:p>
    <w:p w:rsidR="00996711" w:rsidRDefault="00996711">
      <w:pPr>
        <w:autoSpaceDE w:val="0"/>
        <w:autoSpaceDN w:val="0"/>
        <w:adjustRightInd w:val="0"/>
        <w:spacing w:line="560" w:lineRule="exact"/>
        <w:ind w:firstLineChars="200" w:firstLine="600"/>
        <w:rPr>
          <w:rFonts w:ascii="仿宋_GB2312" w:eastAsia="仿宋_GB2312" w:hAnsi="Calibri" w:cs="Times New Roman"/>
          <w:color w:val="000000"/>
          <w:sz w:val="30"/>
          <w:szCs w:val="30"/>
        </w:rPr>
      </w:pPr>
    </w:p>
    <w:p w:rsidR="00996711" w:rsidRDefault="000D4C28">
      <w:pPr>
        <w:autoSpaceDE w:val="0"/>
        <w:autoSpaceDN w:val="0"/>
        <w:adjustRightInd w:val="0"/>
        <w:snapToGrid w:val="0"/>
        <w:spacing w:line="560" w:lineRule="exact"/>
        <w:ind w:firstLineChars="200" w:firstLine="602"/>
        <w:rPr>
          <w:rFonts w:ascii="黑体" w:eastAsia="黑体" w:hAnsi="黑体"/>
          <w:b/>
          <w:sz w:val="30"/>
          <w:szCs w:val="30"/>
        </w:rPr>
      </w:pPr>
      <w:r>
        <w:rPr>
          <w:rFonts w:ascii="黑体" w:eastAsia="黑体" w:hAnsi="黑体" w:hint="eastAsia"/>
          <w:b/>
          <w:sz w:val="30"/>
          <w:szCs w:val="30"/>
        </w:rPr>
        <w:t>三、关联交易主要内容和定价政策</w:t>
      </w:r>
    </w:p>
    <w:p w:rsidR="00996711" w:rsidRDefault="000D4C28">
      <w:pPr>
        <w:adjustRightInd w:val="0"/>
        <w:snapToGrid w:val="0"/>
        <w:spacing w:line="560" w:lineRule="exact"/>
        <w:ind w:firstLineChars="200" w:firstLine="600"/>
        <w:jc w:val="left"/>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上市公司对日常关联交易的主要内容进行说明，披露日常关联交易价格的确定原则和方法，例如关联交易的定价原则和依据、交易价格、付款安排和结算方式等。协议未确定具体交易价格而</w:t>
      </w:r>
      <w:r>
        <w:rPr>
          <w:rFonts w:ascii="仿宋_GB2312" w:eastAsia="仿宋_GB2312" w:hAnsi="Calibri" w:cs="Times New Roman" w:hint="eastAsia"/>
          <w:color w:val="000000"/>
          <w:sz w:val="30"/>
          <w:szCs w:val="30"/>
        </w:rPr>
        <w:lastRenderedPageBreak/>
        <w:t>仅说明采用参考市场价格、政府指导价、成本加成等方式确定的，上市公司需要提供明确的对比价格信息。参考市场价格的，披露市场价格及其获取方法，实际交易价格与市场参考价格差异较大的，说明原因；采用政府指导价格的，披露明确的指导价格或价格范围；采用成本加成的，披露主要成本构成、加成比例及其定价的合理性等。</w:t>
      </w:r>
    </w:p>
    <w:p w:rsidR="00996711" w:rsidRDefault="000D4C28">
      <w:pPr>
        <w:adjustRightInd w:val="0"/>
        <w:snapToGrid w:val="0"/>
        <w:spacing w:line="560" w:lineRule="exact"/>
        <w:ind w:firstLineChars="200" w:firstLine="600"/>
        <w:jc w:val="left"/>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披露日常关联交易协议签署情况，如已签署了日常关联</w:t>
      </w:r>
      <w:r>
        <w:rPr>
          <w:rFonts w:ascii="仿宋_GB2312" w:eastAsia="仿宋_GB2312" w:hAnsi="Calibri" w:cs="Times New Roman" w:hint="eastAsia"/>
          <w:color w:val="000000"/>
          <w:sz w:val="30"/>
          <w:szCs w:val="30"/>
        </w:rPr>
        <w:t>交易协议，说明协议签署日期、生效条件和日期、协议有效期及其他主要条款。</w:t>
      </w:r>
    </w:p>
    <w:p w:rsidR="00996711" w:rsidRDefault="00996711">
      <w:pPr>
        <w:adjustRightInd w:val="0"/>
        <w:snapToGrid w:val="0"/>
        <w:spacing w:line="560" w:lineRule="exact"/>
        <w:ind w:firstLineChars="200" w:firstLine="600"/>
        <w:jc w:val="left"/>
        <w:rPr>
          <w:rFonts w:ascii="仿宋_GB2312" w:eastAsia="仿宋_GB2312" w:hAnsi="Calibri" w:cs="Times New Roman"/>
          <w:color w:val="000000"/>
          <w:sz w:val="30"/>
          <w:szCs w:val="30"/>
        </w:rPr>
      </w:pPr>
    </w:p>
    <w:p w:rsidR="00996711" w:rsidRDefault="000D4C28">
      <w:pPr>
        <w:autoSpaceDE w:val="0"/>
        <w:autoSpaceDN w:val="0"/>
        <w:adjustRightInd w:val="0"/>
        <w:snapToGrid w:val="0"/>
        <w:spacing w:line="560" w:lineRule="exact"/>
        <w:ind w:firstLineChars="200" w:firstLine="602"/>
        <w:rPr>
          <w:rFonts w:ascii="黑体" w:eastAsia="黑体" w:hAnsi="黑体"/>
          <w:b/>
          <w:sz w:val="30"/>
          <w:szCs w:val="30"/>
        </w:rPr>
      </w:pPr>
      <w:r>
        <w:rPr>
          <w:rFonts w:ascii="黑体" w:eastAsia="黑体" w:hAnsi="黑体" w:hint="eastAsia"/>
          <w:b/>
          <w:sz w:val="30"/>
          <w:szCs w:val="30"/>
        </w:rPr>
        <w:t>四、关联交易目的和对上市公司的影响</w:t>
      </w:r>
    </w:p>
    <w:p w:rsidR="00996711" w:rsidRDefault="000D4C28">
      <w:pPr>
        <w:adjustRightInd w:val="0"/>
        <w:snapToGrid w:val="0"/>
        <w:spacing w:line="560" w:lineRule="exact"/>
        <w:ind w:firstLineChars="200" w:firstLine="600"/>
        <w:jc w:val="left"/>
        <w:rPr>
          <w:rFonts w:ascii="仿宋" w:eastAsia="仿宋_GB2312" w:hAnsi="仿宋"/>
          <w:bCs/>
          <w:sz w:val="30"/>
          <w:szCs w:val="30"/>
        </w:rPr>
      </w:pPr>
      <w:r>
        <w:rPr>
          <w:rFonts w:ascii="仿宋" w:eastAsia="仿宋_GB2312" w:hAnsi="仿宋" w:hint="eastAsia"/>
          <w:bCs/>
          <w:sz w:val="30"/>
          <w:szCs w:val="30"/>
        </w:rPr>
        <w:t>分析关联交易的必要性、持续性，并说明选择与关联人（而非市场其他交易方）进行交易的原因。</w:t>
      </w:r>
    </w:p>
    <w:p w:rsidR="00996711" w:rsidRDefault="000D4C28">
      <w:pPr>
        <w:adjustRightInd w:val="0"/>
        <w:snapToGrid w:val="0"/>
        <w:spacing w:line="560" w:lineRule="exact"/>
        <w:ind w:firstLineChars="200" w:firstLine="600"/>
        <w:jc w:val="left"/>
        <w:rPr>
          <w:rFonts w:ascii="仿宋" w:eastAsia="仿宋_GB2312" w:hAnsi="仿宋"/>
          <w:bCs/>
          <w:sz w:val="30"/>
          <w:szCs w:val="30"/>
        </w:rPr>
      </w:pPr>
      <w:r>
        <w:rPr>
          <w:rFonts w:ascii="仿宋" w:eastAsia="仿宋_GB2312" w:hAnsi="仿宋" w:hint="eastAsia"/>
          <w:bCs/>
          <w:sz w:val="30"/>
          <w:szCs w:val="30"/>
        </w:rPr>
        <w:t>分析关联交易定价的公允性、结算时间和方式等的合理性，重点说明该类关联交易是否损害上市公司或中小股东的利益。</w:t>
      </w:r>
    </w:p>
    <w:p w:rsidR="00996711" w:rsidRDefault="000D4C28">
      <w:pPr>
        <w:adjustRightInd w:val="0"/>
        <w:snapToGrid w:val="0"/>
        <w:spacing w:line="560" w:lineRule="exact"/>
        <w:ind w:firstLineChars="200" w:firstLine="600"/>
        <w:jc w:val="left"/>
        <w:rPr>
          <w:rFonts w:ascii="仿宋" w:eastAsia="仿宋_GB2312" w:hAnsi="仿宋"/>
          <w:bCs/>
          <w:sz w:val="30"/>
          <w:szCs w:val="30"/>
        </w:rPr>
      </w:pPr>
      <w:r>
        <w:rPr>
          <w:rFonts w:ascii="仿宋" w:eastAsia="仿宋_GB2312" w:hAnsi="仿宋" w:hint="eastAsia"/>
          <w:bCs/>
          <w:sz w:val="30"/>
          <w:szCs w:val="30"/>
        </w:rPr>
        <w:t>关联交易对上市公司独立性的影响。例如，重点说明公司主要业务或收入、利润来源是否严重依赖该类关联交易以及依赖程度，相关解决措施（如有）等。</w:t>
      </w:r>
    </w:p>
    <w:p w:rsidR="00996711" w:rsidRDefault="000D4C28">
      <w:pPr>
        <w:adjustRightInd w:val="0"/>
        <w:snapToGrid w:val="0"/>
        <w:spacing w:line="560" w:lineRule="exact"/>
        <w:ind w:firstLineChars="200" w:firstLine="600"/>
        <w:jc w:val="left"/>
        <w:rPr>
          <w:rFonts w:ascii="仿宋" w:eastAsia="仿宋_GB2312" w:hAnsi="仿宋"/>
          <w:bCs/>
          <w:sz w:val="30"/>
          <w:szCs w:val="30"/>
        </w:rPr>
      </w:pPr>
      <w:r>
        <w:rPr>
          <w:rFonts w:ascii="仿宋" w:eastAsia="仿宋_GB2312" w:hAnsi="仿宋" w:hint="eastAsia"/>
          <w:bCs/>
          <w:sz w:val="30"/>
          <w:szCs w:val="30"/>
        </w:rPr>
        <w:t>披露大额销货退回的详细情况（如有）。</w:t>
      </w:r>
    </w:p>
    <w:p w:rsidR="00996711" w:rsidRDefault="00996711">
      <w:pPr>
        <w:adjustRightInd w:val="0"/>
        <w:snapToGrid w:val="0"/>
        <w:spacing w:line="560" w:lineRule="exact"/>
        <w:ind w:firstLineChars="200" w:firstLine="600"/>
        <w:jc w:val="left"/>
        <w:rPr>
          <w:rFonts w:ascii="仿宋" w:eastAsia="仿宋_GB2312" w:hAnsi="仿宋"/>
          <w:bCs/>
          <w:sz w:val="30"/>
          <w:szCs w:val="30"/>
        </w:rPr>
      </w:pPr>
    </w:p>
    <w:p w:rsidR="00996711" w:rsidRDefault="000D4C28">
      <w:pPr>
        <w:autoSpaceDE w:val="0"/>
        <w:autoSpaceDN w:val="0"/>
        <w:adjustRightInd w:val="0"/>
        <w:spacing w:line="560" w:lineRule="exact"/>
        <w:ind w:firstLineChars="192" w:firstLine="576"/>
        <w:jc w:val="left"/>
        <w:rPr>
          <w:rFonts w:ascii="仿宋_GB2312" w:eastAsia="仿宋_GB2312" w:hAnsi="宋体" w:cs="宋体-WinCharSetFFFF-H"/>
          <w:color w:val="000000"/>
          <w:kern w:val="0"/>
          <w:sz w:val="30"/>
          <w:szCs w:val="30"/>
        </w:rPr>
      </w:pPr>
      <w:r>
        <w:rPr>
          <w:rFonts w:ascii="仿宋_GB2312" w:eastAsia="仿宋_GB2312" w:hAnsi="宋体" w:cs="宋体-WinCharSetFFFF-H" w:hint="eastAsia"/>
          <w:color w:val="000000"/>
          <w:kern w:val="0"/>
          <w:sz w:val="30"/>
          <w:szCs w:val="30"/>
        </w:rPr>
        <w:t>特此公告。</w:t>
      </w:r>
    </w:p>
    <w:p w:rsidR="00996711" w:rsidRDefault="00996711">
      <w:pPr>
        <w:autoSpaceDE w:val="0"/>
        <w:autoSpaceDN w:val="0"/>
        <w:adjustRightInd w:val="0"/>
        <w:spacing w:line="560" w:lineRule="exact"/>
        <w:ind w:firstLineChars="192" w:firstLine="576"/>
        <w:jc w:val="left"/>
        <w:rPr>
          <w:rFonts w:ascii="仿宋_GB2312" w:eastAsia="仿宋_GB2312" w:hAnsi="宋体" w:cs="宋体-WinCharSetFFFF-H"/>
          <w:color w:val="000000"/>
          <w:kern w:val="0"/>
          <w:sz w:val="30"/>
          <w:szCs w:val="30"/>
        </w:rPr>
      </w:pPr>
    </w:p>
    <w:p w:rsidR="00996711" w:rsidRDefault="000D4C28">
      <w:pPr>
        <w:autoSpaceDE w:val="0"/>
        <w:autoSpaceDN w:val="0"/>
        <w:adjustRightInd w:val="0"/>
        <w:spacing w:line="560" w:lineRule="exact"/>
        <w:jc w:val="right"/>
        <w:rPr>
          <w:rFonts w:ascii="仿宋_GB2312" w:eastAsia="仿宋_GB2312" w:hAnsi="宋体" w:cs="宋体-WinCharSetFFFF-H"/>
          <w:color w:val="000000"/>
          <w:kern w:val="0"/>
          <w:sz w:val="30"/>
          <w:szCs w:val="30"/>
        </w:rPr>
      </w:pPr>
      <w:r>
        <w:rPr>
          <w:rFonts w:ascii="仿宋_GB2312" w:eastAsia="仿宋_GB2312" w:hAnsi="宋体" w:cs="宋体" w:hint="eastAsia"/>
          <w:color w:val="000000"/>
          <w:kern w:val="0"/>
          <w:sz w:val="30"/>
          <w:szCs w:val="30"/>
        </w:rPr>
        <w:t>××××</w:t>
      </w:r>
      <w:r>
        <w:rPr>
          <w:rFonts w:ascii="仿宋_GB2312" w:eastAsia="仿宋_GB2312" w:hAnsi="宋体" w:cs="宋体-WinCharSetFFFF-H" w:hint="eastAsia"/>
          <w:color w:val="000000"/>
          <w:kern w:val="0"/>
          <w:sz w:val="30"/>
          <w:szCs w:val="30"/>
        </w:rPr>
        <w:t>股份有限公司董事会</w:t>
      </w:r>
    </w:p>
    <w:p w:rsidR="00996711" w:rsidRDefault="000D4C28">
      <w:pPr>
        <w:spacing w:line="560" w:lineRule="exact"/>
        <w:jc w:val="right"/>
        <w:rPr>
          <w:rFonts w:ascii="仿宋_GB2312" w:eastAsia="仿宋_GB2312" w:hAnsi="宋体" w:cs="宋体-WinCharSetFFFF-H"/>
          <w:color w:val="000000"/>
          <w:kern w:val="0"/>
          <w:sz w:val="30"/>
          <w:szCs w:val="30"/>
        </w:rPr>
      </w:pPr>
      <w:r>
        <w:rPr>
          <w:rFonts w:ascii="仿宋_GB2312" w:eastAsia="仿宋_GB2312" w:hAnsi="宋体" w:cs="宋体-WinCharSetFFFF-H" w:hint="eastAsia"/>
          <w:color w:val="000000"/>
          <w:kern w:val="0"/>
          <w:sz w:val="30"/>
          <w:szCs w:val="30"/>
        </w:rPr>
        <w:t xml:space="preserve"> </w:t>
      </w:r>
      <w:r>
        <w:rPr>
          <w:rFonts w:ascii="仿宋_GB2312" w:eastAsia="仿宋_GB2312" w:hAnsi="宋体" w:cs="宋体-WinCharSetFFFF-H" w:hint="eastAsia"/>
          <w:color w:val="000000"/>
          <w:kern w:val="0"/>
          <w:sz w:val="30"/>
          <w:szCs w:val="30"/>
        </w:rPr>
        <w:t>年</w:t>
      </w:r>
      <w:r>
        <w:rPr>
          <w:rFonts w:ascii="仿宋_GB2312" w:eastAsia="仿宋_GB2312" w:hAnsi="宋体" w:cs="宋体-WinCharSetFFFF-H" w:hint="eastAsia"/>
          <w:color w:val="000000"/>
          <w:kern w:val="0"/>
          <w:sz w:val="30"/>
          <w:szCs w:val="30"/>
        </w:rPr>
        <w:t xml:space="preserve">  </w:t>
      </w:r>
      <w:r>
        <w:rPr>
          <w:rFonts w:ascii="仿宋_GB2312" w:eastAsia="仿宋_GB2312" w:hAnsi="宋体" w:cs="宋体-WinCharSetFFFF-H" w:hint="eastAsia"/>
          <w:color w:val="000000"/>
          <w:kern w:val="0"/>
          <w:sz w:val="30"/>
          <w:szCs w:val="30"/>
        </w:rPr>
        <w:t>月</w:t>
      </w:r>
      <w:r>
        <w:rPr>
          <w:rFonts w:ascii="仿宋_GB2312" w:eastAsia="仿宋_GB2312" w:hAnsi="宋体" w:cs="宋体-WinCharSetFFFF-H" w:hint="eastAsia"/>
          <w:color w:val="000000"/>
          <w:kern w:val="0"/>
          <w:sz w:val="30"/>
          <w:szCs w:val="30"/>
        </w:rPr>
        <w:t xml:space="preserve">  </w:t>
      </w:r>
      <w:r>
        <w:rPr>
          <w:rFonts w:ascii="仿宋_GB2312" w:eastAsia="仿宋_GB2312" w:hAnsi="宋体" w:cs="宋体-WinCharSetFFFF-H" w:hint="eastAsia"/>
          <w:color w:val="000000"/>
          <w:kern w:val="0"/>
          <w:sz w:val="30"/>
          <w:szCs w:val="30"/>
        </w:rPr>
        <w:t>日</w:t>
      </w:r>
    </w:p>
    <w:p w:rsidR="00996711" w:rsidRDefault="00996711">
      <w:pPr>
        <w:spacing w:line="560" w:lineRule="exact"/>
        <w:jc w:val="right"/>
        <w:rPr>
          <w:rFonts w:ascii="仿宋_GB2312" w:eastAsia="仿宋_GB2312" w:hAnsi="宋体" w:cs="宋体-WinCharSetFFFF-H"/>
          <w:color w:val="000000"/>
          <w:kern w:val="0"/>
          <w:sz w:val="30"/>
          <w:szCs w:val="30"/>
        </w:rPr>
      </w:pPr>
    </w:p>
    <w:p w:rsidR="00996711" w:rsidRDefault="00996711">
      <w:pPr>
        <w:spacing w:line="560" w:lineRule="exact"/>
        <w:jc w:val="right"/>
        <w:rPr>
          <w:rFonts w:ascii="仿宋_GB2312" w:eastAsia="仿宋_GB2312" w:hAnsi="宋体" w:cs="宋体-WinCharSetFFFF-H"/>
          <w:color w:val="000000"/>
          <w:kern w:val="0"/>
          <w:sz w:val="30"/>
          <w:szCs w:val="30"/>
        </w:rPr>
      </w:pPr>
    </w:p>
    <w:p w:rsidR="00996711" w:rsidRDefault="000D4C28">
      <w:pPr>
        <w:pStyle w:val="10"/>
        <w:numPr>
          <w:ilvl w:val="0"/>
          <w:numId w:val="4"/>
        </w:numPr>
        <w:autoSpaceDE w:val="0"/>
        <w:autoSpaceDN w:val="0"/>
        <w:adjustRightInd w:val="0"/>
        <w:snapToGrid w:val="0"/>
        <w:spacing w:line="560" w:lineRule="exact"/>
        <w:ind w:firstLineChars="0"/>
        <w:rPr>
          <w:rFonts w:ascii="仿宋_GB2312" w:eastAsia="仿宋_GB2312" w:hAnsi="宋体"/>
          <w:b/>
          <w:color w:val="000000"/>
          <w:sz w:val="30"/>
          <w:szCs w:val="30"/>
        </w:rPr>
      </w:pPr>
      <w:r>
        <w:rPr>
          <w:rFonts w:ascii="仿宋_GB2312" w:eastAsia="仿宋_GB2312" w:hAnsi="宋体" w:hint="eastAsia"/>
          <w:b/>
          <w:color w:val="000000"/>
          <w:sz w:val="30"/>
          <w:szCs w:val="30"/>
        </w:rPr>
        <w:t>报备文件</w:t>
      </w:r>
    </w:p>
    <w:p w:rsidR="00996711" w:rsidRDefault="008645D5" w:rsidP="008645D5">
      <w:pPr>
        <w:tabs>
          <w:tab w:val="left" w:pos="312"/>
        </w:tabs>
        <w:autoSpaceDE w:val="0"/>
        <w:autoSpaceDN w:val="0"/>
        <w:adjustRightInd w:val="0"/>
        <w:snapToGrid w:val="0"/>
        <w:spacing w:line="560" w:lineRule="exact"/>
        <w:ind w:left="600"/>
        <w:rPr>
          <w:rFonts w:ascii="仿宋_GB2312" w:eastAsia="仿宋_GB2312"/>
          <w:color w:val="000000"/>
          <w:sz w:val="30"/>
          <w:szCs w:val="30"/>
        </w:rPr>
      </w:pPr>
      <w:r>
        <w:rPr>
          <w:rFonts w:ascii="仿宋_GB2312" w:eastAsia="仿宋_GB2312" w:hint="eastAsia"/>
          <w:color w:val="000000"/>
          <w:sz w:val="30"/>
          <w:szCs w:val="30"/>
        </w:rPr>
        <w:t>1</w:t>
      </w:r>
      <w:r>
        <w:rPr>
          <w:rFonts w:ascii="仿宋_GB2312" w:eastAsia="仿宋_GB2312"/>
          <w:color w:val="000000"/>
          <w:sz w:val="30"/>
          <w:szCs w:val="30"/>
        </w:rPr>
        <w:t>.</w:t>
      </w:r>
      <w:r w:rsidR="000D4C28">
        <w:rPr>
          <w:rFonts w:ascii="仿宋_GB2312" w:eastAsia="仿宋_GB2312" w:hint="eastAsia"/>
          <w:color w:val="000000"/>
          <w:sz w:val="30"/>
          <w:szCs w:val="30"/>
        </w:rPr>
        <w:t>日常关联交易的协议书或意向书（如有）</w:t>
      </w:r>
    </w:p>
    <w:p w:rsidR="00996711" w:rsidRDefault="008645D5" w:rsidP="008645D5">
      <w:pPr>
        <w:tabs>
          <w:tab w:val="left" w:pos="312"/>
        </w:tabs>
        <w:autoSpaceDE w:val="0"/>
        <w:autoSpaceDN w:val="0"/>
        <w:adjustRightInd w:val="0"/>
        <w:snapToGrid w:val="0"/>
        <w:spacing w:line="560" w:lineRule="exact"/>
        <w:ind w:left="600"/>
        <w:rPr>
          <w:rFonts w:ascii="仿宋_GB2312" w:eastAsia="仿宋_GB2312"/>
          <w:color w:val="000000"/>
          <w:sz w:val="30"/>
          <w:szCs w:val="30"/>
        </w:rPr>
      </w:pPr>
      <w:r>
        <w:rPr>
          <w:rFonts w:ascii="仿宋_GB2312" w:eastAsia="仿宋_GB2312"/>
          <w:color w:val="000000"/>
          <w:sz w:val="30"/>
          <w:szCs w:val="30"/>
        </w:rPr>
        <w:t>2.</w:t>
      </w:r>
      <w:bookmarkStart w:id="3" w:name="_GoBack"/>
      <w:bookmarkEnd w:id="3"/>
      <w:r w:rsidR="000D4C28">
        <w:rPr>
          <w:rFonts w:ascii="仿宋_GB2312" w:eastAsia="仿宋_GB2312" w:hint="eastAsia"/>
          <w:color w:val="000000"/>
          <w:sz w:val="30"/>
          <w:szCs w:val="30"/>
        </w:rPr>
        <w:t>全体独立董事过半数同意的证明文件</w:t>
      </w:r>
    </w:p>
    <w:p w:rsidR="00996711" w:rsidRDefault="00996711">
      <w:pPr>
        <w:autoSpaceDE w:val="0"/>
        <w:autoSpaceDN w:val="0"/>
        <w:adjustRightInd w:val="0"/>
        <w:snapToGrid w:val="0"/>
        <w:spacing w:line="560" w:lineRule="exact"/>
        <w:ind w:firstLineChars="200" w:firstLine="600"/>
        <w:rPr>
          <w:rFonts w:ascii="仿宋_GB2312" w:eastAsia="仿宋_GB2312"/>
          <w:color w:val="000000"/>
          <w:sz w:val="30"/>
          <w:szCs w:val="30"/>
        </w:rPr>
      </w:pPr>
    </w:p>
    <w:sectPr w:rsidR="00996711">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C28" w:rsidRDefault="000D4C28">
      <w:r>
        <w:separator/>
      </w:r>
    </w:p>
  </w:endnote>
  <w:endnote w:type="continuationSeparator" w:id="0">
    <w:p w:rsidR="000D4C28" w:rsidRDefault="000D4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楷体_GB2312-WinCharSetFFFF-H">
    <w:altName w:val="方正楷体_GBK"/>
    <w:charset w:val="86"/>
    <w:family w:val="auto"/>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WinCharSetFFFF-H">
    <w:altName w:val="方正书宋_GBK"/>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5705873"/>
      <w:docPartObj>
        <w:docPartGallery w:val="AutoText"/>
      </w:docPartObj>
    </w:sdtPr>
    <w:sdtEndPr/>
    <w:sdtContent>
      <w:p w:rsidR="00996711" w:rsidRDefault="000D4C28">
        <w:pPr>
          <w:pStyle w:val="a8"/>
          <w:jc w:val="center"/>
        </w:pPr>
        <w:r>
          <w:fldChar w:fldCharType="begin"/>
        </w:r>
        <w:r>
          <w:instrText>PAGE   \* MERGEFORMAT</w:instrText>
        </w:r>
        <w:r>
          <w:fldChar w:fldCharType="separate"/>
        </w:r>
        <w:r w:rsidR="008645D5" w:rsidRPr="008645D5">
          <w:rPr>
            <w:noProof/>
            <w:lang w:val="zh-CN"/>
          </w:rPr>
          <w:t>11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C28" w:rsidRDefault="000D4C28">
      <w:r>
        <w:separator/>
      </w:r>
    </w:p>
  </w:footnote>
  <w:footnote w:type="continuationSeparator" w:id="0">
    <w:p w:rsidR="000D4C28" w:rsidRDefault="000D4C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711" w:rsidRDefault="00996711">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37E5C14"/>
    <w:multiLevelType w:val="singleLevel"/>
    <w:tmpl w:val="F37E5C14"/>
    <w:lvl w:ilvl="0">
      <w:start w:val="1"/>
      <w:numFmt w:val="decimal"/>
      <w:lvlText w:val="%1."/>
      <w:lvlJc w:val="left"/>
      <w:pPr>
        <w:tabs>
          <w:tab w:val="left" w:pos="312"/>
        </w:tabs>
      </w:pPr>
    </w:lvl>
  </w:abstractNum>
  <w:abstractNum w:abstractNumId="1" w15:restartNumberingAfterBreak="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2" w15:restartNumberingAfterBreak="0">
    <w:nsid w:val="5E7B1010"/>
    <w:multiLevelType w:val="multilevel"/>
    <w:tmpl w:val="5E7B1010"/>
    <w:lvl w:ilvl="0">
      <w:start w:val="1"/>
      <w:numFmt w:val="chineseCountingThousand"/>
      <w:pStyle w:val="2"/>
      <w:lvlText w:val="%1、"/>
      <w:lvlJc w:val="left"/>
      <w:pPr>
        <w:ind w:left="0" w:firstLine="0"/>
      </w:pPr>
      <w:rPr>
        <w:rFonts w:ascii="黑体" w:eastAsia="黑体" w:hAnsi="黑体" w:hint="eastAsia"/>
        <w:b w:val="0"/>
        <w:i w:val="0"/>
        <w:sz w:val="26"/>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 w15:restartNumberingAfterBreak="0">
    <w:nsid w:val="600E7EA7"/>
    <w:multiLevelType w:val="singleLevel"/>
    <w:tmpl w:val="600E7EA7"/>
    <w:lvl w:ilvl="0">
      <w:start w:val="1"/>
      <w:numFmt w:val="decimal"/>
      <w:suff w:val="nothing"/>
      <w:lvlText w:val="%1."/>
      <w:lvlJc w:val="left"/>
    </w:lvl>
  </w:abstractNum>
  <w:abstractNum w:abstractNumId="4" w15:restartNumberingAfterBreak="0">
    <w:nsid w:val="74646B16"/>
    <w:multiLevelType w:val="multilevel"/>
    <w:tmpl w:val="74646B16"/>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8F3926"/>
    <w:rsid w:val="C7BF92EC"/>
    <w:rsid w:val="FFFBA312"/>
    <w:rsid w:val="00012D71"/>
    <w:rsid w:val="00027916"/>
    <w:rsid w:val="000419B3"/>
    <w:rsid w:val="000658A5"/>
    <w:rsid w:val="000C4F64"/>
    <w:rsid w:val="000D4C28"/>
    <w:rsid w:val="000E2552"/>
    <w:rsid w:val="000F1D9E"/>
    <w:rsid w:val="00106FAF"/>
    <w:rsid w:val="00117F70"/>
    <w:rsid w:val="00180F67"/>
    <w:rsid w:val="00194E1A"/>
    <w:rsid w:val="001B0DC0"/>
    <w:rsid w:val="001B4A0C"/>
    <w:rsid w:val="001F23F7"/>
    <w:rsid w:val="00204EB5"/>
    <w:rsid w:val="0021152F"/>
    <w:rsid w:val="002575E2"/>
    <w:rsid w:val="00291DAC"/>
    <w:rsid w:val="002A73A0"/>
    <w:rsid w:val="002C33B4"/>
    <w:rsid w:val="00332298"/>
    <w:rsid w:val="00373337"/>
    <w:rsid w:val="003B6568"/>
    <w:rsid w:val="003C27A4"/>
    <w:rsid w:val="003F1E12"/>
    <w:rsid w:val="004C2A01"/>
    <w:rsid w:val="00513875"/>
    <w:rsid w:val="00531E83"/>
    <w:rsid w:val="0057595C"/>
    <w:rsid w:val="00581039"/>
    <w:rsid w:val="005A1855"/>
    <w:rsid w:val="005B1C53"/>
    <w:rsid w:val="00607582"/>
    <w:rsid w:val="00663F42"/>
    <w:rsid w:val="00675250"/>
    <w:rsid w:val="0068768C"/>
    <w:rsid w:val="00693982"/>
    <w:rsid w:val="006E65E7"/>
    <w:rsid w:val="006F0395"/>
    <w:rsid w:val="0071256F"/>
    <w:rsid w:val="00731207"/>
    <w:rsid w:val="00746684"/>
    <w:rsid w:val="007507C7"/>
    <w:rsid w:val="00755F5D"/>
    <w:rsid w:val="007871FC"/>
    <w:rsid w:val="007876B2"/>
    <w:rsid w:val="007C2AD0"/>
    <w:rsid w:val="007C6076"/>
    <w:rsid w:val="007E3ACA"/>
    <w:rsid w:val="008645D5"/>
    <w:rsid w:val="00930199"/>
    <w:rsid w:val="0094112E"/>
    <w:rsid w:val="0095542A"/>
    <w:rsid w:val="00996711"/>
    <w:rsid w:val="00996DEB"/>
    <w:rsid w:val="009A6C34"/>
    <w:rsid w:val="009A722A"/>
    <w:rsid w:val="009D5588"/>
    <w:rsid w:val="009E68A7"/>
    <w:rsid w:val="00A06694"/>
    <w:rsid w:val="00A325D0"/>
    <w:rsid w:val="00A65B04"/>
    <w:rsid w:val="00A91AFB"/>
    <w:rsid w:val="00AA2401"/>
    <w:rsid w:val="00AA5109"/>
    <w:rsid w:val="00AB0E00"/>
    <w:rsid w:val="00AC4C11"/>
    <w:rsid w:val="00AE0FAC"/>
    <w:rsid w:val="00AF08A5"/>
    <w:rsid w:val="00AF34A1"/>
    <w:rsid w:val="00AF68EE"/>
    <w:rsid w:val="00B72E22"/>
    <w:rsid w:val="00B76553"/>
    <w:rsid w:val="00B93A60"/>
    <w:rsid w:val="00B96DD1"/>
    <w:rsid w:val="00B97C3F"/>
    <w:rsid w:val="00BC0083"/>
    <w:rsid w:val="00BC75D9"/>
    <w:rsid w:val="00C00891"/>
    <w:rsid w:val="00C421FA"/>
    <w:rsid w:val="00C80A7A"/>
    <w:rsid w:val="00C87ED4"/>
    <w:rsid w:val="00C94CD1"/>
    <w:rsid w:val="00CB1184"/>
    <w:rsid w:val="00CD35CB"/>
    <w:rsid w:val="00CE1EB2"/>
    <w:rsid w:val="00CF50C7"/>
    <w:rsid w:val="00CF75D9"/>
    <w:rsid w:val="00CF7852"/>
    <w:rsid w:val="00D22593"/>
    <w:rsid w:val="00D47301"/>
    <w:rsid w:val="00D66278"/>
    <w:rsid w:val="00D94611"/>
    <w:rsid w:val="00DC2B37"/>
    <w:rsid w:val="00E14405"/>
    <w:rsid w:val="00E61F04"/>
    <w:rsid w:val="00E86056"/>
    <w:rsid w:val="00E93298"/>
    <w:rsid w:val="00E96077"/>
    <w:rsid w:val="00EC3B72"/>
    <w:rsid w:val="00EC556E"/>
    <w:rsid w:val="00EF013E"/>
    <w:rsid w:val="00EF3D64"/>
    <w:rsid w:val="00F04994"/>
    <w:rsid w:val="00F1076B"/>
    <w:rsid w:val="00F14AE7"/>
    <w:rsid w:val="00F16CD0"/>
    <w:rsid w:val="00F23D31"/>
    <w:rsid w:val="00F813BE"/>
    <w:rsid w:val="238F3926"/>
    <w:rsid w:val="3FAB8083"/>
    <w:rsid w:val="79FF6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0A1AA8"/>
  <w15:docId w15:val="{7476CC17-5244-461B-B54E-170FB9A10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0"/>
    <w:next w:val="a"/>
    <w:unhideWhenUsed/>
    <w:qFormat/>
    <w:pPr>
      <w:keepNext/>
      <w:keepLines/>
      <w:numPr>
        <w:numId w:val="1"/>
      </w:numPr>
      <w:spacing w:before="240" w:after="240" w:line="360" w:lineRule="auto"/>
      <w:ind w:firstLineChars="200" w:firstLine="721"/>
      <w:outlineLvl w:val="1"/>
    </w:pPr>
    <w:rPr>
      <w:rFonts w:asciiTheme="majorHAnsi" w:eastAsia="黑体" w:hAnsiTheme="majorHAnsi" w:cstheme="majorBidi"/>
      <w:bCs/>
      <w:sz w:val="26"/>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ind w:leftChars="700" w:left="1440" w:rightChars="700" w:right="700"/>
    </w:pPr>
  </w:style>
  <w:style w:type="paragraph" w:styleId="a4">
    <w:name w:val="annotation text"/>
    <w:basedOn w:val="a"/>
    <w:link w:val="a5"/>
    <w:semiHidden/>
    <w:unhideWhenUsed/>
    <w:qFormat/>
    <w:pPr>
      <w:jc w:val="left"/>
    </w:pPr>
  </w:style>
  <w:style w:type="paragraph" w:styleId="a6">
    <w:name w:val="Balloon Text"/>
    <w:basedOn w:val="a"/>
    <w:link w:val="a7"/>
    <w:qFormat/>
    <w:rPr>
      <w:sz w:val="18"/>
      <w:szCs w:val="18"/>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4"/>
    <w:next w:val="a4"/>
    <w:link w:val="ad"/>
    <w:semiHidden/>
    <w:unhideWhenUsed/>
    <w:qFormat/>
    <w:rPr>
      <w:b/>
      <w:bCs/>
    </w:rPr>
  </w:style>
  <w:style w:type="character" w:styleId="ae">
    <w:name w:val="annotation reference"/>
    <w:basedOn w:val="a1"/>
    <w:semiHidden/>
    <w:unhideWhenUsed/>
    <w:qFormat/>
    <w:rPr>
      <w:sz w:val="21"/>
      <w:szCs w:val="21"/>
    </w:rPr>
  </w:style>
  <w:style w:type="character" w:customStyle="1" w:styleId="ab">
    <w:name w:val="页眉 字符"/>
    <w:basedOn w:val="a1"/>
    <w:link w:val="aa"/>
    <w:qFormat/>
    <w:rPr>
      <w:kern w:val="2"/>
      <w:sz w:val="18"/>
      <w:szCs w:val="18"/>
    </w:rPr>
  </w:style>
  <w:style w:type="character" w:customStyle="1" w:styleId="a9">
    <w:name w:val="页脚 字符"/>
    <w:basedOn w:val="a1"/>
    <w:link w:val="a8"/>
    <w:uiPriority w:val="99"/>
    <w:qFormat/>
    <w:rPr>
      <w:kern w:val="2"/>
      <w:sz w:val="18"/>
      <w:szCs w:val="18"/>
    </w:rPr>
  </w:style>
  <w:style w:type="paragraph" w:customStyle="1" w:styleId="10">
    <w:name w:val="列出段落1"/>
    <w:basedOn w:val="a"/>
    <w:uiPriority w:val="34"/>
    <w:qFormat/>
    <w:pPr>
      <w:ind w:firstLineChars="200" w:firstLine="420"/>
    </w:pPr>
    <w:rPr>
      <w:rFonts w:ascii="Calibri" w:eastAsia="宋体" w:hAnsi="Calibri" w:cs="Times New Roman"/>
    </w:rPr>
  </w:style>
  <w:style w:type="character" w:customStyle="1" w:styleId="a7">
    <w:name w:val="批注框文本 字符"/>
    <w:basedOn w:val="a1"/>
    <w:link w:val="a6"/>
    <w:qFormat/>
    <w:rPr>
      <w:kern w:val="2"/>
      <w:sz w:val="18"/>
      <w:szCs w:val="18"/>
    </w:rPr>
  </w:style>
  <w:style w:type="paragraph" w:customStyle="1" w:styleId="11">
    <w:name w:val="修订1"/>
    <w:hidden/>
    <w:uiPriority w:val="99"/>
    <w:semiHidden/>
    <w:qFormat/>
    <w:rPr>
      <w:kern w:val="2"/>
      <w:sz w:val="21"/>
      <w:szCs w:val="22"/>
    </w:rPr>
  </w:style>
  <w:style w:type="character" w:customStyle="1" w:styleId="a5">
    <w:name w:val="批注文字 字符"/>
    <w:basedOn w:val="a1"/>
    <w:link w:val="a4"/>
    <w:semiHidden/>
    <w:qFormat/>
    <w:rPr>
      <w:kern w:val="2"/>
      <w:sz w:val="21"/>
      <w:szCs w:val="22"/>
    </w:rPr>
  </w:style>
  <w:style w:type="character" w:customStyle="1" w:styleId="ad">
    <w:name w:val="批注主题 字符"/>
    <w:basedOn w:val="a5"/>
    <w:link w:val="ac"/>
    <w:semiHidden/>
    <w:qFormat/>
    <w:rPr>
      <w:b/>
      <w:bCs/>
      <w:kern w:val="2"/>
      <w:sz w:val="21"/>
      <w:szCs w:val="22"/>
    </w:rPr>
  </w:style>
  <w:style w:type="paragraph" w:styleId="af">
    <w:name w:val="List Paragraph"/>
    <w:basedOn w:val="a"/>
    <w:uiPriority w:val="34"/>
    <w:qFormat/>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520</Words>
  <Characters>2965</Characters>
  <Application>Microsoft Office Word</Application>
  <DocSecurity>0</DocSecurity>
  <Lines>24</Lines>
  <Paragraphs>6</Paragraphs>
  <ScaleCrop>false</ScaleCrop>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2023-06-27T22:22:00Z</dcterms:created>
  <dcterms:modified xsi:type="dcterms:W3CDTF">2023-08-01T12:14:00Z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