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6586B" w14:textId="77777777" w:rsidR="002F4290" w:rsidRDefault="00000000">
      <w:pPr>
        <w:pStyle w:val="Style3"/>
        <w:spacing w:line="540" w:lineRule="exact"/>
        <w:ind w:firstLineChars="0" w:firstLine="0"/>
        <w:jc w:val="left"/>
        <w:rPr>
          <w:rFonts w:eastAsia="仿宋_GB2312" w:cs="黑体"/>
          <w:bCs/>
          <w:sz w:val="30"/>
          <w:szCs w:val="30"/>
        </w:rPr>
      </w:pPr>
      <w:r>
        <w:rPr>
          <w:rFonts w:eastAsia="仿宋_GB2312" w:cs="黑体" w:hint="eastAsia"/>
          <w:bCs/>
          <w:sz w:val="30"/>
          <w:szCs w:val="30"/>
        </w:rPr>
        <w:t>附件</w:t>
      </w:r>
      <w:r>
        <w:rPr>
          <w:rFonts w:eastAsia="仿宋_GB2312" w:cs="黑体" w:hint="eastAsia"/>
          <w:bCs/>
          <w:sz w:val="30"/>
          <w:szCs w:val="30"/>
        </w:rPr>
        <w:t>2</w:t>
      </w:r>
    </w:p>
    <w:p w14:paraId="258AF4A3" w14:textId="77777777" w:rsidR="002F4290" w:rsidRDefault="002F4290">
      <w:pPr>
        <w:pStyle w:val="ab"/>
        <w:widowControl/>
        <w:numPr>
          <w:ilvl w:val="255"/>
          <w:numId w:val="0"/>
        </w:numPr>
        <w:spacing w:line="600" w:lineRule="exact"/>
        <w:rPr>
          <w:rFonts w:ascii="仿宋_GB2312" w:eastAsia="黑体" w:hAnsi="仿宋_GB2312" w:cs="Times New Roman"/>
          <w:spacing w:val="-4"/>
          <w:sz w:val="44"/>
          <w:szCs w:val="44"/>
        </w:rPr>
      </w:pPr>
    </w:p>
    <w:p w14:paraId="5ED7DD0A" w14:textId="77777777" w:rsidR="002F4290" w:rsidRDefault="00000000">
      <w:pPr>
        <w:pStyle w:val="ab"/>
        <w:widowControl/>
        <w:numPr>
          <w:ilvl w:val="255"/>
          <w:numId w:val="0"/>
        </w:numPr>
        <w:spacing w:line="600" w:lineRule="exact"/>
        <w:jc w:val="center"/>
        <w:rPr>
          <w:rFonts w:ascii="仿宋_GB2312" w:eastAsia="黑体" w:hAnsi="仿宋_GB2312" w:cs="Times New Roman"/>
          <w:b/>
          <w:bCs/>
          <w:spacing w:val="-4"/>
          <w:sz w:val="44"/>
          <w:szCs w:val="44"/>
        </w:rPr>
      </w:pPr>
      <w:r>
        <w:rPr>
          <w:rFonts w:ascii="仿宋_GB2312" w:eastAsia="黑体" w:hAnsi="仿宋_GB2312" w:cs="Times New Roman"/>
          <w:b/>
          <w:bCs/>
          <w:spacing w:val="-4"/>
          <w:sz w:val="44"/>
          <w:szCs w:val="44"/>
        </w:rPr>
        <w:t>《上海证券交易所股票上市规则</w:t>
      </w:r>
    </w:p>
    <w:p w14:paraId="1A47C1F2" w14:textId="77777777" w:rsidR="002F4290" w:rsidRDefault="00000000">
      <w:pPr>
        <w:pStyle w:val="ab"/>
        <w:widowControl/>
        <w:numPr>
          <w:ilvl w:val="255"/>
          <w:numId w:val="0"/>
        </w:numPr>
        <w:spacing w:line="600" w:lineRule="exact"/>
        <w:jc w:val="center"/>
        <w:rPr>
          <w:rFonts w:ascii="仿宋_GB2312" w:eastAsia="黑体" w:hAnsi="仿宋_GB2312" w:cs="Times New Roman"/>
          <w:b/>
          <w:bCs/>
          <w:spacing w:val="-4"/>
          <w:sz w:val="44"/>
          <w:szCs w:val="44"/>
        </w:rPr>
      </w:pPr>
      <w:r>
        <w:rPr>
          <w:rFonts w:ascii="黑体" w:eastAsia="黑体" w:hAnsi="黑体" w:hint="eastAsia"/>
          <w:b/>
          <w:sz w:val="44"/>
          <w:szCs w:val="44"/>
        </w:rPr>
        <w:t>（</w:t>
      </w:r>
      <w:r>
        <w:rPr>
          <w:rFonts w:ascii="Times New Roman" w:eastAsia="黑体" w:hAnsi="Times New Roman" w:cs="Times New Roman"/>
          <w:b/>
          <w:sz w:val="44"/>
          <w:szCs w:val="44"/>
        </w:rPr>
        <w:t>2024</w:t>
      </w:r>
      <w:r>
        <w:rPr>
          <w:rFonts w:ascii="Times New Roman" w:eastAsia="黑体" w:hAnsi="Times New Roman" w:cs="Times New Roman"/>
          <w:b/>
          <w:sz w:val="44"/>
          <w:szCs w:val="44"/>
        </w:rPr>
        <w:t>年</w:t>
      </w:r>
      <w:r>
        <w:rPr>
          <w:rFonts w:ascii="Times New Roman" w:eastAsia="黑体" w:hAnsi="Times New Roman" w:cs="Times New Roman"/>
          <w:b/>
          <w:sz w:val="44"/>
          <w:szCs w:val="44"/>
        </w:rPr>
        <w:t>4</w:t>
      </w:r>
      <w:r>
        <w:rPr>
          <w:rFonts w:ascii="Times New Roman" w:eastAsia="黑体" w:hAnsi="Times New Roman" w:cs="Times New Roman"/>
          <w:b/>
          <w:sz w:val="44"/>
          <w:szCs w:val="44"/>
        </w:rPr>
        <w:t>月修订</w:t>
      </w:r>
      <w:r>
        <w:rPr>
          <w:rFonts w:ascii="黑体" w:eastAsia="黑体" w:hAnsi="黑体" w:hint="eastAsia"/>
          <w:b/>
          <w:sz w:val="44"/>
          <w:szCs w:val="44"/>
        </w:rPr>
        <w:t>）</w:t>
      </w:r>
      <w:r>
        <w:rPr>
          <w:rFonts w:ascii="仿宋_GB2312" w:eastAsia="黑体" w:hAnsi="仿宋_GB2312" w:cs="Times New Roman"/>
          <w:b/>
          <w:bCs/>
          <w:spacing w:val="-4"/>
          <w:sz w:val="44"/>
          <w:szCs w:val="44"/>
        </w:rPr>
        <w:t>》起草说明</w:t>
      </w:r>
    </w:p>
    <w:p w14:paraId="4DE81750" w14:textId="77777777" w:rsidR="002F4290" w:rsidRDefault="002F4290">
      <w:pPr>
        <w:snapToGrid w:val="0"/>
        <w:spacing w:line="560" w:lineRule="exact"/>
        <w:ind w:firstLineChars="200" w:firstLine="640"/>
        <w:outlineLvl w:val="0"/>
        <w:rPr>
          <w:rFonts w:ascii="仿宋_GB2312" w:eastAsia="仿宋" w:hAnsi="仿宋_GB2312" w:cs="宋体"/>
          <w:kern w:val="0"/>
          <w:sz w:val="32"/>
          <w:szCs w:val="30"/>
        </w:rPr>
      </w:pPr>
    </w:p>
    <w:p w14:paraId="5BD32CF4" w14:textId="5224C7CA" w:rsidR="002F4290" w:rsidRDefault="00000000">
      <w:pPr>
        <w:spacing w:line="600" w:lineRule="exact"/>
        <w:ind w:firstLineChars="200" w:firstLine="640"/>
        <w:rPr>
          <w:rFonts w:ascii="仿宋_GB2312" w:eastAsia="黑体" w:hAnsi="仿宋_GB2312"/>
          <w:sz w:val="32"/>
          <w:szCs w:val="32"/>
        </w:rPr>
      </w:pPr>
      <w:r>
        <w:rPr>
          <w:rFonts w:ascii="仿宋_GB2312" w:eastAsia="仿宋_GB2312" w:hAnsi="仿宋_GB2312" w:cs="仿宋_GB2312" w:hint="eastAsia"/>
          <w:kern w:val="0"/>
          <w:sz w:val="32"/>
          <w:szCs w:val="32"/>
        </w:rPr>
        <w:t>为了深入贯彻落实中央金融工作会议精神和《国务院关于加强监管防范风险推动资本市场高质量发展的若干意见》，</w:t>
      </w:r>
      <w:r w:rsidR="009C51B4">
        <w:rPr>
          <w:rFonts w:ascii="Times New Roman" w:eastAsia="仿宋_GB2312" w:hAnsi="Times New Roman" w:cs="仿宋_GB2312" w:hint="eastAsia"/>
          <w:kern w:val="0"/>
          <w:sz w:val="32"/>
          <w:szCs w:val="32"/>
        </w:rPr>
        <w:t>进一步推动提高上市公司质量和投资价值</w:t>
      </w:r>
      <w:r>
        <w:rPr>
          <w:rFonts w:ascii="仿宋_GB2312" w:eastAsia="仿宋_GB2312" w:hAnsi="仿宋_GB2312" w:cs="仿宋_GB2312" w:hint="eastAsia"/>
          <w:kern w:val="0"/>
          <w:sz w:val="32"/>
          <w:szCs w:val="32"/>
        </w:rPr>
        <w:t>，保护投资者合法权益，根据中国证监会《关于严把发行上市准入关从源头上提高上市公司质量的意见（试行）》《关于加强上市公司监管的意见（试行）》《关于严格执行退市制度的意见》（以下统称相关《意见》）的要求，本所对《上海证券交易所股票上市规则》（以下简称《股票上市规则》）进行了修订。现将有关情况说明如下：</w:t>
      </w:r>
    </w:p>
    <w:p w14:paraId="4F708520" w14:textId="77777777" w:rsidR="002F4290" w:rsidRDefault="00000000">
      <w:pPr>
        <w:spacing w:line="600" w:lineRule="exact"/>
        <w:ind w:firstLineChars="200" w:firstLine="640"/>
        <w:rPr>
          <w:rFonts w:ascii="仿宋_GB2312" w:eastAsia="黑体" w:hAnsi="仿宋_GB2312"/>
          <w:sz w:val="32"/>
          <w:szCs w:val="32"/>
        </w:rPr>
      </w:pPr>
      <w:r>
        <w:rPr>
          <w:rFonts w:ascii="仿宋_GB2312" w:eastAsia="黑体" w:hAnsi="仿宋_GB2312" w:hint="eastAsia"/>
          <w:sz w:val="32"/>
          <w:szCs w:val="32"/>
        </w:rPr>
        <w:t>一</w:t>
      </w:r>
      <w:r>
        <w:rPr>
          <w:rFonts w:ascii="仿宋_GB2312" w:eastAsia="黑体" w:hAnsi="仿宋_GB2312"/>
          <w:sz w:val="32"/>
          <w:szCs w:val="32"/>
        </w:rPr>
        <w:t>、</w:t>
      </w:r>
      <w:r>
        <w:rPr>
          <w:rFonts w:ascii="仿宋_GB2312" w:eastAsia="黑体" w:hAnsi="仿宋_GB2312" w:hint="eastAsia"/>
          <w:sz w:val="32"/>
          <w:szCs w:val="32"/>
        </w:rPr>
        <w:t>修订</w:t>
      </w:r>
      <w:r>
        <w:rPr>
          <w:rFonts w:ascii="仿宋_GB2312" w:eastAsia="黑体" w:hAnsi="仿宋_GB2312"/>
          <w:sz w:val="32"/>
          <w:szCs w:val="32"/>
        </w:rPr>
        <w:t>背景</w:t>
      </w:r>
    </w:p>
    <w:p w14:paraId="2AAFF976" w14:textId="3155BEF0"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本所认真贯彻落实党中央、</w:t>
      </w:r>
      <w:r>
        <w:rPr>
          <w:rFonts w:ascii="仿宋_GB2312" w:eastAsia="仿宋_GB2312" w:hAnsi="仿宋_GB2312"/>
          <w:sz w:val="32"/>
          <w:szCs w:val="32"/>
        </w:rPr>
        <w:t>国务院</w:t>
      </w:r>
      <w:r>
        <w:rPr>
          <w:rFonts w:ascii="仿宋_GB2312" w:eastAsia="仿宋_GB2312" w:hAnsi="仿宋_GB2312" w:hint="eastAsia"/>
          <w:sz w:val="32"/>
          <w:szCs w:val="32"/>
        </w:rPr>
        <w:t>关于全面实行股票发行注册制、提高上市公司质量、健全</w:t>
      </w:r>
      <w:r>
        <w:rPr>
          <w:rFonts w:ascii="仿宋_GB2312" w:eastAsia="仿宋_GB2312" w:hAnsi="仿宋_GB2312"/>
          <w:sz w:val="32"/>
          <w:szCs w:val="32"/>
        </w:rPr>
        <w:t>上市公司退市机制</w:t>
      </w:r>
      <w:r>
        <w:rPr>
          <w:rFonts w:ascii="仿宋_GB2312" w:eastAsia="仿宋_GB2312" w:hAnsi="仿宋_GB2312" w:hint="eastAsia"/>
          <w:sz w:val="32"/>
          <w:szCs w:val="32"/>
        </w:rPr>
        <w:t>等重大</w:t>
      </w:r>
      <w:r>
        <w:rPr>
          <w:rFonts w:ascii="仿宋_GB2312" w:eastAsia="仿宋_GB2312" w:hAnsi="仿宋_GB2312"/>
          <w:sz w:val="32"/>
          <w:szCs w:val="32"/>
        </w:rPr>
        <w:t>决策部署</w:t>
      </w:r>
      <w:r>
        <w:rPr>
          <w:rFonts w:ascii="仿宋_GB2312" w:eastAsia="仿宋_GB2312" w:hAnsi="仿宋_GB2312" w:hint="eastAsia"/>
          <w:sz w:val="32"/>
          <w:szCs w:val="32"/>
        </w:rPr>
        <w:t>，深入落实中国证监会近期发布的强监管防风险推动资本市场高质量发展有关政策文件，推动提高上市公司质量，坚持目标导向、问题导向，牢牢把握强监管、防风险、促高质量发展的主线，落实监管要“长牙带刺”、有棱有角的要求，突出 “强本强基”和“严监严管”。</w:t>
      </w:r>
    </w:p>
    <w:p w14:paraId="3C01FFBB"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发行上市准入关是提高上市公司质量的源头，目前主板</w:t>
      </w:r>
      <w:r>
        <w:rPr>
          <w:rFonts w:ascii="仿宋_GB2312" w:eastAsia="仿宋_GB2312" w:hAnsi="仿宋_GB2312" w:hint="eastAsia"/>
          <w:sz w:val="32"/>
          <w:szCs w:val="32"/>
        </w:rPr>
        <w:lastRenderedPageBreak/>
        <w:t>已经形成了多套多元的上市指标。全面实行注册制以来，监管环境和市场环境发生了深刻变化。相关</w:t>
      </w:r>
      <w:r>
        <w:rPr>
          <w:rFonts w:ascii="仿宋_GB2312" w:eastAsia="仿宋_GB2312" w:hAnsi="仿宋_GB2312"/>
          <w:sz w:val="32"/>
          <w:szCs w:val="32"/>
        </w:rPr>
        <w:t>《</w:t>
      </w:r>
      <w:r>
        <w:rPr>
          <w:rFonts w:ascii="仿宋_GB2312" w:eastAsia="仿宋_GB2312" w:hAnsi="仿宋_GB2312" w:hint="eastAsia"/>
          <w:sz w:val="32"/>
          <w:szCs w:val="32"/>
        </w:rPr>
        <w:t>意见</w:t>
      </w:r>
      <w:r>
        <w:rPr>
          <w:rFonts w:ascii="仿宋_GB2312" w:eastAsia="仿宋_GB2312" w:hAnsi="仿宋_GB2312"/>
          <w:sz w:val="32"/>
          <w:szCs w:val="32"/>
        </w:rPr>
        <w:t>》</w:t>
      </w:r>
      <w:r>
        <w:rPr>
          <w:rFonts w:ascii="仿宋_GB2312" w:eastAsia="仿宋_GB2312" w:hAnsi="仿宋_GB2312" w:hint="eastAsia"/>
          <w:sz w:val="32"/>
          <w:szCs w:val="32"/>
        </w:rPr>
        <w:t>明确提出，以提高上市公司质量为导向，研究提高上市财务指标，优化板块定位规则，为市场提供更加优质多元的投资标的，有必要根据实践情况及时评估完善有关制度安排。</w:t>
      </w:r>
    </w:p>
    <w:p w14:paraId="33BC76EF"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目前，上市公司结构持续优化，创新能力不断增强，回报能力稳步提升，总体面貌明显改善。相关《意见》明确提出，要进一步加强对财务造假、大股东利益侵占、违规减持等违法行为的监管，增强分红的稳定性、及时性和可预期性，督促上市公司提高自身投资价值。</w:t>
      </w:r>
    </w:p>
    <w:p w14:paraId="602B8C09"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退市制度是资本市场的基础性制度，经过2020年的改革，已经清退了一批“空壳僵尸”和“害群之马”，目前常态化退市格局基本形成，各方对持续加大退市力度期待较高。相关《意见》明确提出，要进一步深化改革，实现进退有序、及时出清的格局，更大力度保护中小投资者合法权益。</w:t>
      </w:r>
    </w:p>
    <w:p w14:paraId="01A80D9D" w14:textId="77777777" w:rsidR="002F4290" w:rsidRDefault="00000000">
      <w:pPr>
        <w:tabs>
          <w:tab w:val="left" w:pos="2730"/>
        </w:tabs>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综上，为及时落实</w:t>
      </w:r>
      <w:r>
        <w:rPr>
          <w:rFonts w:ascii="仿宋_GB2312" w:eastAsia="仿宋_GB2312" w:hAnsi="仿宋_GB2312"/>
          <w:sz w:val="32"/>
          <w:szCs w:val="32"/>
        </w:rPr>
        <w:t>相关</w:t>
      </w:r>
      <w:r>
        <w:rPr>
          <w:rFonts w:ascii="仿宋_GB2312" w:eastAsia="仿宋_GB2312" w:hAnsi="仿宋_GB2312" w:hint="eastAsia"/>
          <w:sz w:val="32"/>
          <w:szCs w:val="32"/>
        </w:rPr>
        <w:t>《意见》要求，本所经认真研究，对《股票上市规则》的相关条款进行了修订。</w:t>
      </w:r>
    </w:p>
    <w:p w14:paraId="271EF96F" w14:textId="77777777" w:rsidR="002F4290" w:rsidRDefault="00000000">
      <w:pPr>
        <w:overflowPunct w:val="0"/>
        <w:snapToGrid w:val="0"/>
        <w:spacing w:line="600" w:lineRule="exact"/>
        <w:ind w:firstLineChars="200" w:firstLine="640"/>
        <w:outlineLvl w:val="0"/>
        <w:rPr>
          <w:rFonts w:ascii="仿宋_GB2312" w:eastAsia="黑体" w:hAnsi="仿宋_GB2312" w:cs="黑体"/>
          <w:sz w:val="32"/>
          <w:szCs w:val="32"/>
        </w:rPr>
      </w:pPr>
      <w:r>
        <w:rPr>
          <w:rFonts w:ascii="仿宋_GB2312" w:eastAsia="黑体" w:hAnsi="仿宋_GB2312" w:cs="黑体" w:hint="eastAsia"/>
          <w:sz w:val="32"/>
          <w:szCs w:val="32"/>
        </w:rPr>
        <w:t>二、修订内容</w:t>
      </w:r>
    </w:p>
    <w:p w14:paraId="6A53D00B" w14:textId="77777777"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（一）适度提高主板上市财务指标</w:t>
      </w:r>
    </w:p>
    <w:p w14:paraId="2C612E98"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为进一步突出主板大盘蓝筹定位要求，拟适度提高主板《股票上市规则》关于上市条件的财务指标。</w:t>
      </w:r>
      <w:r>
        <w:rPr>
          <w:rFonts w:ascii="仿宋_GB2312" w:eastAsia="仿宋_GB2312" w:hAnsi="仿宋_GB2312" w:hint="eastAsia"/>
          <w:b/>
          <w:bCs/>
          <w:sz w:val="32"/>
          <w:szCs w:val="32"/>
        </w:rPr>
        <w:t>一是</w:t>
      </w:r>
      <w:r>
        <w:rPr>
          <w:rFonts w:ascii="仿宋_GB2312" w:eastAsia="仿宋_GB2312" w:hAnsi="仿宋_GB2312" w:hint="eastAsia"/>
          <w:sz w:val="32"/>
          <w:szCs w:val="32"/>
        </w:rPr>
        <w:t>，将第一套上市标准中的最近3年累计净利润指标从1.5亿元提升至2亿元，最近一年净利润指标从6,000万元提升至1亿元，</w:t>
      </w:r>
      <w:r>
        <w:rPr>
          <w:rFonts w:ascii="仿宋_GB2312" w:eastAsia="仿宋_GB2312" w:hAnsi="仿宋_GB2312" w:hint="eastAsia"/>
          <w:sz w:val="32"/>
          <w:szCs w:val="32"/>
        </w:rPr>
        <w:lastRenderedPageBreak/>
        <w:t>最近3年累计经营活动产生的现金流量净额指标从1亿元提升至2亿元，最近3年累计营业收入指标从10亿元提升至15亿元；</w:t>
      </w:r>
      <w:r>
        <w:rPr>
          <w:rFonts w:ascii="仿宋_GB2312" w:eastAsia="仿宋_GB2312" w:hAnsi="仿宋_GB2312" w:hint="eastAsia"/>
          <w:b/>
          <w:bCs/>
          <w:sz w:val="32"/>
          <w:szCs w:val="32"/>
        </w:rPr>
        <w:t>二是</w:t>
      </w:r>
      <w:r>
        <w:rPr>
          <w:rFonts w:ascii="仿宋_GB2312" w:eastAsia="仿宋_GB2312" w:hAnsi="仿宋_GB2312" w:hint="eastAsia"/>
          <w:sz w:val="32"/>
          <w:szCs w:val="32"/>
        </w:rPr>
        <w:t>，将第二套上市标准中的最近3年累计经营活动产生的现金流量净额指标从1.5亿元提升至2.5亿元；</w:t>
      </w:r>
      <w:r>
        <w:rPr>
          <w:rFonts w:ascii="仿宋_GB2312" w:eastAsia="仿宋_GB2312" w:hAnsi="仿宋_GB2312" w:hint="eastAsia"/>
          <w:b/>
          <w:bCs/>
          <w:sz w:val="32"/>
          <w:szCs w:val="32"/>
        </w:rPr>
        <w:t>三是</w:t>
      </w:r>
      <w:r>
        <w:rPr>
          <w:rFonts w:ascii="仿宋_GB2312" w:eastAsia="仿宋_GB2312" w:hAnsi="仿宋_GB2312" w:hint="eastAsia"/>
          <w:sz w:val="32"/>
          <w:szCs w:val="32"/>
        </w:rPr>
        <w:t>，将第三套上市标准中的预计市值指标从80亿元提升至100亿元，最近1年营业收入指标从8亿元提升至10亿元。科创板上市条件本次不作修改。修订后的主板上市条件，拟自新上市规则发布之日起实施，尚未通过上市委审议的主板拟上市企业应当适用新的上市条件；已通过上市委审议的，适用修订前的上市条件。</w:t>
      </w:r>
    </w:p>
    <w:p w14:paraId="2745514A" w14:textId="77777777"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（二）加强上市公司分红约束</w:t>
      </w:r>
    </w:p>
    <w:p w14:paraId="294C5615"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进一步明确鼓励公司在具备分红能力的条件下，增加分红频次，稳定投资者预期，积极回报投资者。本次修订将长期不分红或者分红比例偏低的情形纳入其他</w:t>
      </w:r>
      <w:r>
        <w:rPr>
          <w:rFonts w:ascii="仿宋_GB2312" w:eastAsia="仿宋_GB2312" w:hAnsi="仿宋_GB2312"/>
          <w:sz w:val="32"/>
          <w:szCs w:val="32"/>
        </w:rPr>
        <w:t>风险警示</w:t>
      </w:r>
      <w:r>
        <w:rPr>
          <w:rFonts w:ascii="仿宋_GB2312" w:eastAsia="仿宋_GB2312" w:hAnsi="仿宋_GB2312" w:hint="eastAsia"/>
          <w:sz w:val="32"/>
          <w:szCs w:val="32"/>
        </w:rPr>
        <w:t>（ST）</w:t>
      </w:r>
      <w:r>
        <w:rPr>
          <w:rFonts w:ascii="仿宋_GB2312" w:eastAsia="仿宋_GB2312" w:hAnsi="仿宋_GB2312"/>
          <w:sz w:val="32"/>
          <w:szCs w:val="32"/>
        </w:rPr>
        <w:t>情形。</w:t>
      </w:r>
      <w:r>
        <w:rPr>
          <w:rFonts w:ascii="仿宋_GB2312" w:eastAsia="仿宋_GB2312" w:hAnsi="仿宋_GB2312" w:hint="eastAsia"/>
          <w:sz w:val="32"/>
          <w:szCs w:val="32"/>
        </w:rPr>
        <w:t>对于</w:t>
      </w:r>
      <w:r>
        <w:rPr>
          <w:rFonts w:ascii="仿宋_GB2312" w:eastAsia="仿宋_GB2312" w:hAnsi="仿宋_GB2312"/>
          <w:sz w:val="32"/>
          <w:szCs w:val="32"/>
        </w:rPr>
        <w:t>最近一个会计年度净利润和母公司报表未分配利润均为正的公司，如果最近三个会计年度累计现金分红总额低于最近三个会计年度年均净利润的30%，且最近三个会计年度累计分红金额低于5,000万元的，将被实施ST。</w:t>
      </w:r>
    </w:p>
    <w:p w14:paraId="708F2111" w14:textId="77777777"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（三）完善四类强制退市标准</w:t>
      </w:r>
    </w:p>
    <w:p w14:paraId="3DF48748" w14:textId="68955A49"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本次修订进一步完善重大违法类、规范类</w:t>
      </w:r>
      <w:r w:rsidR="001B765D">
        <w:rPr>
          <w:rFonts w:ascii="仿宋_GB2312" w:eastAsia="仿宋_GB2312" w:hAnsi="仿宋_GB2312" w:hint="eastAsia"/>
          <w:sz w:val="32"/>
          <w:szCs w:val="32"/>
        </w:rPr>
        <w:t>、财务类</w:t>
      </w:r>
      <w:r>
        <w:rPr>
          <w:rFonts w:ascii="仿宋_GB2312" w:eastAsia="仿宋_GB2312" w:hAnsi="仿宋_GB2312" w:hint="eastAsia"/>
          <w:sz w:val="32"/>
          <w:szCs w:val="32"/>
        </w:rPr>
        <w:t>和交易类四类强制退市指标。具体内容包括：</w:t>
      </w:r>
    </w:p>
    <w:p w14:paraId="68F6A39B" w14:textId="44B58E44"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1</w:t>
      </w:r>
      <w:r>
        <w:rPr>
          <w:rFonts w:ascii="仿宋_GB2312" w:eastAsia="仿宋_GB2312" w:hAnsi="仿宋_GB2312"/>
          <w:b/>
          <w:sz w:val="32"/>
          <w:szCs w:val="32"/>
        </w:rPr>
        <w:t>.</w:t>
      </w:r>
      <w:r w:rsidR="001B765D">
        <w:rPr>
          <w:rFonts w:ascii="仿宋_GB2312" w:eastAsia="仿宋_GB2312" w:hAnsi="仿宋_GB2312" w:hint="eastAsia"/>
          <w:b/>
          <w:sz w:val="32"/>
          <w:szCs w:val="32"/>
        </w:rPr>
        <w:t>科学设置重大违法强制退市适用范围</w:t>
      </w:r>
    </w:p>
    <w:p w14:paraId="58EF51F7" w14:textId="041FA830" w:rsidR="002F4290" w:rsidRDefault="001B765D">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本次修订增加一年严重造假、多年连续造假退市情形，</w:t>
      </w:r>
      <w:r>
        <w:rPr>
          <w:rFonts w:ascii="仿宋_GB2312" w:eastAsia="仿宋_GB2312" w:hAnsi="仿宋_GB2312" w:hint="eastAsia"/>
          <w:sz w:val="32"/>
          <w:szCs w:val="32"/>
        </w:rPr>
        <w:lastRenderedPageBreak/>
        <w:t>坚决打击恶性和长期系统性财务造假。结合近年来市场关注度高的财务造假案例情况，将标准优化如下：对于“造假金额+造假比例”的标准修改为</w:t>
      </w:r>
      <w:r>
        <w:rPr>
          <w:rFonts w:ascii="仿宋_GB2312" w:eastAsia="仿宋_GB2312" w:hAnsi="仿宋_GB2312"/>
          <w:sz w:val="32"/>
          <w:szCs w:val="32"/>
        </w:rPr>
        <w:t>一年、两年、三年及以上三个层次。具体</w:t>
      </w:r>
      <w:r>
        <w:rPr>
          <w:rFonts w:ascii="仿宋_GB2312" w:eastAsia="仿宋_GB2312" w:hAnsi="仿宋_GB2312" w:hint="eastAsia"/>
          <w:sz w:val="32"/>
          <w:szCs w:val="32"/>
        </w:rPr>
        <w:t>来说：</w:t>
      </w:r>
      <w:r>
        <w:rPr>
          <w:rFonts w:ascii="仿宋_GB2312" w:eastAsia="仿宋_GB2312" w:hAnsi="仿宋_GB2312"/>
          <w:sz w:val="32"/>
          <w:szCs w:val="32"/>
        </w:rPr>
        <w:t>（1）一年虚假记载金额达到2亿元以上，且</w:t>
      </w:r>
      <w:r>
        <w:rPr>
          <w:rFonts w:ascii="仿宋_GB2312" w:eastAsia="仿宋_GB2312" w:hAnsi="仿宋_GB2312" w:hint="eastAsia"/>
          <w:sz w:val="32"/>
          <w:szCs w:val="32"/>
        </w:rPr>
        <w:t>占比</w:t>
      </w:r>
      <w:r>
        <w:rPr>
          <w:rFonts w:ascii="仿宋_GB2312" w:eastAsia="仿宋_GB2312" w:hAnsi="仿宋_GB2312"/>
          <w:sz w:val="32"/>
          <w:szCs w:val="32"/>
        </w:rPr>
        <w:t>超过30%</w:t>
      </w:r>
      <w:r>
        <w:rPr>
          <w:rFonts w:ascii="仿宋_GB2312" w:eastAsia="仿宋_GB2312" w:hAnsi="仿宋_GB2312" w:hint="eastAsia"/>
          <w:sz w:val="32"/>
          <w:szCs w:val="32"/>
        </w:rPr>
        <w:t>。</w:t>
      </w:r>
      <w:r>
        <w:rPr>
          <w:rFonts w:ascii="仿宋_GB2312" w:eastAsia="仿宋_GB2312" w:hAnsi="仿宋_GB2312"/>
          <w:sz w:val="32"/>
          <w:szCs w:val="32"/>
        </w:rPr>
        <w:t>（2）连续两年虚假记载金额达到3亿元以上，且</w:t>
      </w:r>
      <w:r>
        <w:rPr>
          <w:rFonts w:ascii="仿宋_GB2312" w:eastAsia="仿宋_GB2312" w:hAnsi="仿宋_GB2312" w:hint="eastAsia"/>
          <w:sz w:val="32"/>
          <w:szCs w:val="32"/>
        </w:rPr>
        <w:t>占比</w:t>
      </w:r>
      <w:r>
        <w:rPr>
          <w:rFonts w:ascii="仿宋_GB2312" w:eastAsia="仿宋_GB2312" w:hAnsi="仿宋_GB2312"/>
          <w:sz w:val="32"/>
          <w:szCs w:val="32"/>
        </w:rPr>
        <w:t>超过20%</w:t>
      </w:r>
      <w:r>
        <w:rPr>
          <w:rFonts w:ascii="仿宋_GB2312" w:eastAsia="仿宋_GB2312" w:hAnsi="仿宋_GB2312" w:hint="eastAsia"/>
          <w:sz w:val="32"/>
          <w:szCs w:val="32"/>
        </w:rPr>
        <w:t>。</w:t>
      </w:r>
      <w:r>
        <w:rPr>
          <w:rFonts w:ascii="仿宋_GB2312" w:eastAsia="仿宋_GB2312" w:hAnsi="仿宋_GB2312"/>
          <w:sz w:val="32"/>
          <w:szCs w:val="32"/>
        </w:rPr>
        <w:t>（3）连续三年及以上年度存在虚假记载</w:t>
      </w:r>
      <w:r>
        <w:rPr>
          <w:rFonts w:ascii="仿宋_GB2312" w:eastAsia="仿宋_GB2312" w:hAnsi="仿宋_GB2312" w:hint="eastAsia"/>
          <w:sz w:val="32"/>
          <w:szCs w:val="32"/>
        </w:rPr>
        <w:t>。</w:t>
      </w:r>
      <w:r>
        <w:rPr>
          <w:rFonts w:ascii="仿宋_GB2312" w:eastAsia="仿宋_GB2312" w:hAnsi="仿宋_GB2312"/>
          <w:sz w:val="32"/>
          <w:szCs w:val="32"/>
        </w:rPr>
        <w:t>前述虚假记载科目包括营业收入、净</w:t>
      </w:r>
      <w:r>
        <w:rPr>
          <w:rFonts w:ascii="仿宋_GB2312" w:eastAsia="仿宋_GB2312" w:hAnsi="仿宋_GB2312" w:hint="eastAsia"/>
          <w:sz w:val="32"/>
          <w:szCs w:val="32"/>
        </w:rPr>
        <w:t>利润、利润总额和资产负债表中的资产或者负债科目；计算</w:t>
      </w:r>
      <w:r>
        <w:rPr>
          <w:rFonts w:ascii="仿宋_GB2312" w:eastAsia="仿宋_GB2312" w:hAnsi="仿宋_GB2312"/>
          <w:sz w:val="32"/>
          <w:szCs w:val="32"/>
        </w:rPr>
        <w:t>营业收入、净</w:t>
      </w:r>
      <w:r>
        <w:rPr>
          <w:rFonts w:ascii="仿宋_GB2312" w:eastAsia="仿宋_GB2312" w:hAnsi="仿宋_GB2312" w:hint="eastAsia"/>
          <w:sz w:val="32"/>
          <w:szCs w:val="32"/>
        </w:rPr>
        <w:t>利润、利润总额的造假占比，以披露的相应科目金额</w:t>
      </w:r>
      <w:r w:rsidR="001E3A21">
        <w:rPr>
          <w:rFonts w:ascii="仿宋_GB2312" w:eastAsia="仿宋_GB2312" w:hAnsi="仿宋_GB2312" w:hint="eastAsia"/>
          <w:sz w:val="32"/>
          <w:szCs w:val="32"/>
        </w:rPr>
        <w:t>绝对值</w:t>
      </w:r>
      <w:r>
        <w:rPr>
          <w:rFonts w:ascii="仿宋_GB2312" w:eastAsia="仿宋_GB2312" w:hAnsi="仿宋_GB2312" w:hint="eastAsia"/>
          <w:sz w:val="32"/>
          <w:szCs w:val="32"/>
        </w:rPr>
        <w:t>作为分母，计算资产负债表中的资产和负债科目的造假占比，以披露的净资产</w:t>
      </w:r>
      <w:r w:rsidR="001E3A21">
        <w:rPr>
          <w:rFonts w:ascii="仿宋_GB2312" w:eastAsia="仿宋_GB2312" w:hAnsi="仿宋_GB2312" w:hint="eastAsia"/>
          <w:sz w:val="32"/>
          <w:szCs w:val="32"/>
        </w:rPr>
        <w:t>金额绝对值</w:t>
      </w:r>
      <w:r>
        <w:rPr>
          <w:rFonts w:ascii="仿宋_GB2312" w:eastAsia="仿宋_GB2312" w:hAnsi="仿宋_GB2312" w:hint="eastAsia"/>
          <w:sz w:val="32"/>
          <w:szCs w:val="32"/>
        </w:rPr>
        <w:t>作为分母。其中，一年、两年财务造假退市标准适用于</w:t>
      </w:r>
      <w:r>
        <w:rPr>
          <w:rFonts w:ascii="仿宋_GB2312" w:eastAsia="仿宋_GB2312" w:hAnsi="仿宋_GB2312"/>
          <w:sz w:val="32"/>
          <w:szCs w:val="32"/>
        </w:rPr>
        <w:t>2024年</w:t>
      </w:r>
      <w:r>
        <w:rPr>
          <w:rFonts w:ascii="仿宋_GB2312" w:eastAsia="仿宋_GB2312" w:hAnsi="仿宋_GB2312" w:hint="eastAsia"/>
          <w:sz w:val="32"/>
          <w:szCs w:val="32"/>
        </w:rPr>
        <w:t>及以后年度</w:t>
      </w:r>
      <w:r>
        <w:rPr>
          <w:rFonts w:ascii="仿宋_GB2312" w:eastAsia="仿宋_GB2312" w:hAnsi="仿宋_GB2312"/>
          <w:sz w:val="32"/>
          <w:szCs w:val="32"/>
        </w:rPr>
        <w:t>，三年及三年以上</w:t>
      </w:r>
      <w:r>
        <w:rPr>
          <w:rFonts w:ascii="仿宋_GB2312" w:eastAsia="仿宋_GB2312" w:hAnsi="仿宋_GB2312" w:hint="eastAsia"/>
          <w:sz w:val="32"/>
          <w:szCs w:val="32"/>
        </w:rPr>
        <w:t>财务造假行为性质恶劣，本次从严规范，适用于</w:t>
      </w:r>
      <w:r>
        <w:rPr>
          <w:rFonts w:ascii="仿宋_GB2312" w:eastAsia="仿宋_GB2312" w:hAnsi="仿宋_GB2312"/>
          <w:sz w:val="32"/>
          <w:szCs w:val="32"/>
        </w:rPr>
        <w:t>2020年</w:t>
      </w:r>
      <w:r>
        <w:rPr>
          <w:rFonts w:ascii="仿宋_GB2312" w:eastAsia="仿宋_GB2312" w:hAnsi="仿宋_GB2312" w:hint="eastAsia"/>
          <w:sz w:val="32"/>
          <w:szCs w:val="32"/>
        </w:rPr>
        <w:t>及以后年度，衔接2020年退市改革</w:t>
      </w:r>
      <w:r>
        <w:rPr>
          <w:rFonts w:ascii="仿宋_GB2312" w:eastAsia="仿宋_GB2312" w:hAnsi="仿宋_GB2312"/>
          <w:sz w:val="32"/>
          <w:szCs w:val="32"/>
        </w:rPr>
        <w:t>。</w:t>
      </w:r>
      <w:r>
        <w:rPr>
          <w:rFonts w:ascii="仿宋_GB2312" w:eastAsia="仿宋_GB2312" w:hAnsi="仿宋_GB2312" w:hint="eastAsia"/>
          <w:sz w:val="32"/>
          <w:szCs w:val="32"/>
        </w:rPr>
        <w:t>另外，如虚假记载年度涉及</w:t>
      </w:r>
      <w:r>
        <w:rPr>
          <w:rFonts w:ascii="仿宋_GB2312" w:eastAsia="仿宋_GB2312" w:hAnsi="仿宋_GB2312"/>
          <w:sz w:val="32"/>
          <w:szCs w:val="32"/>
        </w:rPr>
        <w:t>2020-202</w:t>
      </w:r>
      <w:r>
        <w:rPr>
          <w:rFonts w:ascii="仿宋_GB2312" w:eastAsia="仿宋_GB2312" w:hAnsi="仿宋_GB2312" w:hint="eastAsia"/>
          <w:sz w:val="32"/>
          <w:szCs w:val="32"/>
        </w:rPr>
        <w:t>4</w:t>
      </w:r>
      <w:r>
        <w:rPr>
          <w:rFonts w:ascii="仿宋_GB2312" w:eastAsia="仿宋_GB2312" w:hAnsi="仿宋_GB2312"/>
          <w:sz w:val="32"/>
          <w:szCs w:val="32"/>
        </w:rPr>
        <w:t>年度的</w:t>
      </w:r>
      <w:r>
        <w:rPr>
          <w:rFonts w:ascii="仿宋_GB2312" w:eastAsia="仿宋_GB2312" w:hAnsi="仿宋_GB2312" w:hint="eastAsia"/>
          <w:sz w:val="32"/>
          <w:szCs w:val="32"/>
        </w:rPr>
        <w:t>，仍然适用原标准，即“虚假记载金额合计达到</w:t>
      </w:r>
      <w:r>
        <w:rPr>
          <w:rFonts w:ascii="仿宋_GB2312" w:eastAsia="仿宋_GB2312" w:hAnsi="仿宋_GB2312"/>
          <w:sz w:val="32"/>
          <w:szCs w:val="32"/>
        </w:rPr>
        <w:t>5亿元以上，且超过该两年披露合计金额的50%”</w:t>
      </w:r>
      <w:r>
        <w:rPr>
          <w:rFonts w:ascii="仿宋_GB2312" w:eastAsia="仿宋_GB2312" w:hAnsi="仿宋_GB2312" w:hint="eastAsia"/>
          <w:sz w:val="32"/>
          <w:szCs w:val="32"/>
        </w:rPr>
        <w:t>。</w:t>
      </w:r>
    </w:p>
    <w:p w14:paraId="702856B5" w14:textId="77777777"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2</w:t>
      </w:r>
      <w:r>
        <w:rPr>
          <w:rFonts w:ascii="仿宋_GB2312" w:eastAsia="仿宋_GB2312" w:hAnsi="仿宋_GB2312"/>
          <w:b/>
          <w:sz w:val="32"/>
          <w:szCs w:val="32"/>
        </w:rPr>
        <w:t>.新增三项规范类退市情形</w:t>
      </w:r>
    </w:p>
    <w:p w14:paraId="56933FC2"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为进一步打击资金占用、治理混乱、控制权无序争夺等市场乱象，本次新增三项规范类退市情形，主要修订以下内容：</w:t>
      </w:r>
      <w:r>
        <w:rPr>
          <w:rFonts w:ascii="仿宋_GB2312" w:eastAsia="仿宋_GB2312" w:hAnsi="仿宋_GB2312" w:hint="eastAsia"/>
          <w:b/>
          <w:sz w:val="32"/>
          <w:szCs w:val="32"/>
        </w:rPr>
        <w:t>一是新增“资金占用”退市指标。</w:t>
      </w:r>
      <w:r>
        <w:rPr>
          <w:rFonts w:ascii="仿宋_GB2312" w:eastAsia="仿宋_GB2312" w:hAnsi="仿宋_GB2312" w:hint="eastAsia"/>
          <w:sz w:val="32"/>
          <w:szCs w:val="32"/>
        </w:rPr>
        <w:t>控股股东资金占用严重侵占上市公司利益，扰乱资本市场秩序，有必要通过退市机制设立“高压线”，震慑违规占用行为。具体情形为上市公司出现控股股东（无控股股东，则为第一大股东）及其关</w:t>
      </w:r>
      <w:r>
        <w:rPr>
          <w:rFonts w:ascii="仿宋_GB2312" w:eastAsia="仿宋_GB2312" w:hAnsi="仿宋_GB2312" w:hint="eastAsia"/>
          <w:sz w:val="32"/>
          <w:szCs w:val="32"/>
        </w:rPr>
        <w:lastRenderedPageBreak/>
        <w:t>联方非经营性占用资金，余额达到最近一期经审计净资产绝对值</w:t>
      </w:r>
      <w:r>
        <w:rPr>
          <w:rFonts w:ascii="仿宋_GB2312" w:eastAsia="仿宋_GB2312" w:hAnsi="仿宋_GB2312"/>
          <w:sz w:val="32"/>
          <w:szCs w:val="32"/>
        </w:rPr>
        <w:t>30%以上，或者金额超过2亿元，被中国证监会责令改正但公司未在规定期限内改正的，</w:t>
      </w:r>
      <w:r>
        <w:rPr>
          <w:rFonts w:ascii="仿宋_GB2312" w:eastAsia="仿宋_GB2312" w:hAnsi="仿宋_GB2312" w:hint="eastAsia"/>
          <w:sz w:val="32"/>
          <w:szCs w:val="32"/>
        </w:rPr>
        <w:t>对公司股票予以停牌，在停牌</w:t>
      </w:r>
      <w:r>
        <w:rPr>
          <w:rFonts w:ascii="仿宋_GB2312" w:eastAsia="仿宋_GB2312" w:hAnsi="仿宋_GB2312"/>
          <w:sz w:val="32"/>
          <w:szCs w:val="32"/>
        </w:rPr>
        <w:t>2个月内仍未改正的，实施退市风险警示，此后2个月内仍未改正的，对公司股票予以终止上市。</w:t>
      </w:r>
      <w:r>
        <w:rPr>
          <w:rFonts w:ascii="仿宋_GB2312" w:eastAsia="仿宋_GB2312" w:hAnsi="仿宋_GB2312"/>
          <w:b/>
          <w:sz w:val="32"/>
          <w:szCs w:val="32"/>
        </w:rPr>
        <w:t>二是新增内控非标审计意见退市情形。</w:t>
      </w:r>
      <w:r>
        <w:rPr>
          <w:rFonts w:ascii="仿宋_GB2312" w:eastAsia="仿宋_GB2312" w:hAnsi="仿宋_GB2312"/>
          <w:sz w:val="32"/>
          <w:szCs w:val="32"/>
        </w:rPr>
        <w:t>内部控制的有效性是公司财务数据真实、准确、完整的重要保障</w:t>
      </w:r>
      <w:r>
        <w:rPr>
          <w:rFonts w:ascii="仿宋_GB2312" w:eastAsia="仿宋_GB2312" w:hAnsi="仿宋_GB2312" w:hint="eastAsia"/>
          <w:sz w:val="32"/>
          <w:szCs w:val="32"/>
        </w:rPr>
        <w:t>，</w:t>
      </w:r>
      <w:r>
        <w:rPr>
          <w:rFonts w:ascii="仿宋_GB2312" w:eastAsia="仿宋_GB2312" w:hAnsi="仿宋_GB2312"/>
          <w:sz w:val="32"/>
          <w:szCs w:val="32"/>
        </w:rPr>
        <w:t>将内控审计意见纳入退市范畴，有利于压实审计机构责任</w:t>
      </w:r>
      <w:r>
        <w:rPr>
          <w:rFonts w:ascii="仿宋_GB2312" w:eastAsia="仿宋_GB2312" w:hAnsi="仿宋_GB2312" w:hint="eastAsia"/>
          <w:sz w:val="32"/>
          <w:szCs w:val="32"/>
        </w:rPr>
        <w:t>，督促规范公司治理</w:t>
      </w:r>
      <w:r>
        <w:rPr>
          <w:rFonts w:ascii="仿宋_GB2312" w:eastAsia="仿宋_GB2312" w:hAnsi="仿宋_GB2312"/>
          <w:sz w:val="32"/>
          <w:szCs w:val="32"/>
        </w:rPr>
        <w:t>。具体指标为，连续两年内部控制审计报告为无法表示意见或者否定意见，或未按照规定披露内部控制审计报告的，公司股票被实施退市风险警示，第三年公司内部控制审计报告为非无保留意见的，对公司股票予以终止上市。</w:t>
      </w:r>
      <w:r>
        <w:rPr>
          <w:rFonts w:ascii="仿宋_GB2312" w:eastAsia="仿宋_GB2312" w:hAnsi="仿宋_GB2312"/>
          <w:b/>
          <w:sz w:val="32"/>
          <w:szCs w:val="32"/>
        </w:rPr>
        <w:t>三是新增控制权无序争夺退市情</w:t>
      </w:r>
      <w:r>
        <w:rPr>
          <w:rFonts w:ascii="仿宋_GB2312" w:eastAsia="仿宋_GB2312" w:hAnsi="仿宋_GB2312" w:hint="eastAsia"/>
          <w:b/>
          <w:sz w:val="32"/>
          <w:szCs w:val="32"/>
        </w:rPr>
        <w:t>形。</w:t>
      </w:r>
      <w:r>
        <w:rPr>
          <w:rFonts w:ascii="仿宋_GB2312" w:eastAsia="仿宋_GB2312" w:hAnsi="仿宋_GB2312" w:hint="eastAsia"/>
          <w:sz w:val="32"/>
          <w:szCs w:val="32"/>
        </w:rPr>
        <w:t>控制权无序争夺严重危害公司治理，扰乱市场秩序。本次修订增加一项信息披露或者规范运作存在重大缺陷退市情形，即“上市公司控制权无序争夺，导致投资者无法获取公司有效信息”。</w:t>
      </w:r>
    </w:p>
    <w:p w14:paraId="6A01E5CB" w14:textId="77777777"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3</w:t>
      </w:r>
      <w:r>
        <w:rPr>
          <w:rFonts w:ascii="仿宋_GB2312" w:eastAsia="仿宋_GB2312" w:hAnsi="仿宋_GB2312"/>
          <w:b/>
          <w:sz w:val="32"/>
          <w:szCs w:val="32"/>
        </w:rPr>
        <w:t>.完善组合类财务退市指标</w:t>
      </w:r>
    </w:p>
    <w:p w14:paraId="65D9814C"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进一步出清“空壳僵尸”公司，提高亏损公司营业收入适用标准，进一步考核持续经营能力，同时严格摘星的内控规范性要求。本次财务类退市指标主要修订如下：一是主板组合类财务退市指标中的营业收入标准由“低于</w:t>
      </w:r>
      <w:r>
        <w:rPr>
          <w:rFonts w:ascii="仿宋_GB2312" w:eastAsia="仿宋_GB2312" w:hAnsi="仿宋_GB2312"/>
          <w:sz w:val="32"/>
          <w:szCs w:val="32"/>
        </w:rPr>
        <w:t>1亿元”调整到“低于3亿元”，以及在“扣除非经常性损益前后的净利润</w:t>
      </w:r>
      <w:r>
        <w:rPr>
          <w:rFonts w:ascii="仿宋_GB2312" w:eastAsia="仿宋_GB2312" w:hAnsi="仿宋_GB2312" w:hint="eastAsia"/>
          <w:sz w:val="32"/>
          <w:szCs w:val="32"/>
        </w:rPr>
        <w:t>孰</w:t>
      </w:r>
      <w:r>
        <w:rPr>
          <w:rFonts w:ascii="仿宋_GB2312" w:eastAsia="仿宋_GB2312" w:hAnsi="仿宋_GB2312"/>
          <w:sz w:val="32"/>
          <w:szCs w:val="32"/>
        </w:rPr>
        <w:t>低者为负值”中增加利润总额为负的考察维度，修</w:t>
      </w:r>
      <w:r>
        <w:rPr>
          <w:rFonts w:ascii="仿宋_GB2312" w:eastAsia="仿宋_GB2312" w:hAnsi="仿宋_GB2312"/>
          <w:sz w:val="32"/>
          <w:szCs w:val="32"/>
        </w:rPr>
        <w:lastRenderedPageBreak/>
        <w:t>改后的组合指标为“利润总额、净利润或者扣除非经常性损益后的净利润孰低者为负值且营业收入低于3亿元”。二是增加财务类退市风险警示公司（*ST公司）撤销退市风险警示的条件，要求其内部控制审计报告为无保留意见，否则将予以退市。</w:t>
      </w:r>
    </w:p>
    <w:p w14:paraId="644237AB" w14:textId="77777777"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4.提高市值类强制退市标准</w:t>
      </w:r>
    </w:p>
    <w:p w14:paraId="5B5E8D03" w14:textId="3AB41CD1"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为有效推动上市公司提升质量和投资价值，适当提高</w:t>
      </w:r>
      <w:r>
        <w:rPr>
          <w:rFonts w:ascii="仿宋_GB2312" w:eastAsia="仿宋_GB2312" w:hAnsi="仿宋_GB2312"/>
          <w:sz w:val="32"/>
          <w:szCs w:val="32"/>
        </w:rPr>
        <w:t>市值指标，将原</w:t>
      </w:r>
      <w:r>
        <w:rPr>
          <w:rFonts w:ascii="仿宋_GB2312" w:eastAsia="仿宋_GB2312" w:hAnsi="仿宋_GB2312" w:hint="eastAsia"/>
          <w:sz w:val="32"/>
          <w:szCs w:val="32"/>
        </w:rPr>
        <w:t>来“</w:t>
      </w:r>
      <w:r>
        <w:rPr>
          <w:rFonts w:ascii="仿宋_GB2312" w:eastAsia="仿宋_GB2312" w:hAnsi="仿宋_GB2312"/>
          <w:sz w:val="32"/>
          <w:szCs w:val="32"/>
        </w:rPr>
        <w:t>连续20个交易日在本所的每日股票收盘总市值均低于3亿元</w:t>
      </w:r>
      <w:r>
        <w:rPr>
          <w:rFonts w:ascii="仿宋_GB2312" w:eastAsia="仿宋_GB2312" w:hAnsi="仿宋_GB2312" w:hint="eastAsia"/>
          <w:sz w:val="32"/>
          <w:szCs w:val="32"/>
        </w:rPr>
        <w:t>”</w:t>
      </w:r>
      <w:r>
        <w:rPr>
          <w:rFonts w:ascii="仿宋_GB2312" w:eastAsia="仿宋_GB2312" w:hAnsi="仿宋_GB2312"/>
          <w:sz w:val="32"/>
          <w:szCs w:val="32"/>
        </w:rPr>
        <w:t>修改为</w:t>
      </w:r>
      <w:r>
        <w:rPr>
          <w:rFonts w:ascii="仿宋_GB2312" w:eastAsia="仿宋_GB2312" w:hAnsi="仿宋_GB2312" w:hint="eastAsia"/>
          <w:sz w:val="32"/>
          <w:szCs w:val="32"/>
        </w:rPr>
        <w:t>“</w:t>
      </w:r>
      <w:r>
        <w:rPr>
          <w:rFonts w:ascii="仿宋_GB2312" w:eastAsia="仿宋_GB2312" w:hAnsi="仿宋_GB2312"/>
          <w:sz w:val="32"/>
          <w:szCs w:val="32"/>
        </w:rPr>
        <w:t>连续20个交易日在本所的每日股票收盘总市值均低于</w:t>
      </w:r>
      <w:r>
        <w:rPr>
          <w:rFonts w:ascii="仿宋_GB2312" w:eastAsia="仿宋_GB2312" w:hAnsi="仿宋_GB2312" w:hint="eastAsia"/>
          <w:sz w:val="32"/>
          <w:szCs w:val="32"/>
        </w:rPr>
        <w:t>5</w:t>
      </w:r>
      <w:r>
        <w:rPr>
          <w:rFonts w:ascii="仿宋_GB2312" w:eastAsia="仿宋_GB2312" w:hAnsi="仿宋_GB2312"/>
          <w:sz w:val="32"/>
          <w:szCs w:val="32"/>
        </w:rPr>
        <w:t>亿元</w:t>
      </w:r>
      <w:r>
        <w:rPr>
          <w:rFonts w:ascii="仿宋_GB2312" w:eastAsia="仿宋_GB2312" w:hAnsi="仿宋_GB2312" w:hint="eastAsia"/>
          <w:sz w:val="32"/>
          <w:szCs w:val="32"/>
        </w:rPr>
        <w:t>”</w:t>
      </w:r>
      <w:r>
        <w:rPr>
          <w:rFonts w:ascii="仿宋_GB2312" w:eastAsia="仿宋_GB2312" w:hAnsi="仿宋_GB2312"/>
          <w:sz w:val="32"/>
          <w:szCs w:val="32"/>
        </w:rPr>
        <w:t>，发行存托凭证红筹企业的市值退市指标同步调整</w:t>
      </w:r>
      <w:r>
        <w:rPr>
          <w:rFonts w:ascii="仿宋_GB2312" w:eastAsia="仿宋_GB2312" w:hAnsi="仿宋_GB2312" w:hint="eastAsia"/>
          <w:sz w:val="32"/>
          <w:szCs w:val="32"/>
        </w:rPr>
        <w:t>。仅发行B股的公司市值退市指标继续维持在3亿元。</w:t>
      </w:r>
    </w:p>
    <w:p w14:paraId="55548986" w14:textId="77777777" w:rsidR="002F4290" w:rsidRDefault="00000000">
      <w:pPr>
        <w:spacing w:line="600" w:lineRule="exact"/>
        <w:ind w:firstLineChars="200" w:firstLine="643"/>
        <w:rPr>
          <w:rFonts w:ascii="仿宋_GB2312" w:eastAsia="仿宋_GB2312" w:hAnsi="仿宋_GB2312"/>
          <w:b/>
          <w:sz w:val="32"/>
          <w:szCs w:val="32"/>
        </w:rPr>
      </w:pPr>
      <w:r>
        <w:rPr>
          <w:rFonts w:ascii="仿宋_GB2312" w:eastAsia="仿宋_GB2312" w:hAnsi="仿宋_GB2312" w:hint="eastAsia"/>
          <w:b/>
          <w:sz w:val="32"/>
          <w:szCs w:val="32"/>
        </w:rPr>
        <w:t>（四）加大财务造假公司风险揭示和约束力度</w:t>
      </w:r>
    </w:p>
    <w:p w14:paraId="272CC6ED" w14:textId="7BD63592"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w:t>
      </w:r>
      <w:r>
        <w:rPr>
          <w:rFonts w:ascii="仿宋_GB2312" w:eastAsia="仿宋_GB2312" w:hAnsi="仿宋_GB2312" w:cs="Times New Roman" w:hint="eastAsia"/>
          <w:sz w:val="32"/>
          <w:szCs w:val="32"/>
        </w:rPr>
        <w:t>加大对财务造假的监管和约束力度，加强财务造假公司的风险揭示，督促其积极整改，本次修订</w:t>
      </w:r>
      <w:r>
        <w:rPr>
          <w:rFonts w:ascii="仿宋_GB2312" w:eastAsia="仿宋_GB2312" w:hAnsi="仿宋_GB2312" w:hint="eastAsia"/>
          <w:sz w:val="32"/>
          <w:szCs w:val="32"/>
        </w:rPr>
        <w:t>将不触及重大违法强制退市的财务造假行为纳入其他风险警示情形，形成和财务造假重大违法强制退市制度相呼应的梯度约束机制。具体地，新增一项其他风险警示情形</w:t>
      </w:r>
      <w:r w:rsidR="007268E4">
        <w:rPr>
          <w:rFonts w:ascii="仿宋_GB2312" w:eastAsia="仿宋_GB2312" w:hAnsi="仿宋_GB2312" w:hint="eastAsia"/>
          <w:sz w:val="32"/>
          <w:szCs w:val="32"/>
        </w:rPr>
        <w:t>：</w:t>
      </w:r>
      <w:r>
        <w:rPr>
          <w:rFonts w:ascii="仿宋_GB2312" w:eastAsia="仿宋_GB2312" w:hAnsi="仿宋_GB2312" w:hint="eastAsia"/>
          <w:sz w:val="32"/>
          <w:szCs w:val="32"/>
        </w:rPr>
        <w:t>根据中国证监会行政处罚事先告知书载明的事实，公司披露的年度报告财务指标存在虚假记载，前述财务指标包括营业收入、利润总额、净利润、资产负债表中的资产或者负债科目。公司满足行政处罚决定书作出已满12个月以及</w:t>
      </w:r>
      <w:r>
        <w:rPr>
          <w:rFonts w:ascii="仿宋_GB2312" w:eastAsia="仿宋_GB2312" w:hAnsi="仿宋_GB2312"/>
          <w:sz w:val="32"/>
          <w:szCs w:val="32"/>
        </w:rPr>
        <w:t>公司</w:t>
      </w:r>
      <w:r>
        <w:rPr>
          <w:rFonts w:ascii="仿宋_GB2312" w:eastAsia="仿宋_GB2312" w:hAnsi="仿宋_GB2312" w:hint="eastAsia"/>
          <w:sz w:val="32"/>
          <w:szCs w:val="32"/>
        </w:rPr>
        <w:t>完成处罚事项的追溯调整等孰晚条件后可以向本所申请撤销其他风险警示。</w:t>
      </w:r>
    </w:p>
    <w:p w14:paraId="7BD8457D" w14:textId="77777777" w:rsidR="002F4290" w:rsidRDefault="00000000">
      <w:pPr>
        <w:overflowPunct w:val="0"/>
        <w:snapToGrid w:val="0"/>
        <w:spacing w:line="600" w:lineRule="exact"/>
        <w:ind w:firstLineChars="200" w:firstLine="640"/>
        <w:outlineLvl w:val="0"/>
        <w:rPr>
          <w:rFonts w:ascii="仿宋_GB2312" w:eastAsia="黑体" w:hAnsi="仿宋_GB2312" w:cs="黑体"/>
          <w:sz w:val="32"/>
          <w:szCs w:val="32"/>
        </w:rPr>
      </w:pPr>
      <w:r>
        <w:rPr>
          <w:rFonts w:ascii="仿宋_GB2312" w:eastAsia="黑体" w:hAnsi="仿宋_GB2312" w:cs="黑体" w:hint="eastAsia"/>
          <w:sz w:val="32"/>
          <w:szCs w:val="32"/>
        </w:rPr>
        <w:lastRenderedPageBreak/>
        <w:t>三、公开征求意见情况</w:t>
      </w:r>
    </w:p>
    <w:p w14:paraId="32EED2FC" w14:textId="03B478C9" w:rsidR="002F4290" w:rsidRDefault="00000000">
      <w:pPr>
        <w:pStyle w:val="a3"/>
        <w:spacing w:before="0" w:line="600" w:lineRule="exact"/>
        <w:ind w:left="0" w:firstLineChars="200" w:firstLine="640"/>
        <w:jc w:val="both"/>
        <w:rPr>
          <w:rFonts w:eastAsia="仿宋_GB2312"/>
          <w:kern w:val="2"/>
          <w:sz w:val="32"/>
          <w:szCs w:val="32"/>
          <w:lang w:eastAsia="zh-CN"/>
        </w:rPr>
      </w:pPr>
      <w:r>
        <w:rPr>
          <w:rFonts w:eastAsia="仿宋_GB2312" w:hint="eastAsia"/>
          <w:kern w:val="2"/>
          <w:sz w:val="32"/>
          <w:szCs w:val="32"/>
          <w:lang w:eastAsia="zh-CN"/>
        </w:rPr>
        <w:t>自4月12日公开征求意见以来，</w:t>
      </w:r>
      <w:r w:rsidR="001E1C31">
        <w:rPr>
          <w:rFonts w:eastAsia="仿宋_GB2312" w:hint="eastAsia"/>
          <w:kern w:val="2"/>
          <w:sz w:val="32"/>
          <w:szCs w:val="32"/>
          <w:lang w:eastAsia="zh-CN"/>
        </w:rPr>
        <w:t>本所</w:t>
      </w:r>
      <w:r>
        <w:rPr>
          <w:rFonts w:eastAsia="仿宋_GB2312" w:hint="eastAsia"/>
          <w:kern w:val="2"/>
          <w:sz w:val="32"/>
          <w:szCs w:val="32"/>
          <w:lang w:eastAsia="zh-CN"/>
        </w:rPr>
        <w:t>收到</w:t>
      </w:r>
      <w:r w:rsidR="007F2D07">
        <w:rPr>
          <w:rFonts w:eastAsia="仿宋_GB2312" w:hint="eastAsia"/>
          <w:kern w:val="2"/>
          <w:sz w:val="32"/>
          <w:szCs w:val="32"/>
          <w:lang w:eastAsia="zh-CN"/>
        </w:rPr>
        <w:t>了</w:t>
      </w:r>
      <w:r>
        <w:rPr>
          <w:rFonts w:eastAsia="仿宋_GB2312" w:hint="eastAsia"/>
          <w:kern w:val="2"/>
          <w:sz w:val="32"/>
          <w:szCs w:val="32"/>
          <w:lang w:eastAsia="zh-CN"/>
        </w:rPr>
        <w:t>个人投资者、上市公司、证券服务机构及其他机构</w:t>
      </w:r>
      <w:r w:rsidR="007F2D07">
        <w:rPr>
          <w:rFonts w:eastAsia="仿宋_GB2312" w:hint="eastAsia"/>
          <w:kern w:val="2"/>
          <w:sz w:val="32"/>
          <w:szCs w:val="32"/>
          <w:lang w:eastAsia="zh-CN"/>
        </w:rPr>
        <w:t>反馈的</w:t>
      </w:r>
      <w:r>
        <w:rPr>
          <w:rFonts w:eastAsia="仿宋_GB2312" w:hint="eastAsia"/>
          <w:kern w:val="2"/>
          <w:sz w:val="32"/>
          <w:szCs w:val="32"/>
          <w:lang w:eastAsia="zh-CN"/>
        </w:rPr>
        <w:t>各类意见、建议，</w:t>
      </w:r>
      <w:r>
        <w:rPr>
          <w:rFonts w:eastAsia="仿宋_GB2312" w:cs="仿宋_GB2312" w:hint="eastAsia"/>
          <w:color w:val="000000" w:themeColor="text1"/>
          <w:sz w:val="32"/>
          <w:szCs w:val="32"/>
          <w:lang w:eastAsia="zh-CN"/>
        </w:rPr>
        <w:t>总体而言</w:t>
      </w:r>
      <w:r>
        <w:rPr>
          <w:rFonts w:eastAsia="仿宋_GB2312" w:cs="仿宋_GB2312"/>
          <w:color w:val="000000" w:themeColor="text1"/>
          <w:sz w:val="32"/>
          <w:szCs w:val="32"/>
          <w:lang w:eastAsia="zh-CN"/>
        </w:rPr>
        <w:t>，对</w:t>
      </w:r>
      <w:r>
        <w:rPr>
          <w:rFonts w:eastAsia="仿宋_GB2312" w:cs="仿宋_GB2312" w:hint="eastAsia"/>
          <w:color w:val="000000" w:themeColor="text1"/>
          <w:sz w:val="32"/>
          <w:szCs w:val="32"/>
          <w:lang w:eastAsia="zh-CN"/>
        </w:rPr>
        <w:t>规则修改予以肯定。</w:t>
      </w:r>
      <w:r>
        <w:rPr>
          <w:rFonts w:eastAsia="仿宋_GB2312" w:hint="eastAsia"/>
          <w:kern w:val="2"/>
          <w:sz w:val="32"/>
          <w:szCs w:val="32"/>
          <w:lang w:eastAsia="zh-CN"/>
        </w:rPr>
        <w:t>其中大部分已经在本次规则修订中予以体现。意见反馈主要集中在以下几个方面。</w:t>
      </w:r>
    </w:p>
    <w:p w14:paraId="0F20C9B8" w14:textId="07F14DA4" w:rsidR="002F4290" w:rsidRDefault="00000000">
      <w:pPr>
        <w:pStyle w:val="a3"/>
        <w:spacing w:before="0" w:line="600" w:lineRule="exact"/>
        <w:ind w:left="0" w:firstLineChars="200" w:firstLine="643"/>
        <w:jc w:val="both"/>
        <w:rPr>
          <w:rFonts w:eastAsia="仿宋_GB2312"/>
          <w:kern w:val="2"/>
          <w:sz w:val="32"/>
          <w:szCs w:val="32"/>
          <w:lang w:eastAsia="zh-CN"/>
        </w:rPr>
      </w:pPr>
      <w:r>
        <w:rPr>
          <w:rFonts w:eastAsia="仿宋_GB2312" w:hint="eastAsia"/>
          <w:b/>
          <w:bCs/>
          <w:kern w:val="2"/>
          <w:sz w:val="32"/>
          <w:szCs w:val="32"/>
          <w:lang w:eastAsia="zh-CN"/>
        </w:rPr>
        <w:t>一是征求意见反馈关注主板上市条件的设置。</w:t>
      </w:r>
      <w:r>
        <w:rPr>
          <w:rFonts w:eastAsia="仿宋_GB2312" w:hint="eastAsia"/>
          <w:kern w:val="2"/>
          <w:sz w:val="32"/>
          <w:szCs w:val="32"/>
          <w:lang w:eastAsia="zh-CN"/>
        </w:rPr>
        <w:t>对此，前期沪深两所在</w:t>
      </w:r>
      <w:r w:rsidR="008C207C">
        <w:rPr>
          <w:rFonts w:eastAsia="仿宋_GB2312" w:hint="eastAsia"/>
          <w:kern w:val="2"/>
          <w:sz w:val="32"/>
          <w:szCs w:val="32"/>
          <w:lang w:eastAsia="zh-CN"/>
        </w:rPr>
        <w:t>中国证监会</w:t>
      </w:r>
      <w:r>
        <w:rPr>
          <w:rFonts w:eastAsia="仿宋_GB2312" w:hint="eastAsia"/>
          <w:kern w:val="2"/>
          <w:sz w:val="32"/>
          <w:szCs w:val="32"/>
          <w:lang w:eastAsia="zh-CN"/>
        </w:rPr>
        <w:t>的统筹安排和指导下，充分考虑主板已上市企业特别是试点注册制以来主板上市企业和目前首发在审企业情况，以从源头提高上市公司质量为导向，对不同指标方案进行了系统反复测算，修订后上市指标更加符合市场对主板企业特征的预期，更能够体现主板的大盘蓝筹定位，对在审企业的影响较可控，不会影响平稳有序开展在审企业发行上市审核工作。</w:t>
      </w:r>
    </w:p>
    <w:p w14:paraId="77E745D9" w14:textId="77777777" w:rsidR="002F4290" w:rsidRDefault="00000000">
      <w:pPr>
        <w:pStyle w:val="a3"/>
        <w:spacing w:before="0" w:line="600" w:lineRule="exact"/>
        <w:ind w:left="0" w:firstLineChars="200" w:firstLine="643"/>
        <w:jc w:val="both"/>
        <w:rPr>
          <w:rFonts w:eastAsia="仿宋_GB2312"/>
          <w:kern w:val="2"/>
          <w:sz w:val="32"/>
          <w:szCs w:val="32"/>
          <w:lang w:eastAsia="zh-CN"/>
        </w:rPr>
      </w:pPr>
      <w:r>
        <w:rPr>
          <w:rFonts w:eastAsia="仿宋_GB2312" w:hint="eastAsia"/>
          <w:b/>
          <w:bCs/>
          <w:kern w:val="2"/>
          <w:sz w:val="32"/>
          <w:szCs w:val="32"/>
          <w:lang w:eastAsia="zh-CN"/>
        </w:rPr>
        <w:t>二是是否应当针对长期不分红或分红比例较低的公司采取ST措施。</w:t>
      </w:r>
      <w:r>
        <w:rPr>
          <w:rFonts w:eastAsia="仿宋_GB2312" w:hint="eastAsia"/>
          <w:kern w:val="2"/>
          <w:sz w:val="32"/>
          <w:szCs w:val="32"/>
          <w:lang w:eastAsia="zh-CN"/>
        </w:rPr>
        <w:t>对此，本次修订针对有能力分红但长期不分红或者分红比例偏低的公司加强监管约束，重在提示投资者关注该类公司现金分红比例偏低的风险，督促上市公司积极回报投资者。在具体指标设置上，综合考虑了公司盈利情况、未分配利润等影响上市公司分红的各种因素，并设置了合理的过渡期，预计因分红不达标被实施ST的公司数量有限。本次修订整体将有利于推动上市公司进一步提高现金分红水平。</w:t>
      </w:r>
    </w:p>
    <w:p w14:paraId="529DA645" w14:textId="24503389" w:rsidR="009437D7" w:rsidRDefault="009437D7">
      <w:pPr>
        <w:pStyle w:val="a3"/>
        <w:spacing w:before="0" w:line="600" w:lineRule="exact"/>
        <w:ind w:left="0" w:firstLineChars="200" w:firstLine="643"/>
        <w:jc w:val="both"/>
        <w:rPr>
          <w:rFonts w:eastAsia="仿宋_GB2312"/>
          <w:kern w:val="2"/>
          <w:sz w:val="32"/>
          <w:szCs w:val="32"/>
          <w:lang w:eastAsia="zh-CN"/>
        </w:rPr>
      </w:pPr>
      <w:r>
        <w:rPr>
          <w:rFonts w:eastAsia="仿宋_GB2312" w:hint="eastAsia"/>
          <w:b/>
          <w:bCs/>
          <w:kern w:val="2"/>
          <w:sz w:val="32"/>
          <w:szCs w:val="32"/>
          <w:lang w:eastAsia="zh-CN"/>
        </w:rPr>
        <w:lastRenderedPageBreak/>
        <w:t>三是退市规则修改中关于退市指标的设置和投资者保护。</w:t>
      </w:r>
      <w:r>
        <w:rPr>
          <w:rFonts w:eastAsia="仿宋_GB2312" w:hint="eastAsia"/>
          <w:kern w:val="2"/>
          <w:sz w:val="32"/>
          <w:szCs w:val="32"/>
          <w:lang w:eastAsia="zh-CN"/>
        </w:rPr>
        <w:t>当前各方</w:t>
      </w:r>
      <w:r>
        <w:rPr>
          <w:rFonts w:eastAsia="仿宋_GB2312" w:hint="eastAsia"/>
          <w:sz w:val="32"/>
          <w:szCs w:val="32"/>
          <w:lang w:eastAsia="zh-CN"/>
        </w:rPr>
        <w:t>在加大退市</w:t>
      </w:r>
      <w:r w:rsidRPr="00B137AC">
        <w:rPr>
          <w:rFonts w:eastAsia="仿宋_GB2312" w:hint="eastAsia"/>
          <w:kern w:val="2"/>
          <w:sz w:val="32"/>
          <w:szCs w:val="32"/>
          <w:lang w:eastAsia="zh-CN"/>
        </w:rPr>
        <w:t>力度上已经形成共识，对指标设置也比较关注。</w:t>
      </w:r>
      <w:r>
        <w:rPr>
          <w:rFonts w:eastAsia="仿宋_GB2312" w:hint="eastAsia"/>
          <w:kern w:val="2"/>
          <w:sz w:val="32"/>
          <w:szCs w:val="32"/>
          <w:lang w:eastAsia="zh-CN"/>
        </w:rPr>
        <w:t>本次退市规则指标设置，落实</w:t>
      </w:r>
      <w:r w:rsidRPr="00E92326">
        <w:rPr>
          <w:rFonts w:eastAsia="仿宋_GB2312" w:hint="eastAsia"/>
          <w:kern w:val="2"/>
          <w:sz w:val="32"/>
          <w:szCs w:val="32"/>
          <w:lang w:eastAsia="zh-CN"/>
        </w:rPr>
        <w:t>加大退市监管力度</w:t>
      </w:r>
      <w:r>
        <w:rPr>
          <w:rFonts w:eastAsia="仿宋_GB2312" w:hint="eastAsia"/>
          <w:kern w:val="2"/>
          <w:sz w:val="32"/>
          <w:szCs w:val="32"/>
          <w:lang w:eastAsia="zh-CN"/>
        </w:rPr>
        <w:t>，</w:t>
      </w:r>
      <w:r w:rsidRPr="00E92326">
        <w:rPr>
          <w:rFonts w:eastAsia="仿宋_GB2312" w:hint="eastAsia"/>
          <w:kern w:val="2"/>
          <w:sz w:val="32"/>
          <w:szCs w:val="32"/>
          <w:lang w:eastAsia="zh-CN"/>
        </w:rPr>
        <w:t>突出上市公司投资价值</w:t>
      </w:r>
      <w:r>
        <w:rPr>
          <w:rFonts w:eastAsia="仿宋_GB2312" w:hint="eastAsia"/>
          <w:kern w:val="2"/>
          <w:sz w:val="32"/>
          <w:szCs w:val="32"/>
          <w:lang w:eastAsia="zh-CN"/>
        </w:rPr>
        <w:t>，同时也综合考虑了市场情况、板块差异及市场承受能力，设置了合理的过渡期，有利于精准出清</w:t>
      </w:r>
      <w:r w:rsidR="00DD2C19">
        <w:rPr>
          <w:rFonts w:eastAsia="仿宋_GB2312" w:hint="eastAsia"/>
          <w:kern w:val="2"/>
          <w:sz w:val="32"/>
          <w:szCs w:val="32"/>
          <w:lang w:eastAsia="zh-CN"/>
        </w:rPr>
        <w:t>、</w:t>
      </w:r>
      <w:r>
        <w:rPr>
          <w:rFonts w:eastAsia="仿宋_GB2312" w:hint="eastAsia"/>
          <w:kern w:val="2"/>
          <w:sz w:val="32"/>
          <w:szCs w:val="32"/>
          <w:lang w:eastAsia="zh-CN"/>
        </w:rPr>
        <w:t>稳妥推进，推动上市公司积极改善经营</w:t>
      </w:r>
      <w:r w:rsidR="00DD2C19">
        <w:rPr>
          <w:rFonts w:eastAsia="仿宋_GB2312" w:hint="eastAsia"/>
          <w:kern w:val="2"/>
          <w:sz w:val="32"/>
          <w:szCs w:val="32"/>
          <w:lang w:eastAsia="zh-CN"/>
        </w:rPr>
        <w:t>、</w:t>
      </w:r>
      <w:r>
        <w:rPr>
          <w:rFonts w:eastAsia="仿宋_GB2312" w:hint="eastAsia"/>
          <w:kern w:val="2"/>
          <w:sz w:val="32"/>
          <w:szCs w:val="32"/>
          <w:lang w:eastAsia="zh-CN"/>
        </w:rPr>
        <w:t>提高质量。后续在执行中，将</w:t>
      </w:r>
      <w:r w:rsidRPr="00E92326">
        <w:rPr>
          <w:rFonts w:eastAsia="仿宋_GB2312" w:hint="eastAsia"/>
          <w:kern w:val="2"/>
          <w:sz w:val="32"/>
          <w:szCs w:val="32"/>
          <w:lang w:eastAsia="zh-CN"/>
        </w:rPr>
        <w:t>进一步强化退市监管</w:t>
      </w:r>
      <w:r>
        <w:rPr>
          <w:rFonts w:eastAsia="仿宋_GB2312" w:hint="eastAsia"/>
          <w:kern w:val="2"/>
          <w:sz w:val="32"/>
          <w:szCs w:val="32"/>
          <w:lang w:eastAsia="zh-CN"/>
        </w:rPr>
        <w:t>，</w:t>
      </w:r>
      <w:r w:rsidRPr="00E92326">
        <w:rPr>
          <w:rFonts w:eastAsia="仿宋_GB2312" w:hint="eastAsia"/>
          <w:kern w:val="2"/>
          <w:sz w:val="32"/>
          <w:szCs w:val="32"/>
          <w:lang w:eastAsia="zh-CN"/>
        </w:rPr>
        <w:t>持续推动投资者利益保护。</w:t>
      </w:r>
    </w:p>
    <w:p w14:paraId="5C5FC558" w14:textId="77777777" w:rsidR="002F4290" w:rsidRDefault="00000000">
      <w:pPr>
        <w:pStyle w:val="a3"/>
        <w:spacing w:before="0" w:line="600" w:lineRule="exact"/>
        <w:ind w:left="0" w:firstLineChars="200" w:firstLine="640"/>
        <w:jc w:val="both"/>
        <w:rPr>
          <w:rFonts w:eastAsia="仿宋_GB2312"/>
          <w:kern w:val="2"/>
          <w:sz w:val="32"/>
          <w:szCs w:val="32"/>
          <w:lang w:eastAsia="zh-CN"/>
        </w:rPr>
      </w:pPr>
      <w:r>
        <w:rPr>
          <w:rFonts w:eastAsia="仿宋_GB2312" w:hint="eastAsia"/>
          <w:kern w:val="2"/>
          <w:sz w:val="32"/>
          <w:szCs w:val="32"/>
          <w:lang w:eastAsia="zh-CN"/>
        </w:rPr>
        <w:t>此外，还有个别意见涉及规则理解与适用，无需修改具体条文，后续将加强宣传培训。</w:t>
      </w:r>
    </w:p>
    <w:p w14:paraId="6122AA77" w14:textId="77777777" w:rsidR="002F4290"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特此说明。</w:t>
      </w:r>
    </w:p>
    <w:sectPr w:rsidR="002F4290">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E36B6" w14:textId="77777777" w:rsidR="009420CE" w:rsidRDefault="009420CE">
      <w:r>
        <w:separator/>
      </w:r>
    </w:p>
  </w:endnote>
  <w:endnote w:type="continuationSeparator" w:id="0">
    <w:p w14:paraId="247C51C0" w14:textId="77777777" w:rsidR="009420CE" w:rsidRDefault="0094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041710976"/>
    </w:sdtPr>
    <w:sdtContent>
      <w:p w14:paraId="58CB1B16" w14:textId="77777777" w:rsidR="002F4290" w:rsidRDefault="00000000">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7</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6F16D" w14:textId="77777777" w:rsidR="009420CE" w:rsidRDefault="009420CE">
      <w:r>
        <w:separator/>
      </w:r>
    </w:p>
  </w:footnote>
  <w:footnote w:type="continuationSeparator" w:id="0">
    <w:p w14:paraId="53E09CBB" w14:textId="77777777" w:rsidR="009420CE" w:rsidRDefault="0094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C863" w14:textId="77777777" w:rsidR="002F4290" w:rsidRDefault="002F4290">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YyNDcxMTIzYzg3MmI4OGU4M2EwNzlhMTdiMDM0MTYifQ=="/>
  </w:docVars>
  <w:rsids>
    <w:rsidRoot w:val="00F11952"/>
    <w:rsid w:val="BF27BAF9"/>
    <w:rsid w:val="BFFE5A4B"/>
    <w:rsid w:val="DE5D1C20"/>
    <w:rsid w:val="F7F9A995"/>
    <w:rsid w:val="FD7B446C"/>
    <w:rsid w:val="FFEE9FDE"/>
    <w:rsid w:val="000037D4"/>
    <w:rsid w:val="00014E1A"/>
    <w:rsid w:val="0002002A"/>
    <w:rsid w:val="00042CD2"/>
    <w:rsid w:val="000512A8"/>
    <w:rsid w:val="00064AD9"/>
    <w:rsid w:val="00067A5E"/>
    <w:rsid w:val="00072734"/>
    <w:rsid w:val="00076627"/>
    <w:rsid w:val="00082186"/>
    <w:rsid w:val="000E16C3"/>
    <w:rsid w:val="000E5D17"/>
    <w:rsid w:val="000E7153"/>
    <w:rsid w:val="000F66CA"/>
    <w:rsid w:val="00116549"/>
    <w:rsid w:val="001323AC"/>
    <w:rsid w:val="001456E9"/>
    <w:rsid w:val="00147284"/>
    <w:rsid w:val="00163F1F"/>
    <w:rsid w:val="001B765D"/>
    <w:rsid w:val="001E1C31"/>
    <w:rsid w:val="001E3A21"/>
    <w:rsid w:val="001E6B43"/>
    <w:rsid w:val="001F6C1B"/>
    <w:rsid w:val="00204AFB"/>
    <w:rsid w:val="00206BFC"/>
    <w:rsid w:val="00215015"/>
    <w:rsid w:val="00254EA0"/>
    <w:rsid w:val="002807A7"/>
    <w:rsid w:val="002A10D9"/>
    <w:rsid w:val="002A214D"/>
    <w:rsid w:val="002A5C70"/>
    <w:rsid w:val="002B07A8"/>
    <w:rsid w:val="002B513F"/>
    <w:rsid w:val="002C7883"/>
    <w:rsid w:val="002D4FE6"/>
    <w:rsid w:val="002E4263"/>
    <w:rsid w:val="002E7A65"/>
    <w:rsid w:val="002F4290"/>
    <w:rsid w:val="0030109F"/>
    <w:rsid w:val="003032EF"/>
    <w:rsid w:val="0031571B"/>
    <w:rsid w:val="003522F4"/>
    <w:rsid w:val="003701A5"/>
    <w:rsid w:val="003768D2"/>
    <w:rsid w:val="00377FE0"/>
    <w:rsid w:val="003B3814"/>
    <w:rsid w:val="003E19A2"/>
    <w:rsid w:val="003F2912"/>
    <w:rsid w:val="00413715"/>
    <w:rsid w:val="00446BCE"/>
    <w:rsid w:val="00486D04"/>
    <w:rsid w:val="004B6826"/>
    <w:rsid w:val="004D685D"/>
    <w:rsid w:val="004F6776"/>
    <w:rsid w:val="00500B90"/>
    <w:rsid w:val="0051398D"/>
    <w:rsid w:val="0053712F"/>
    <w:rsid w:val="00575652"/>
    <w:rsid w:val="00582A59"/>
    <w:rsid w:val="005A3B40"/>
    <w:rsid w:val="005E3E8E"/>
    <w:rsid w:val="0066702C"/>
    <w:rsid w:val="00672E78"/>
    <w:rsid w:val="0068762E"/>
    <w:rsid w:val="006A7A4A"/>
    <w:rsid w:val="006E4E30"/>
    <w:rsid w:val="006F0D04"/>
    <w:rsid w:val="007268E4"/>
    <w:rsid w:val="00740A20"/>
    <w:rsid w:val="00741385"/>
    <w:rsid w:val="0075785B"/>
    <w:rsid w:val="00781730"/>
    <w:rsid w:val="007A2BE2"/>
    <w:rsid w:val="007A3D20"/>
    <w:rsid w:val="007A4441"/>
    <w:rsid w:val="007A71DB"/>
    <w:rsid w:val="007B208E"/>
    <w:rsid w:val="007C322A"/>
    <w:rsid w:val="007D4829"/>
    <w:rsid w:val="007E0B74"/>
    <w:rsid w:val="007E3C5F"/>
    <w:rsid w:val="007F2D07"/>
    <w:rsid w:val="00801953"/>
    <w:rsid w:val="008068F8"/>
    <w:rsid w:val="00813912"/>
    <w:rsid w:val="008267FD"/>
    <w:rsid w:val="00826EED"/>
    <w:rsid w:val="008561D0"/>
    <w:rsid w:val="00872CCC"/>
    <w:rsid w:val="008768A0"/>
    <w:rsid w:val="008A51BC"/>
    <w:rsid w:val="008A53BC"/>
    <w:rsid w:val="008C207C"/>
    <w:rsid w:val="008C2BB4"/>
    <w:rsid w:val="008D2562"/>
    <w:rsid w:val="009420CE"/>
    <w:rsid w:val="00943425"/>
    <w:rsid w:val="009437D7"/>
    <w:rsid w:val="00952262"/>
    <w:rsid w:val="009672BD"/>
    <w:rsid w:val="009802BD"/>
    <w:rsid w:val="0098473C"/>
    <w:rsid w:val="009863AB"/>
    <w:rsid w:val="009A74A3"/>
    <w:rsid w:val="009C0AD6"/>
    <w:rsid w:val="009C51B4"/>
    <w:rsid w:val="009D0D56"/>
    <w:rsid w:val="00A12E14"/>
    <w:rsid w:val="00A13844"/>
    <w:rsid w:val="00A333D0"/>
    <w:rsid w:val="00A65D9C"/>
    <w:rsid w:val="00A85753"/>
    <w:rsid w:val="00AA7F44"/>
    <w:rsid w:val="00AF1E60"/>
    <w:rsid w:val="00B26707"/>
    <w:rsid w:val="00B27D67"/>
    <w:rsid w:val="00B417AB"/>
    <w:rsid w:val="00B5090C"/>
    <w:rsid w:val="00B5477F"/>
    <w:rsid w:val="00B57F27"/>
    <w:rsid w:val="00B81587"/>
    <w:rsid w:val="00B828FA"/>
    <w:rsid w:val="00B97D28"/>
    <w:rsid w:val="00BE620A"/>
    <w:rsid w:val="00BF4B93"/>
    <w:rsid w:val="00BF5271"/>
    <w:rsid w:val="00C06DE2"/>
    <w:rsid w:val="00C11BB5"/>
    <w:rsid w:val="00C32885"/>
    <w:rsid w:val="00C33162"/>
    <w:rsid w:val="00C4693C"/>
    <w:rsid w:val="00C518E5"/>
    <w:rsid w:val="00C552FF"/>
    <w:rsid w:val="00C61818"/>
    <w:rsid w:val="00C7287A"/>
    <w:rsid w:val="00C72B9B"/>
    <w:rsid w:val="00C770E2"/>
    <w:rsid w:val="00C77299"/>
    <w:rsid w:val="00C77F69"/>
    <w:rsid w:val="00C90093"/>
    <w:rsid w:val="00CB6086"/>
    <w:rsid w:val="00CC0BC9"/>
    <w:rsid w:val="00CD6B65"/>
    <w:rsid w:val="00CE4352"/>
    <w:rsid w:val="00D06852"/>
    <w:rsid w:val="00D173C4"/>
    <w:rsid w:val="00D37B6C"/>
    <w:rsid w:val="00D405DE"/>
    <w:rsid w:val="00D413A7"/>
    <w:rsid w:val="00D41A99"/>
    <w:rsid w:val="00D45828"/>
    <w:rsid w:val="00DA6AE6"/>
    <w:rsid w:val="00DB5E4A"/>
    <w:rsid w:val="00DD2C19"/>
    <w:rsid w:val="00DD69FB"/>
    <w:rsid w:val="00E065B0"/>
    <w:rsid w:val="00E22655"/>
    <w:rsid w:val="00E36393"/>
    <w:rsid w:val="00E40E61"/>
    <w:rsid w:val="00E42180"/>
    <w:rsid w:val="00E467ED"/>
    <w:rsid w:val="00E5118E"/>
    <w:rsid w:val="00E70CA2"/>
    <w:rsid w:val="00F11952"/>
    <w:rsid w:val="00F52C60"/>
    <w:rsid w:val="00F52F03"/>
    <w:rsid w:val="00F624B0"/>
    <w:rsid w:val="00F90833"/>
    <w:rsid w:val="00FB118D"/>
    <w:rsid w:val="00FB15FB"/>
    <w:rsid w:val="00FB1654"/>
    <w:rsid w:val="00FE738B"/>
    <w:rsid w:val="03644496"/>
    <w:rsid w:val="043446F7"/>
    <w:rsid w:val="05386575"/>
    <w:rsid w:val="05DD2037"/>
    <w:rsid w:val="0BDA11FD"/>
    <w:rsid w:val="0CBE02A6"/>
    <w:rsid w:val="0E250E55"/>
    <w:rsid w:val="0E7819CB"/>
    <w:rsid w:val="0F70015A"/>
    <w:rsid w:val="0FAA0104"/>
    <w:rsid w:val="1313192A"/>
    <w:rsid w:val="153D5EE7"/>
    <w:rsid w:val="15E911F4"/>
    <w:rsid w:val="16734F81"/>
    <w:rsid w:val="16792CD3"/>
    <w:rsid w:val="17A3220B"/>
    <w:rsid w:val="18730A0F"/>
    <w:rsid w:val="19441930"/>
    <w:rsid w:val="1B724FAE"/>
    <w:rsid w:val="1ED95766"/>
    <w:rsid w:val="1F9A119E"/>
    <w:rsid w:val="20C97084"/>
    <w:rsid w:val="221E4B6A"/>
    <w:rsid w:val="22FE79F9"/>
    <w:rsid w:val="244D34BD"/>
    <w:rsid w:val="2624589B"/>
    <w:rsid w:val="26B70C01"/>
    <w:rsid w:val="27A411BD"/>
    <w:rsid w:val="27D31000"/>
    <w:rsid w:val="2B2909E9"/>
    <w:rsid w:val="2B874C0D"/>
    <w:rsid w:val="2D3F7506"/>
    <w:rsid w:val="2E904FC2"/>
    <w:rsid w:val="304363F8"/>
    <w:rsid w:val="342B3C28"/>
    <w:rsid w:val="34B62050"/>
    <w:rsid w:val="351147E2"/>
    <w:rsid w:val="37D03331"/>
    <w:rsid w:val="3CB7B054"/>
    <w:rsid w:val="3D340CB0"/>
    <w:rsid w:val="3E0F7248"/>
    <w:rsid w:val="3EF901D1"/>
    <w:rsid w:val="3F493790"/>
    <w:rsid w:val="3FAE68E4"/>
    <w:rsid w:val="430B0D50"/>
    <w:rsid w:val="43476B9D"/>
    <w:rsid w:val="43AC4E44"/>
    <w:rsid w:val="44EC19B1"/>
    <w:rsid w:val="46335C51"/>
    <w:rsid w:val="467307C8"/>
    <w:rsid w:val="48351250"/>
    <w:rsid w:val="48C61054"/>
    <w:rsid w:val="4C5E6D05"/>
    <w:rsid w:val="4CEC7B16"/>
    <w:rsid w:val="503B6B6A"/>
    <w:rsid w:val="503E569B"/>
    <w:rsid w:val="50500EED"/>
    <w:rsid w:val="506762F6"/>
    <w:rsid w:val="52207593"/>
    <w:rsid w:val="52470D8A"/>
    <w:rsid w:val="55C0633B"/>
    <w:rsid w:val="587679B8"/>
    <w:rsid w:val="59D946F2"/>
    <w:rsid w:val="5D4C4156"/>
    <w:rsid w:val="5EB10EE5"/>
    <w:rsid w:val="60D201D9"/>
    <w:rsid w:val="61BA70F6"/>
    <w:rsid w:val="62BF7795"/>
    <w:rsid w:val="6561087E"/>
    <w:rsid w:val="66555272"/>
    <w:rsid w:val="6996310E"/>
    <w:rsid w:val="69E97F1A"/>
    <w:rsid w:val="6BE64937"/>
    <w:rsid w:val="6E6963CF"/>
    <w:rsid w:val="724B6951"/>
    <w:rsid w:val="730F6308"/>
    <w:rsid w:val="74FC0CE6"/>
    <w:rsid w:val="762C68DA"/>
    <w:rsid w:val="76691F2A"/>
    <w:rsid w:val="76CA71FA"/>
    <w:rsid w:val="77204A34"/>
    <w:rsid w:val="7AA754A2"/>
    <w:rsid w:val="7ABF602E"/>
    <w:rsid w:val="7BF72A8E"/>
    <w:rsid w:val="7C1F0F18"/>
    <w:rsid w:val="7D93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21F2C"/>
  <w15:docId w15:val="{E743F7A7-0280-4C2F-8E59-3EB52554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88"/>
      <w:ind w:left="120"/>
      <w:jc w:val="left"/>
    </w:pPr>
    <w:rPr>
      <w:rFonts w:ascii="仿宋_GB2312" w:hAnsi="仿宋_GB2312"/>
      <w:kern w:val="0"/>
      <w:lang w:eastAsia="en-US"/>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uiPriority w:val="99"/>
    <w:unhideWhenUsed/>
    <w:qFormat/>
    <w:pPr>
      <w:snapToGrid w:val="0"/>
      <w:jc w:val="left"/>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rPr>
  </w:style>
  <w:style w:type="paragraph" w:styleId="ab">
    <w:name w:val="List Paragraph"/>
    <w:basedOn w:val="a"/>
    <w:uiPriority w:val="34"/>
    <w:qFormat/>
    <w:pPr>
      <w:ind w:firstLineChars="200" w:firstLine="420"/>
    </w:pPr>
  </w:style>
  <w:style w:type="paragraph" w:customStyle="1" w:styleId="Style3">
    <w:name w:val="_Style 3"/>
    <w:basedOn w:val="a"/>
    <w:qFormat/>
    <w:pPr>
      <w:ind w:firstLineChars="200" w:firstLine="420"/>
    </w:pPr>
    <w:rPr>
      <w:rFonts w:ascii="Times New Roman" w:eastAsia="宋体" w:hAnsi="Times New Roman" w:cs="Times New Roman"/>
    </w:rPr>
  </w:style>
  <w:style w:type="paragraph" w:customStyle="1" w:styleId="1">
    <w:name w:val="修订1"/>
    <w:hidden/>
    <w:uiPriority w:val="99"/>
    <w:unhideWhenUsed/>
    <w:qFormat/>
    <w:rPr>
      <w:kern w:val="2"/>
      <w:sz w:val="21"/>
      <w:szCs w:val="22"/>
    </w:rPr>
  </w:style>
  <w:style w:type="paragraph" w:styleId="ac">
    <w:name w:val="Revision"/>
    <w:hidden/>
    <w:uiPriority w:val="99"/>
    <w:unhideWhenUsed/>
    <w:rsid w:val="009437D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600</Words>
  <Characters>3420</Characters>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2024-03-28T08:51:00Z</cp:lastPrinted>
  <dcterms:created xsi:type="dcterms:W3CDTF">2024-04-29T11:01:00Z</dcterms:created>
  <dcterms:modified xsi:type="dcterms:W3CDTF">2024-04-30T08:04:00Z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A5B9B1DA2CEC4B7780C3CA2688AF0BC1_13</vt:lpwstr>
  </property>
</Properties>
</file>