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5D35A" w14:textId="77777777" w:rsidR="00674F3E" w:rsidRDefault="00C45190">
      <w:pPr>
        <w:pStyle w:val="2"/>
        <w:widowControl/>
        <w:shd w:val="clear" w:color="auto" w:fill="FFFFFF"/>
        <w:spacing w:beforeAutospacing="0" w:afterAutospacing="0" w:line="600" w:lineRule="atLeast"/>
        <w:jc w:val="center"/>
        <w:rPr>
          <w:rFonts w:ascii="黑体" w:eastAsia="黑体" w:hAnsi="黑体" w:cs="黑体" w:hint="default"/>
          <w:b w:val="0"/>
          <w:sz w:val="40"/>
          <w:szCs w:val="40"/>
        </w:rPr>
      </w:pPr>
      <w:r>
        <w:rPr>
          <w:rFonts w:ascii="黑体" w:eastAsia="黑体" w:hAnsi="黑体" w:cs="黑体"/>
          <w:b w:val="0"/>
          <w:sz w:val="40"/>
          <w:szCs w:val="40"/>
          <w:shd w:val="clear" w:color="auto" w:fill="FFFFFF"/>
        </w:rPr>
        <w:t>第六号</w:t>
      </w:r>
      <w:r>
        <w:rPr>
          <w:rFonts w:ascii="黑体" w:eastAsia="黑体" w:hAnsi="黑体" w:cs="黑体" w:hint="default"/>
          <w:b w:val="0"/>
          <w:sz w:val="40"/>
          <w:szCs w:val="40"/>
          <w:shd w:val="clear" w:color="auto" w:fill="FFFFFF"/>
        </w:rPr>
        <w:t xml:space="preserve"> </w:t>
      </w:r>
      <w:r>
        <w:rPr>
          <w:rFonts w:ascii="黑体" w:eastAsia="黑体" w:hAnsi="黑体" w:cs="黑体"/>
          <w:b w:val="0"/>
          <w:sz w:val="40"/>
          <w:szCs w:val="40"/>
          <w:shd w:val="clear" w:color="auto" w:fill="FFFFFF"/>
        </w:rPr>
        <w:t>定期报告</w:t>
      </w:r>
    </w:p>
    <w:p w14:paraId="0FB9F213" w14:textId="77777777" w:rsidR="00674F3E" w:rsidRDefault="00C45190">
      <w:pPr>
        <w:pStyle w:val="ab"/>
        <w:widowControl/>
        <w:spacing w:beforeAutospacing="0" w:after="120" w:afterAutospacing="0" w:line="269" w:lineRule="atLeast"/>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 xml:space="preserve">　　</w:t>
      </w:r>
    </w:p>
    <w:p w14:paraId="6B88763A" w14:textId="77777777" w:rsidR="00674F3E" w:rsidRDefault="00C45190">
      <w:pPr>
        <w:pStyle w:val="ab"/>
        <w:widowControl/>
        <w:spacing w:beforeAutospacing="0" w:afterAutospacing="0" w:line="600" w:lineRule="exact"/>
        <w:ind w:firstLineChars="200" w:firstLine="560"/>
        <w:jc w:val="both"/>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为方便上海证券交易所（以下简称本所）上市公司编制和披露定期报告，推动上市公司进一步提高定期报告信息披露质量，本所根据《证券法》、中国证监会及本所相关规定，制定本指南。本指南归纳了定期报告的编制与披露业务要求，涵盖了与定期报告密切相关的重要业务，包括业绩预告、业绩快报、定期报告相关重要事项、定期报告的编写格式和报送文件等，供上市公司在办理定期报告业务中参考使用，以提高上市公司定期报告信息披露质量和规范运作水平。</w:t>
      </w:r>
    </w:p>
    <w:p w14:paraId="6D2C792B" w14:textId="77777777" w:rsidR="00674F3E" w:rsidRDefault="00C45190">
      <w:pPr>
        <w:pStyle w:val="ab"/>
        <w:widowControl/>
        <w:spacing w:beforeAutospacing="0" w:afterAutospacing="0" w:line="600" w:lineRule="exact"/>
        <w:ind w:firstLineChars="200" w:firstLine="560"/>
        <w:jc w:val="both"/>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本指南旨在为上市公司编制和披露定期报告的一般做法提供指引。上市公司在编制和披露定期报告时，应当以各类现行有效的法律、法规、业务规则和其他规范性文件为最终依据。如果对本业务指南相关事项有疑问，请及时向本所上市公司管理部门进行咨询。</w:t>
      </w:r>
    </w:p>
    <w:p w14:paraId="5E314840" w14:textId="77777777" w:rsidR="00674F3E" w:rsidRDefault="00C45190">
      <w:pPr>
        <w:pStyle w:val="ab"/>
        <w:widowControl/>
        <w:spacing w:beforeAutospacing="0" w:afterAutospacing="0" w:line="600" w:lineRule="exact"/>
        <w:jc w:val="center"/>
        <w:rPr>
          <w:rFonts w:ascii="仿宋_GB2312" w:eastAsia="仿宋_GB2312" w:hAnsi="仿宋_GB2312" w:cs="仿宋_GB2312"/>
          <w:sz w:val="28"/>
          <w:szCs w:val="28"/>
        </w:rPr>
      </w:pPr>
      <w:r>
        <w:rPr>
          <w:rStyle w:val="ae"/>
          <w:rFonts w:ascii="仿宋_GB2312" w:eastAsia="仿宋_GB2312" w:hAnsi="仿宋_GB2312" w:cs="仿宋_GB2312" w:hint="eastAsia"/>
          <w:bCs/>
          <w:sz w:val="28"/>
          <w:szCs w:val="28"/>
          <w:shd w:val="clear" w:color="auto" w:fill="FFFFFF"/>
        </w:rPr>
        <w:t>第一节 业绩预告、业绩快报及其更正</w:t>
      </w:r>
    </w:p>
    <w:p w14:paraId="23ADB32B" w14:textId="77777777" w:rsidR="00674F3E" w:rsidRDefault="00C45190">
      <w:pPr>
        <w:pStyle w:val="ab"/>
        <w:widowControl/>
        <w:spacing w:beforeAutospacing="0" w:afterAutospacing="0" w:line="600" w:lineRule="exact"/>
        <w:ind w:firstLineChars="200" w:firstLine="560"/>
        <w:jc w:val="both"/>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业绩情况是投资者关注的重要信息。每年有不少上市公司未能在定期报告前及时、准确地披露业绩预告、业绩快报，不仅影响投资者及时获取公司业绩信息，甚至可能违反《上海证券交易所股票上市规则》（以下简称《股票上市规则》）等规定。本节总结上市公司披露实践的一般做法，为上市公司及时、准确、规范地发布业绩预告、业绩快报，以及有效地提示相关风险等提供指南。</w:t>
      </w:r>
    </w:p>
    <w:p w14:paraId="59BF2C05" w14:textId="77777777" w:rsidR="00674F3E" w:rsidRDefault="00C45190">
      <w:pPr>
        <w:pStyle w:val="ab"/>
        <w:widowControl/>
        <w:spacing w:beforeAutospacing="0" w:afterAutospacing="0" w:line="600" w:lineRule="exact"/>
        <w:ind w:firstLine="570"/>
        <w:rPr>
          <w:rStyle w:val="ae"/>
          <w:rFonts w:ascii="仿宋_GB2312" w:eastAsia="仿宋_GB2312" w:hAnsi="仿宋_GB2312" w:cs="仿宋_GB2312"/>
          <w:bCs/>
          <w:kern w:val="2"/>
          <w:sz w:val="28"/>
          <w:szCs w:val="28"/>
          <w:shd w:val="clear" w:color="auto" w:fill="FFFFFF"/>
        </w:rPr>
      </w:pPr>
      <w:r>
        <w:rPr>
          <w:rStyle w:val="ae"/>
          <w:rFonts w:ascii="仿宋_GB2312" w:eastAsia="仿宋_GB2312" w:hAnsi="仿宋_GB2312" w:cs="仿宋_GB2312" w:hint="eastAsia"/>
          <w:bCs/>
          <w:sz w:val="28"/>
          <w:szCs w:val="28"/>
          <w:shd w:val="clear" w:color="auto" w:fill="FFFFFF"/>
        </w:rPr>
        <w:t>一、业绩预告的披露</w:t>
      </w:r>
    </w:p>
    <w:p w14:paraId="1608ACE3" w14:textId="77777777" w:rsidR="00674F3E" w:rsidRDefault="00C45190">
      <w:pPr>
        <w:pStyle w:val="ab"/>
        <w:widowControl/>
        <w:spacing w:beforeAutospacing="0" w:afterAutospacing="0" w:line="600" w:lineRule="exact"/>
        <w:ind w:firstLineChars="200" w:firstLine="560"/>
        <w:jc w:val="both"/>
        <w:rPr>
          <w:rFonts w:ascii="仿宋_GB2312" w:eastAsia="仿宋_GB2312" w:hAnsi="仿宋_GB2312" w:cs="仿宋_GB2312"/>
          <w:sz w:val="28"/>
          <w:szCs w:val="28"/>
          <w:shd w:val="clear" w:color="auto" w:fill="FFFFFF"/>
        </w:rPr>
      </w:pPr>
      <w:r>
        <w:rPr>
          <w:rFonts w:ascii="仿宋_GB2312" w:eastAsia="仿宋_GB2312" w:hAnsi="仿宋_GB2312" w:cs="仿宋_GB2312"/>
          <w:sz w:val="28"/>
          <w:szCs w:val="28"/>
          <w:shd w:val="clear" w:color="auto" w:fill="FFFFFF"/>
        </w:rPr>
        <w:lastRenderedPageBreak/>
        <w:t>1.业绩预告的披露时限。《股票上市规则》规定，上市公司预计全年可能出现亏损、扭亏为盈、</w:t>
      </w:r>
      <w:r>
        <w:rPr>
          <w:rFonts w:ascii="仿宋_GB2312" w:eastAsia="仿宋_GB2312" w:hAnsi="仿宋_GB2312" w:cs="仿宋_GB2312" w:hint="eastAsia"/>
          <w:sz w:val="28"/>
          <w:szCs w:val="28"/>
          <w:shd w:val="clear" w:color="auto" w:fill="FFFFFF"/>
        </w:rPr>
        <w:t>实现盈利，且净利润与上年同期相比上升或者下降</w:t>
      </w:r>
      <w:r>
        <w:rPr>
          <w:rFonts w:ascii="仿宋_GB2312" w:eastAsia="仿宋_GB2312" w:hAnsi="仿宋_GB2312" w:cs="仿宋_GB2312"/>
          <w:sz w:val="28"/>
          <w:szCs w:val="28"/>
          <w:shd w:val="clear" w:color="auto" w:fill="FFFFFF"/>
        </w:rPr>
        <w:t>50%以上</w:t>
      </w:r>
      <w:r>
        <w:rPr>
          <w:rFonts w:ascii="仿宋_GB2312" w:eastAsia="仿宋_GB2312" w:hAnsi="仿宋_GB2312" w:cs="仿宋_GB2312" w:hint="eastAsia"/>
          <w:sz w:val="28"/>
          <w:szCs w:val="28"/>
          <w:shd w:val="clear" w:color="auto" w:fill="FFFFFF"/>
        </w:rPr>
        <w:t>、扣除非经常性损益前后的净利润孰低者为负值，且扣除与主营业务无关的业务收入和不具备商业实质的收入后的营业收入低于</w:t>
      </w:r>
      <w:r>
        <w:rPr>
          <w:rFonts w:ascii="仿宋_GB2312" w:eastAsia="仿宋_GB2312" w:hAnsi="仿宋_GB2312" w:cs="仿宋_GB2312"/>
          <w:sz w:val="28"/>
          <w:szCs w:val="28"/>
          <w:shd w:val="clear" w:color="auto" w:fill="FFFFFF"/>
        </w:rPr>
        <w:t>1亿元</w:t>
      </w:r>
      <w:r>
        <w:rPr>
          <w:rFonts w:ascii="仿宋_GB2312" w:eastAsia="仿宋_GB2312" w:hAnsi="仿宋_GB2312" w:cs="仿宋_GB2312" w:hint="eastAsia"/>
          <w:sz w:val="28"/>
          <w:szCs w:val="28"/>
          <w:shd w:val="clear" w:color="auto" w:fill="FFFFFF"/>
        </w:rPr>
        <w:t>、期末净资产为负值等五类情形之一的，</w:t>
      </w:r>
      <w:r>
        <w:rPr>
          <w:rFonts w:ascii="仿宋_GB2312" w:eastAsia="仿宋_GB2312" w:hAnsi="仿宋_GB2312" w:cs="仿宋_GB2312"/>
          <w:sz w:val="28"/>
          <w:szCs w:val="28"/>
          <w:shd w:val="clear" w:color="auto" w:fill="FFFFFF"/>
        </w:rPr>
        <w:t>应当在当期会计年度结束后一个月内（即1月31日前）披露业绩预告</w:t>
      </w:r>
      <w:r>
        <w:rPr>
          <w:rFonts w:ascii="仿宋_GB2312" w:eastAsia="仿宋_GB2312" w:hAnsi="仿宋_GB2312" w:cs="仿宋_GB2312" w:hint="eastAsia"/>
          <w:sz w:val="28"/>
          <w:szCs w:val="28"/>
          <w:shd w:val="clear" w:color="auto" w:fill="FFFFFF"/>
        </w:rPr>
        <w:t>。</w:t>
      </w:r>
      <w:r>
        <w:rPr>
          <w:rFonts w:ascii="仿宋_GB2312" w:eastAsia="仿宋_GB2312" w:hAnsi="仿宋_GB2312" w:cs="仿宋_GB2312"/>
          <w:sz w:val="28"/>
          <w:szCs w:val="28"/>
          <w:shd w:val="clear" w:color="auto" w:fill="FFFFFF"/>
        </w:rPr>
        <w:t>公司预计半年度经营业绩将出现</w:t>
      </w:r>
      <w:r>
        <w:rPr>
          <w:rFonts w:ascii="仿宋_GB2312" w:eastAsia="仿宋_GB2312" w:hAnsi="仿宋_GB2312" w:cs="仿宋_GB2312" w:hint="eastAsia"/>
          <w:sz w:val="28"/>
          <w:szCs w:val="28"/>
          <w:shd w:val="clear" w:color="auto" w:fill="FFFFFF"/>
        </w:rPr>
        <w:t>前三项情形</w:t>
      </w:r>
      <w:r>
        <w:rPr>
          <w:rFonts w:ascii="仿宋_GB2312" w:eastAsia="仿宋_GB2312" w:hAnsi="仿宋_GB2312" w:cs="仿宋_GB2312"/>
          <w:sz w:val="28"/>
          <w:szCs w:val="28"/>
          <w:shd w:val="clear" w:color="auto" w:fill="FFFFFF"/>
        </w:rPr>
        <w:t>之一的，应当在半年度结束之日起15日内进行预告</w:t>
      </w:r>
      <w:r>
        <w:rPr>
          <w:rFonts w:ascii="仿宋_GB2312" w:eastAsia="仿宋_GB2312" w:hAnsi="仿宋_GB2312" w:cs="仿宋_GB2312" w:hint="eastAsia"/>
          <w:sz w:val="28"/>
          <w:szCs w:val="28"/>
          <w:shd w:val="clear" w:color="auto" w:fill="FFFFFF"/>
        </w:rPr>
        <w:t>。</w:t>
      </w:r>
      <w:r>
        <w:rPr>
          <w:rFonts w:ascii="仿宋_GB2312" w:eastAsia="仿宋_GB2312" w:hAnsi="仿宋_GB2312" w:cs="仿宋_GB2312"/>
          <w:sz w:val="28"/>
          <w:szCs w:val="28"/>
          <w:shd w:val="clear" w:color="auto" w:fill="FFFFFF"/>
        </w:rPr>
        <w:t>按照《股票上市规则》第5.1.2条规定属于豁免情形的除外。上述规定的预告期限届满后，公司发现存在上述情形的，也需要在第一时间作出预告。</w:t>
      </w:r>
    </w:p>
    <w:p w14:paraId="65DD379C" w14:textId="77777777" w:rsidR="00674F3E" w:rsidRDefault="00C45190">
      <w:pPr>
        <w:pStyle w:val="ab"/>
        <w:widowControl/>
        <w:spacing w:beforeAutospacing="0" w:afterAutospacing="0" w:line="600" w:lineRule="exact"/>
        <w:ind w:firstLineChars="200" w:firstLine="560"/>
        <w:jc w:val="both"/>
        <w:rPr>
          <w:rFonts w:ascii="仿宋_GB2312" w:eastAsia="仿宋_GB2312" w:hAnsi="仿宋_GB2312" w:cs="仿宋_GB2312"/>
          <w:sz w:val="28"/>
          <w:szCs w:val="28"/>
          <w:shd w:val="clear" w:color="auto" w:fill="FFFFFF"/>
        </w:rPr>
      </w:pPr>
      <w:r>
        <w:rPr>
          <w:rFonts w:ascii="仿宋_GB2312" w:eastAsia="仿宋_GB2312" w:hAnsi="仿宋_GB2312" w:cs="仿宋_GB2312"/>
          <w:sz w:val="28"/>
          <w:szCs w:val="28"/>
          <w:shd w:val="clear" w:color="auto" w:fill="FFFFFF"/>
        </w:rPr>
        <w:t>2.可能被实施</w:t>
      </w:r>
      <w:r>
        <w:rPr>
          <w:rFonts w:ascii="仿宋_GB2312" w:eastAsia="仿宋_GB2312" w:hAnsi="仿宋_GB2312" w:cs="仿宋_GB2312" w:hint="eastAsia"/>
          <w:sz w:val="28"/>
          <w:szCs w:val="28"/>
          <w:shd w:val="clear" w:color="auto" w:fill="FFFFFF"/>
        </w:rPr>
        <w:t>退市</w:t>
      </w:r>
      <w:r>
        <w:rPr>
          <w:rFonts w:ascii="仿宋_GB2312" w:eastAsia="仿宋_GB2312" w:hAnsi="仿宋_GB2312" w:cs="仿宋_GB2312"/>
          <w:sz w:val="28"/>
          <w:szCs w:val="28"/>
          <w:shd w:val="clear" w:color="auto" w:fill="FFFFFF"/>
        </w:rPr>
        <w:t>风险警示公司的风险提示。《股票上市规则》第9.3.2条第（一）项至第（</w:t>
      </w:r>
      <w:r>
        <w:rPr>
          <w:rFonts w:ascii="仿宋_GB2312" w:eastAsia="仿宋_GB2312" w:hAnsi="仿宋_GB2312" w:cs="仿宋_GB2312" w:hint="eastAsia"/>
          <w:sz w:val="28"/>
          <w:szCs w:val="28"/>
          <w:shd w:val="clear" w:color="auto" w:fill="FFFFFF"/>
        </w:rPr>
        <w:t>五</w:t>
      </w:r>
      <w:r>
        <w:rPr>
          <w:rFonts w:ascii="仿宋_GB2312" w:eastAsia="仿宋_GB2312" w:hAnsi="仿宋_GB2312" w:cs="仿宋_GB2312"/>
          <w:sz w:val="28"/>
          <w:szCs w:val="28"/>
          <w:shd w:val="clear" w:color="auto" w:fill="FFFFFF"/>
        </w:rPr>
        <w:t>）项规定了股票可能被实施</w:t>
      </w:r>
      <w:r>
        <w:rPr>
          <w:rFonts w:ascii="仿宋_GB2312" w:eastAsia="仿宋_GB2312" w:hAnsi="仿宋_GB2312" w:cs="仿宋_GB2312" w:hint="eastAsia"/>
          <w:sz w:val="28"/>
          <w:szCs w:val="28"/>
          <w:shd w:val="clear" w:color="auto" w:fill="FFFFFF"/>
        </w:rPr>
        <w:t>退市</w:t>
      </w:r>
      <w:r>
        <w:rPr>
          <w:rFonts w:ascii="仿宋_GB2312" w:eastAsia="仿宋_GB2312" w:hAnsi="仿宋_GB2312" w:cs="仿宋_GB2312"/>
          <w:sz w:val="28"/>
          <w:szCs w:val="28"/>
          <w:shd w:val="clear" w:color="auto" w:fill="FFFFFF"/>
        </w:rPr>
        <w:t>风险警示的</w:t>
      </w:r>
      <w:r>
        <w:rPr>
          <w:rFonts w:ascii="仿宋_GB2312" w:eastAsia="仿宋_GB2312" w:hAnsi="仿宋_GB2312" w:cs="仿宋_GB2312" w:hint="eastAsia"/>
          <w:sz w:val="28"/>
          <w:szCs w:val="28"/>
          <w:shd w:val="clear" w:color="auto" w:fill="FFFFFF"/>
        </w:rPr>
        <w:t>5</w:t>
      </w:r>
      <w:r>
        <w:rPr>
          <w:rFonts w:ascii="仿宋_GB2312" w:eastAsia="仿宋_GB2312" w:hAnsi="仿宋_GB2312" w:cs="仿宋_GB2312"/>
          <w:sz w:val="28"/>
          <w:szCs w:val="28"/>
          <w:shd w:val="clear" w:color="auto" w:fill="FFFFFF"/>
        </w:rPr>
        <w:t>种情形，包括</w:t>
      </w:r>
      <w:r>
        <w:rPr>
          <w:rFonts w:ascii="仿宋_GB2312" w:eastAsia="仿宋_GB2312" w:hAnsi="仿宋_GB2312" w:cs="仿宋_GB2312" w:hint="eastAsia"/>
          <w:sz w:val="28"/>
          <w:szCs w:val="28"/>
          <w:shd w:val="clear" w:color="auto" w:fill="FFFFFF"/>
        </w:rPr>
        <w:t>扣非前后亏损且营业收入低于人民币</w:t>
      </w:r>
      <w:r>
        <w:rPr>
          <w:rFonts w:ascii="仿宋_GB2312" w:eastAsia="仿宋_GB2312" w:hAnsi="仿宋_GB2312" w:cs="仿宋_GB2312"/>
          <w:sz w:val="28"/>
          <w:szCs w:val="28"/>
          <w:shd w:val="clear" w:color="auto" w:fill="FFFFFF"/>
        </w:rPr>
        <w:t>1亿元、期末净资产为负值、被出具无法表示意见或否定意见的审计报告</w:t>
      </w:r>
      <w:r>
        <w:rPr>
          <w:rFonts w:ascii="仿宋_GB2312" w:eastAsia="仿宋_GB2312" w:hAnsi="仿宋_GB2312" w:cs="仿宋_GB2312" w:hint="eastAsia"/>
          <w:sz w:val="28"/>
          <w:szCs w:val="28"/>
          <w:shd w:val="clear" w:color="auto" w:fill="FFFFFF"/>
        </w:rPr>
        <w:t>、中国证监会行政处罚决定书表明公司已披露的最近一个会计年度经审计的年度报告存在虚假记载、误导性陈述或者重大遗漏等导致触及财务类强制退市情形</w:t>
      </w:r>
      <w:r>
        <w:rPr>
          <w:rFonts w:ascii="仿宋_GB2312" w:eastAsia="仿宋_GB2312" w:hAnsi="仿宋_GB2312" w:cs="仿宋_GB2312"/>
          <w:sz w:val="28"/>
          <w:szCs w:val="28"/>
          <w:shd w:val="clear" w:color="auto" w:fill="FFFFFF"/>
        </w:rPr>
        <w:t>。上市公司预计将</w:t>
      </w:r>
      <w:r>
        <w:rPr>
          <w:rFonts w:ascii="仿宋_GB2312" w:eastAsia="仿宋_GB2312" w:hAnsi="仿宋_GB2312" w:cs="仿宋_GB2312" w:hint="eastAsia"/>
          <w:sz w:val="28"/>
          <w:szCs w:val="28"/>
          <w:shd w:val="clear" w:color="auto" w:fill="FFFFFF"/>
        </w:rPr>
        <w:t>出现上述情形</w:t>
      </w:r>
      <w:r>
        <w:rPr>
          <w:rFonts w:ascii="仿宋_GB2312" w:eastAsia="仿宋_GB2312" w:hAnsi="仿宋_GB2312" w:cs="仿宋_GB2312"/>
          <w:sz w:val="28"/>
          <w:szCs w:val="28"/>
          <w:shd w:val="clear" w:color="auto" w:fill="FFFFFF"/>
        </w:rPr>
        <w:t>之一的，按照《股票上市规则》规定，应当在相应的会计年度结束后一个月内发布股票可能被实施退</w:t>
      </w:r>
      <w:r>
        <w:rPr>
          <w:rFonts w:ascii="仿宋_GB2312" w:eastAsia="仿宋_GB2312" w:hAnsi="仿宋_GB2312" w:cs="仿宋_GB2312" w:hint="eastAsia"/>
          <w:sz w:val="28"/>
          <w:szCs w:val="28"/>
          <w:shd w:val="clear" w:color="auto" w:fill="FFFFFF"/>
        </w:rPr>
        <w:t>市风险警示的风险提示公告，</w:t>
      </w:r>
      <w:r>
        <w:rPr>
          <w:rFonts w:ascii="仿宋_GB2312" w:eastAsia="仿宋_GB2312" w:hAnsi="仿宋_GB2312" w:cs="仿宋_GB2312"/>
          <w:sz w:val="28"/>
          <w:szCs w:val="28"/>
          <w:shd w:val="clear" w:color="auto" w:fill="FFFFFF"/>
        </w:rPr>
        <w:t>预告全年营业收入、扣除与主营业务无关的业务收入和不具备商业实质的收入后的营业收入、净利润、扣除非经常性损益后的净利润和期末净资产</w:t>
      </w:r>
      <w:r>
        <w:rPr>
          <w:rFonts w:ascii="仿宋_GB2312" w:eastAsia="仿宋_GB2312" w:hAnsi="仿宋_GB2312" w:cs="仿宋_GB2312" w:hint="eastAsia"/>
          <w:sz w:val="28"/>
          <w:szCs w:val="28"/>
          <w:shd w:val="clear" w:color="auto" w:fill="FFFFFF"/>
        </w:rPr>
        <w:t>，并在披露年度报告前至少再发布两次风险提示公告。公司预计因追溯重述导致可能触发财务指标退市情形</w:t>
      </w:r>
      <w:r>
        <w:rPr>
          <w:rFonts w:ascii="仿宋_GB2312" w:eastAsia="仿宋_GB2312" w:hAnsi="仿宋_GB2312" w:cs="仿宋_GB2312"/>
          <w:sz w:val="28"/>
          <w:szCs w:val="28"/>
          <w:shd w:val="clear" w:color="auto" w:fill="FFFFFF"/>
        </w:rPr>
        <w:t>，或者</w:t>
      </w:r>
      <w:r>
        <w:rPr>
          <w:rFonts w:ascii="仿宋_GB2312" w:eastAsia="仿宋_GB2312" w:hAnsi="仿宋_GB2312" w:cs="仿宋_GB2312" w:hint="eastAsia"/>
          <w:sz w:val="28"/>
          <w:szCs w:val="28"/>
          <w:shd w:val="clear" w:color="auto" w:fill="FFFFFF"/>
        </w:rPr>
        <w:t>因被行政处罚可能出现财务指标退市情</w:t>
      </w:r>
      <w:r>
        <w:rPr>
          <w:rFonts w:ascii="仿宋_GB2312" w:eastAsia="仿宋_GB2312" w:hAnsi="仿宋_GB2312" w:cs="仿宋_GB2312" w:hint="eastAsia"/>
          <w:sz w:val="28"/>
          <w:szCs w:val="28"/>
          <w:shd w:val="clear" w:color="auto" w:fill="FFFFFF"/>
        </w:rPr>
        <w:lastRenderedPageBreak/>
        <w:t>形的</w:t>
      </w:r>
      <w:r>
        <w:rPr>
          <w:rFonts w:ascii="仿宋_GB2312" w:eastAsia="仿宋_GB2312" w:hAnsi="仿宋_GB2312" w:cs="仿宋_GB2312"/>
          <w:sz w:val="28"/>
          <w:szCs w:val="28"/>
          <w:shd w:val="clear" w:color="auto" w:fill="FFFFFF"/>
        </w:rPr>
        <w:t>，应当在知悉相关风险情况时，及时发布股票可能被实施退</w:t>
      </w:r>
      <w:r>
        <w:rPr>
          <w:rFonts w:ascii="仿宋_GB2312" w:eastAsia="仿宋_GB2312" w:hAnsi="仿宋_GB2312" w:cs="仿宋_GB2312" w:hint="eastAsia"/>
          <w:sz w:val="28"/>
          <w:szCs w:val="28"/>
          <w:shd w:val="clear" w:color="auto" w:fill="FFFFFF"/>
        </w:rPr>
        <w:t>市风险警示的风险提示公告。</w:t>
      </w:r>
    </w:p>
    <w:p w14:paraId="72AB4FE2" w14:textId="77777777" w:rsidR="00674F3E" w:rsidRDefault="00C45190">
      <w:pPr>
        <w:pStyle w:val="ab"/>
        <w:widowControl/>
        <w:spacing w:beforeAutospacing="0" w:afterAutospacing="0" w:line="600" w:lineRule="exact"/>
        <w:ind w:firstLineChars="200" w:firstLine="560"/>
        <w:rPr>
          <w:rFonts w:ascii="仿宋_GB2312" w:eastAsia="仿宋_GB2312" w:hAnsi="仿宋_GB2312" w:cs="仿宋_GB2312"/>
          <w:sz w:val="28"/>
          <w:szCs w:val="28"/>
          <w:shd w:val="clear" w:color="auto" w:fill="FFFFFF"/>
        </w:rPr>
      </w:pPr>
      <w:r>
        <w:rPr>
          <w:rFonts w:ascii="仿宋_GB2312" w:eastAsia="仿宋_GB2312" w:hAnsi="仿宋_GB2312" w:cs="仿宋_GB2312"/>
          <w:sz w:val="28"/>
          <w:szCs w:val="28"/>
          <w:shd w:val="clear" w:color="auto" w:fill="FFFFFF"/>
        </w:rPr>
        <w:t>3.提前业绩预告。部分上市公司会在第三季度报告中提前预计全年业绩。在此情况下，公司仍需要在会计年度结束后一个月内（即1月31日前）按照《股票上市规则》的相关规定发布业绩预告。</w:t>
      </w:r>
    </w:p>
    <w:p w14:paraId="312486BD" w14:textId="77777777" w:rsidR="00674F3E" w:rsidRDefault="00C45190">
      <w:pPr>
        <w:pStyle w:val="ab"/>
        <w:widowControl/>
        <w:spacing w:beforeAutospacing="0" w:afterAutospacing="0" w:line="6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shd w:val="clear" w:color="auto" w:fill="FFFFFF"/>
        </w:rPr>
        <w:t>4.季度报告的业绩预告。上市公司可以自主决定是否在相应的报告期结束后发布业绩预告。需要注意，第一季度报告业绩预告披露时间原则上不早于前一年度年报。确有需要的，同步披露前一年度业绩快报。</w:t>
      </w:r>
    </w:p>
    <w:p w14:paraId="6151E164" w14:textId="77777777" w:rsidR="00674F3E" w:rsidRDefault="00C45190">
      <w:pPr>
        <w:pStyle w:val="ab"/>
        <w:widowControl/>
        <w:spacing w:beforeAutospacing="0" w:afterAutospacing="0" w:line="6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5.业绩预告的披露方式。业绩预告时，上市公司根据业绩预告的类型，按照本所《上海证券交易所上市公司自律监管指南第1号——公告格式》中相关格式要求进行公告。公司可以采用具体数值、增减比例、数值和比例相结合的方式披露业绩情况，保证披露信息的准确性，给投资者稳定的预期。</w:t>
      </w:r>
    </w:p>
    <w:p w14:paraId="1D40A647" w14:textId="77777777" w:rsidR="00674F3E" w:rsidRDefault="00C45190">
      <w:pPr>
        <w:pStyle w:val="ab"/>
        <w:widowControl/>
        <w:spacing w:beforeAutospacing="0" w:afterAutospacing="0" w:line="600" w:lineRule="exact"/>
        <w:ind w:firstLineChars="200" w:firstLine="560"/>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6.相关负责人的勤勉尽责。上市公司董事长、总经理、审计委员会召集人、财务负责人、董事会秘书等相关负责人，在业绩预告前就要勤勉尽责，主动关注、积极核实报告期公司业绩情况，认真、审慎地审核业绩预告公告内容并签署书面确认意见，保证业绩预告内容的真实、准确、完整。</w:t>
      </w:r>
    </w:p>
    <w:p w14:paraId="5437A950" w14:textId="77777777" w:rsidR="00674F3E" w:rsidRDefault="00C45190">
      <w:pPr>
        <w:pStyle w:val="ab"/>
        <w:widowControl/>
        <w:spacing w:beforeAutospacing="0" w:afterAutospacing="0" w:line="600" w:lineRule="exact"/>
        <w:ind w:firstLineChars="200" w:firstLine="562"/>
        <w:rPr>
          <w:rFonts w:ascii="仿宋_GB2312" w:eastAsia="仿宋_GB2312" w:hAnsi="仿宋_GB2312" w:cs="仿宋_GB2312"/>
          <w:sz w:val="28"/>
          <w:szCs w:val="28"/>
          <w:shd w:val="clear" w:color="auto" w:fill="FFFFFF"/>
        </w:rPr>
      </w:pPr>
      <w:r>
        <w:rPr>
          <w:rStyle w:val="ae"/>
          <w:rFonts w:ascii="仿宋_GB2312" w:eastAsia="仿宋_GB2312" w:hAnsi="仿宋_GB2312" w:cs="仿宋_GB2312" w:hint="eastAsia"/>
          <w:bCs/>
          <w:sz w:val="28"/>
          <w:szCs w:val="28"/>
          <w:shd w:val="clear" w:color="auto" w:fill="FFFFFF"/>
        </w:rPr>
        <w:t>二、业绩快报的披露</w:t>
      </w:r>
    </w:p>
    <w:p w14:paraId="766752C0" w14:textId="77777777" w:rsidR="00674F3E" w:rsidRDefault="00C45190">
      <w:pPr>
        <w:pStyle w:val="ab"/>
        <w:widowControl/>
        <w:spacing w:beforeAutospacing="0" w:afterAutospacing="0" w:line="600" w:lineRule="exact"/>
        <w:ind w:firstLineChars="200" w:firstLine="560"/>
        <w:rPr>
          <w:rFonts w:ascii="仿宋_GB2312" w:eastAsia="仿宋_GB2312" w:hAnsi="仿宋_GB2312" w:cs="仿宋_GB2312"/>
          <w:sz w:val="28"/>
          <w:szCs w:val="28"/>
          <w:shd w:val="clear" w:color="auto" w:fill="FFFFFF"/>
        </w:rPr>
      </w:pPr>
      <w:r>
        <w:rPr>
          <w:rFonts w:ascii="仿宋_GB2312" w:eastAsia="仿宋_GB2312" w:hAnsi="仿宋_GB2312" w:cs="仿宋_GB2312"/>
          <w:sz w:val="28"/>
          <w:szCs w:val="28"/>
          <w:shd w:val="clear" w:color="auto" w:fill="FFFFFF"/>
        </w:rPr>
        <w:t>1.</w:t>
      </w:r>
      <w:r>
        <w:rPr>
          <w:rFonts w:ascii="仿宋_GB2312" w:eastAsia="仿宋_GB2312" w:hAnsi="仿宋_GB2312" w:cs="仿宋_GB2312" w:hint="eastAsia"/>
          <w:sz w:val="28"/>
          <w:szCs w:val="28"/>
          <w:shd w:val="clear" w:color="auto" w:fill="FFFFFF"/>
        </w:rPr>
        <w:t>业绩快报披露的及时性。</w:t>
      </w:r>
      <w:r>
        <w:rPr>
          <w:rFonts w:ascii="仿宋_GB2312" w:eastAsia="仿宋_GB2312" w:hAnsi="仿宋_GB2312" w:cs="仿宋_GB2312"/>
          <w:sz w:val="28"/>
          <w:szCs w:val="28"/>
          <w:shd w:val="clear" w:color="auto" w:fill="FFFFFF"/>
        </w:rPr>
        <w:t>《股票上市规则》规定，</w:t>
      </w:r>
      <w:r>
        <w:rPr>
          <w:rFonts w:ascii="仿宋_GB2312" w:eastAsia="仿宋_GB2312" w:hAnsi="仿宋_GB2312" w:cs="仿宋_GB2312" w:hint="eastAsia"/>
          <w:sz w:val="28"/>
          <w:szCs w:val="28"/>
          <w:shd w:val="clear" w:color="auto" w:fill="FFFFFF"/>
        </w:rPr>
        <w:t>在定期报告披露前按照有关规定向有关机关报送未公开的定期财务数据，预计无法保密的；出现业绩信息提前泄露，或者因业绩传闻导致公司股票及</w:t>
      </w:r>
      <w:r>
        <w:rPr>
          <w:rFonts w:ascii="仿宋_GB2312" w:eastAsia="仿宋_GB2312" w:hAnsi="仿宋_GB2312" w:cs="仿宋_GB2312" w:hint="eastAsia"/>
          <w:sz w:val="28"/>
          <w:szCs w:val="28"/>
          <w:shd w:val="clear" w:color="auto" w:fill="FFFFFF"/>
        </w:rPr>
        <w:lastRenderedPageBreak/>
        <w:t>其衍生品种交易价格异常波动的；以及拟披露第一季度业绩预告或者业绩快报，但上年度年度报告尚未披露等情形，公司需要及时披露业绩快报，确保所有投资者可以公平地获取业绩信息。如果出现最后一款情形，公司应当在不晚于第一季度业绩预告或者业绩快报相关公告发布时披露上一年度的业绩快报。</w:t>
      </w:r>
    </w:p>
    <w:p w14:paraId="74DE9724" w14:textId="77777777" w:rsidR="00674F3E" w:rsidRDefault="00C45190">
      <w:pPr>
        <w:pStyle w:val="ab"/>
        <w:widowControl/>
        <w:spacing w:beforeAutospacing="0" w:afterAutospacing="0" w:line="600" w:lineRule="exact"/>
        <w:ind w:firstLineChars="200" w:firstLine="600"/>
        <w:rPr>
          <w:rFonts w:ascii="仿宋_GB2312" w:eastAsia="仿宋_GB2312" w:hAnsi="仿宋_GB2312" w:cs="仿宋_GB2312"/>
          <w:sz w:val="28"/>
          <w:szCs w:val="28"/>
          <w:shd w:val="clear" w:color="auto" w:fill="FFFFFF"/>
        </w:rPr>
      </w:pPr>
      <w:r>
        <w:rPr>
          <w:rFonts w:ascii="仿宋_GB2312" w:eastAsia="仿宋_GB2312" w:hAnsi="宋体" w:hint="eastAsia"/>
          <w:sz w:val="30"/>
          <w:szCs w:val="30"/>
        </w:rPr>
        <w:t>2.主</w:t>
      </w:r>
      <w:r>
        <w:rPr>
          <w:rFonts w:ascii="仿宋_GB2312" w:eastAsia="仿宋_GB2312" w:hAnsi="仿宋_GB2312" w:cs="仿宋_GB2312" w:hint="eastAsia"/>
          <w:sz w:val="28"/>
          <w:szCs w:val="28"/>
          <w:shd w:val="clear" w:color="auto" w:fill="FFFFFF"/>
        </w:rPr>
        <w:t>要财务指标大幅变动说明。上市公司根据本所《上海证券交易所上市公司自律监管指南第1号——公告格式》中相关格式要求编制业绩快报公告，主要财务数据和指标有关项目增减变动幅度达30%以上的，要说明增减变动的主要原因。</w:t>
      </w:r>
    </w:p>
    <w:p w14:paraId="1A5948FA" w14:textId="77777777" w:rsidR="00674F3E" w:rsidRDefault="00C45190">
      <w:pPr>
        <w:pStyle w:val="ab"/>
        <w:widowControl/>
        <w:spacing w:beforeAutospacing="0" w:afterAutospacing="0" w:line="600" w:lineRule="exact"/>
        <w:ind w:firstLineChars="200" w:firstLine="562"/>
        <w:jc w:val="both"/>
        <w:rPr>
          <w:rFonts w:ascii="仿宋_GB2312" w:eastAsia="仿宋_GB2312" w:hAnsi="仿宋_GB2312" w:cs="仿宋_GB2312"/>
          <w:sz w:val="28"/>
          <w:szCs w:val="28"/>
        </w:rPr>
      </w:pPr>
      <w:r>
        <w:rPr>
          <w:rStyle w:val="ae"/>
          <w:rFonts w:ascii="仿宋_GB2312" w:eastAsia="仿宋_GB2312" w:hAnsi="仿宋_GB2312" w:cs="仿宋_GB2312" w:hint="eastAsia"/>
          <w:bCs/>
          <w:sz w:val="28"/>
          <w:szCs w:val="28"/>
          <w:shd w:val="clear" w:color="auto" w:fill="FFFFFF"/>
        </w:rPr>
        <w:t>三、业绩预告、业绩快报的更正</w:t>
      </w:r>
    </w:p>
    <w:p w14:paraId="6E514CE6" w14:textId="77777777" w:rsidR="00674F3E" w:rsidRDefault="00C45190">
      <w:pPr>
        <w:pStyle w:val="ab"/>
        <w:widowControl/>
        <w:spacing w:beforeAutospacing="0" w:afterAutospacing="0" w:line="600" w:lineRule="exact"/>
        <w:ind w:firstLineChars="200" w:firstLine="560"/>
        <w:jc w:val="both"/>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1.业绩预告更正情形。《股票上市规则》规定，业绩预告披露后，上市公司又预计本期业绩与已披露的业绩预告差异较大的，应当根据《上海证券交易所上市公司自律监管指南第1号——公告格式》中相关格式要求及时刊登业绩预告更正公告。上述差异较大的常见情形主要包括：（1）预告盈亏性质、方向错误;（2）预告金额或幅度差异较大；（3）已披露的业绩预告内容不明确或附加了条件,而实际业绩出现盈亏或同比出现大幅变动等；（4）因扣非前后亏损且营业收入小于1亿元及净资产为负数披露业绩预告，最新预计不触及的。</w:t>
      </w:r>
    </w:p>
    <w:p w14:paraId="40000898" w14:textId="77777777" w:rsidR="00674F3E" w:rsidRDefault="00C45190">
      <w:pPr>
        <w:pStyle w:val="ab"/>
        <w:widowControl/>
        <w:spacing w:beforeAutospacing="0" w:afterAutospacing="0" w:line="600" w:lineRule="exact"/>
        <w:ind w:firstLineChars="200" w:firstLine="560"/>
        <w:jc w:val="both"/>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2.年度业绩预告更正公告披露的及时性。年度业绩预告更正公告不能晚于会计年度结束后一个月内（即1月31日前）。上市公司确因客观原因未能在1月31日前及时更正的，应当在发现差异后第一时间披露更正公告。否则，可能被认为更正披露不及时。</w:t>
      </w:r>
    </w:p>
    <w:p w14:paraId="5C567E91" w14:textId="77777777" w:rsidR="00674F3E" w:rsidRDefault="00C45190">
      <w:pPr>
        <w:pStyle w:val="ab"/>
        <w:widowControl/>
        <w:spacing w:beforeAutospacing="0" w:afterAutospacing="0" w:line="600" w:lineRule="exact"/>
        <w:ind w:firstLineChars="200" w:firstLine="560"/>
        <w:jc w:val="both"/>
        <w:rPr>
          <w:rFonts w:ascii="仿宋_GB2312" w:eastAsia="仿宋_GB2312" w:hAnsi="仿宋_GB2312" w:cs="仿宋_GB2312"/>
          <w:sz w:val="28"/>
          <w:szCs w:val="28"/>
          <w:shd w:val="clear" w:color="auto" w:fill="FFFFFF"/>
        </w:rPr>
      </w:pPr>
      <w:r>
        <w:rPr>
          <w:rFonts w:ascii="仿宋_GB2312" w:eastAsia="仿宋_GB2312" w:hAnsi="仿宋_GB2312" w:cs="仿宋_GB2312"/>
          <w:sz w:val="28"/>
          <w:szCs w:val="28"/>
          <w:shd w:val="clear" w:color="auto" w:fill="FFFFFF"/>
        </w:rPr>
        <w:lastRenderedPageBreak/>
        <w:t>3.业绩快报更正情形。《股票上市规则》规定，业绩快报发布后，上市公司发现有关财务数据和指标差异幅度达到20%</w:t>
      </w:r>
      <w:r>
        <w:rPr>
          <w:rFonts w:ascii="仿宋_GB2312" w:eastAsia="仿宋_GB2312" w:hAnsi="仿宋_GB2312" w:cs="仿宋_GB2312" w:hint="eastAsia"/>
          <w:sz w:val="28"/>
          <w:szCs w:val="28"/>
          <w:shd w:val="clear" w:color="auto" w:fill="FFFFFF"/>
        </w:rPr>
        <w:t>以上，</w:t>
      </w:r>
      <w:r>
        <w:rPr>
          <w:rFonts w:ascii="仿宋_GB2312" w:eastAsia="仿宋_GB2312" w:hAnsi="仿宋_GB2312" w:cs="仿宋_GB2312" w:hint="eastAsia"/>
          <w:sz w:val="28"/>
          <w:szCs w:val="28"/>
        </w:rPr>
        <w:t>或最新预计的报告期净利润或者期末净资产与已披露的业绩快报发生方向性变化的</w:t>
      </w:r>
      <w:r>
        <w:rPr>
          <w:rFonts w:ascii="仿宋_GB2312" w:eastAsia="仿宋_GB2312" w:hAnsi="仿宋_GB2312" w:cs="仿宋_GB2312"/>
          <w:sz w:val="28"/>
          <w:szCs w:val="28"/>
          <w:shd w:val="clear" w:color="auto" w:fill="FFFFFF"/>
        </w:rPr>
        <w:t>，应当按照本所</w:t>
      </w:r>
      <w:r>
        <w:rPr>
          <w:rFonts w:ascii="仿宋_GB2312" w:eastAsia="仿宋_GB2312" w:hAnsi="仿宋_GB2312" w:cs="仿宋_GB2312" w:hint="eastAsia"/>
          <w:sz w:val="28"/>
          <w:szCs w:val="28"/>
          <w:shd w:val="clear" w:color="auto" w:fill="FFFFFF"/>
        </w:rPr>
        <w:t>《上海证券交易所上市公司自律监管指南第1号——公告格式》中相关格式要求及时披露业绩快报更正公告。</w:t>
      </w:r>
    </w:p>
    <w:p w14:paraId="7D426839" w14:textId="77777777" w:rsidR="00674F3E" w:rsidRDefault="00C45190">
      <w:pPr>
        <w:pStyle w:val="ab"/>
        <w:widowControl/>
        <w:spacing w:beforeAutospacing="0" w:afterAutospacing="0" w:line="600" w:lineRule="exact"/>
        <w:ind w:firstLineChars="200" w:firstLine="560"/>
        <w:jc w:val="both"/>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4.更正公告内容。上市公司按照《上海证券交易所上市公司自律监管指南第1号——公告格式》中相关格式要求，在更正公告中披露导致业绩预告或业绩快报更正的具体情形以及所涉及金额，并说明导致更正的原因是否已在原业绩预告或业绩快报公告中进行了充分风险提示。</w:t>
      </w:r>
    </w:p>
    <w:p w14:paraId="77A553F5" w14:textId="77777777" w:rsidR="00674F3E" w:rsidRDefault="00C45190">
      <w:pPr>
        <w:pStyle w:val="ab"/>
        <w:widowControl/>
        <w:spacing w:beforeAutospacing="0" w:afterAutospacing="0" w:line="600" w:lineRule="exact"/>
        <w:ind w:firstLineChars="200" w:firstLine="562"/>
        <w:jc w:val="both"/>
        <w:rPr>
          <w:rFonts w:ascii="仿宋_GB2312" w:eastAsia="仿宋_GB2312" w:hAnsi="仿宋_GB2312" w:cs="仿宋_GB2312"/>
          <w:sz w:val="28"/>
          <w:szCs w:val="28"/>
          <w:shd w:val="clear" w:color="auto" w:fill="FFFFFF"/>
        </w:rPr>
      </w:pPr>
      <w:r>
        <w:rPr>
          <w:rStyle w:val="ae"/>
          <w:rFonts w:ascii="仿宋_GB2312" w:eastAsia="仿宋_GB2312" w:hAnsi="仿宋_GB2312" w:cs="仿宋_GB2312" w:hint="eastAsia"/>
          <w:bCs/>
          <w:sz w:val="28"/>
          <w:szCs w:val="28"/>
          <w:shd w:val="clear" w:color="auto" w:fill="FFFFFF"/>
        </w:rPr>
        <w:t>四、业绩预告、业绩快报中的风险提示</w:t>
      </w:r>
    </w:p>
    <w:p w14:paraId="1C92C495" w14:textId="77777777" w:rsidR="00674F3E" w:rsidRDefault="00C45190">
      <w:pPr>
        <w:pStyle w:val="ab"/>
        <w:widowControl/>
        <w:spacing w:beforeAutospacing="0" w:afterAutospacing="0" w:line="600" w:lineRule="exact"/>
        <w:ind w:firstLineChars="200" w:firstLine="560"/>
        <w:jc w:val="both"/>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1.存有重大不确定事项的风险提示。上市公司在业绩预告和业绩快报发布前，存在重大不确定事项，影响公告准确性的，需要在公告中充分、具体地揭示此类不确定性事项的风险、存在不确定性的具体原因，以及该事项对报告期业绩可能产生的实际影响等。具体包括重大交易、资产处置、会计准则适用等未最终确定的重大事项，或者出现往年按惯例能收到的收入和补助当年尚未收到等不确定的情况。公司还需要就上述不确定因素与年审注册会计师进行沟通，并在公告中对上述不确定因素可能造成的影响进行合理、量化分析，同时披露剔除不确定因素后的业绩变动情况。</w:t>
      </w:r>
    </w:p>
    <w:p w14:paraId="458C553B" w14:textId="77777777" w:rsidR="00674F3E" w:rsidRDefault="00C45190">
      <w:pPr>
        <w:pStyle w:val="ab"/>
        <w:widowControl/>
        <w:spacing w:beforeAutospacing="0" w:afterAutospacing="0" w:line="600" w:lineRule="exact"/>
        <w:ind w:firstLineChars="200" w:firstLine="560"/>
        <w:jc w:val="both"/>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2.重大不确定事项的沟通与确认。上市公司财务负责人及审计委员会召集人要充分关注上述信息，及时向董事长、总经理汇报，尽快确定相关事项，并和董秘充分沟通信息披露事宜。此外，还要注意和</w:t>
      </w:r>
      <w:r>
        <w:rPr>
          <w:rFonts w:ascii="仿宋_GB2312" w:eastAsia="仿宋_GB2312" w:hAnsi="仿宋_GB2312" w:cs="仿宋_GB2312" w:hint="eastAsia"/>
          <w:sz w:val="28"/>
          <w:szCs w:val="28"/>
          <w:shd w:val="clear" w:color="auto" w:fill="FFFFFF"/>
        </w:rPr>
        <w:lastRenderedPageBreak/>
        <w:t>年审注册会计师充分沟通相关事项的会计处理及可能对业绩的影响，并取得年审注册会计师对相关事项的书面意见。不确定事项涉及其他方的，及时与其沟通，取得其对相关事项的书面确认意见。</w:t>
      </w:r>
    </w:p>
    <w:p w14:paraId="33AE8EC1" w14:textId="77777777" w:rsidR="00674F3E" w:rsidRDefault="00C45190">
      <w:pPr>
        <w:pStyle w:val="ab"/>
        <w:widowControl/>
        <w:spacing w:beforeAutospacing="0" w:afterAutospacing="0" w:line="600" w:lineRule="exact"/>
        <w:ind w:firstLineChars="200" w:firstLine="560"/>
        <w:jc w:val="both"/>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3.重大不确定事项的核实。上市公司董事长、总经理、审计委员会召集人、财务负责人、董事会秘书等相关负责人，对于上述相关事项，可以采取措施调查核实。前述人员可以将年审会计师事务所等中介机构的意见作为参考，但不能以此代替其作出独立判断和发表针对性意见。</w:t>
      </w:r>
    </w:p>
    <w:p w14:paraId="4AA73F2E" w14:textId="77777777" w:rsidR="00674F3E" w:rsidRDefault="00C45190">
      <w:pPr>
        <w:pStyle w:val="ab"/>
        <w:widowControl/>
        <w:spacing w:beforeAutospacing="0" w:afterAutospacing="0" w:line="6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4.存有重大不确定事项不能影响及时披露。实践中，上市公司可能会遇到个别事项具有不确定性，或者统计汇总事项比较复杂等情况，但这些并不能作为不及时、不准确履行业绩预告、业绩快报披露义务的正当理由。</w:t>
      </w:r>
    </w:p>
    <w:p w14:paraId="0D2FA2FA" w14:textId="77777777" w:rsidR="00674F3E" w:rsidRDefault="00C45190">
      <w:pPr>
        <w:pStyle w:val="ab"/>
        <w:widowControl/>
        <w:spacing w:beforeAutospacing="0" w:afterAutospacing="0" w:line="600" w:lineRule="exact"/>
        <w:ind w:firstLineChars="200" w:firstLine="562"/>
        <w:rPr>
          <w:rFonts w:ascii="仿宋_GB2312" w:eastAsia="仿宋_GB2312" w:hAnsi="仿宋_GB2312" w:cs="仿宋_GB2312"/>
          <w:sz w:val="28"/>
          <w:szCs w:val="28"/>
        </w:rPr>
      </w:pPr>
      <w:r>
        <w:rPr>
          <w:rStyle w:val="ae"/>
          <w:rFonts w:ascii="仿宋_GB2312" w:eastAsia="仿宋_GB2312" w:hAnsi="仿宋_GB2312" w:cs="仿宋_GB2312" w:hint="eastAsia"/>
          <w:bCs/>
          <w:sz w:val="28"/>
          <w:szCs w:val="28"/>
          <w:shd w:val="clear" w:color="auto" w:fill="FFFFFF"/>
        </w:rPr>
        <w:t>五、其他注意事项</w:t>
      </w:r>
    </w:p>
    <w:p w14:paraId="778C0D6F" w14:textId="77777777" w:rsidR="00674F3E" w:rsidRDefault="00C45190">
      <w:pPr>
        <w:pStyle w:val="ab"/>
        <w:widowControl/>
        <w:spacing w:beforeAutospacing="0" w:afterAutospacing="0" w:line="6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1.预计将消除财务类退市指标情形的注意事项。因扣非前后亏损且营业收入低于1亿元、净资产为负值导致股票被实施退市风险警示的上市公司，如果预计报告期不存在上述情形，需要在披露业绩预告的同时提交由年审会计师事务所出具的公司有关情形消除预审计情况的专项说明。</w:t>
      </w:r>
    </w:p>
    <w:p w14:paraId="52EC5981" w14:textId="77777777" w:rsidR="00674F3E" w:rsidRDefault="00C45190">
      <w:pPr>
        <w:pStyle w:val="ab"/>
        <w:widowControl/>
        <w:spacing w:beforeAutospacing="0" w:afterAutospacing="0" w:line="6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2.相关负责人的勤勉尽责。投资者对业绩预告、业绩快报关注度较高，因此需要上市公司合理、谨慎、客观、准确地披露业绩预告、业绩快报。公司及其董事、监事和高级管理人员（以下简称董监高）对业绩预告、业绩快报的准确性负责，确保所披露的业绩与公司实际的业绩不存在重大差异。同时，上市公司及其董事、监事、高级管理</w:t>
      </w:r>
      <w:r>
        <w:rPr>
          <w:rFonts w:ascii="仿宋_GB2312" w:eastAsia="仿宋_GB2312" w:hAnsi="仿宋_GB2312" w:cs="仿宋_GB2312" w:hint="eastAsia"/>
          <w:sz w:val="28"/>
          <w:szCs w:val="28"/>
          <w:shd w:val="clear" w:color="auto" w:fill="FFFFFF"/>
        </w:rPr>
        <w:lastRenderedPageBreak/>
        <w:t>人员等相关人员，不得利用业绩预告、业绩快报及其更正公告误导投资者，或者从事内幕交易和操纵市场等违法违规行为。</w:t>
      </w:r>
    </w:p>
    <w:p w14:paraId="50327F35" w14:textId="77777777" w:rsidR="00674F3E" w:rsidRDefault="00C45190">
      <w:pPr>
        <w:pStyle w:val="ab"/>
        <w:widowControl/>
        <w:spacing w:beforeAutospacing="0" w:afterAutospacing="0" w:line="600" w:lineRule="exact"/>
        <w:jc w:val="center"/>
        <w:rPr>
          <w:rFonts w:ascii="仿宋_GB2312" w:eastAsia="仿宋_GB2312" w:hAnsi="仿宋_GB2312" w:cs="仿宋_GB2312"/>
          <w:sz w:val="28"/>
          <w:szCs w:val="28"/>
        </w:rPr>
      </w:pPr>
      <w:r>
        <w:rPr>
          <w:rStyle w:val="ae"/>
          <w:rFonts w:ascii="仿宋_GB2312" w:eastAsia="仿宋_GB2312" w:hAnsi="仿宋_GB2312" w:cs="仿宋_GB2312" w:hint="eastAsia"/>
          <w:bCs/>
          <w:sz w:val="28"/>
          <w:szCs w:val="28"/>
          <w:shd w:val="clear" w:color="auto" w:fill="FFFFFF"/>
        </w:rPr>
        <w:t>第二节 定期报告的编制和审议</w:t>
      </w:r>
    </w:p>
    <w:p w14:paraId="3C46E9D3" w14:textId="77777777" w:rsidR="00674F3E" w:rsidRDefault="00C45190">
      <w:pPr>
        <w:pStyle w:val="ab"/>
        <w:widowControl/>
        <w:spacing w:beforeAutospacing="0" w:afterAutospacing="0" w:line="600" w:lineRule="exact"/>
        <w:ind w:firstLine="570"/>
        <w:jc w:val="both"/>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定期报告尤其是年度报告，是上市公司对整个报告期内生产经营、财务状况、投资发展、治理内控等情况的总结分析，是投资者获取公司信息的重要来源，以及投资决策的重要依据。定期报告对证券交易价格往往具有重大影响，历来为市场相关各方所高度关注。定期报告尤其是年度报告涉及公司全方位、多方面的内容和信息，其编制和披露是一项系统工程，需要上市公司全体董监高依法依规勤勉尽责，各司其职、相互配合。本节总结上市公司编制和审议定期报告尤其是年度报告实践中的一般做法，为上市公司及其董监高提供指南。</w:t>
      </w:r>
    </w:p>
    <w:p w14:paraId="078507C4" w14:textId="77777777" w:rsidR="00674F3E" w:rsidRDefault="00C45190">
      <w:pPr>
        <w:pStyle w:val="ab"/>
        <w:widowControl/>
        <w:spacing w:beforeAutospacing="0" w:afterAutospacing="0" w:line="600" w:lineRule="exact"/>
        <w:ind w:firstLineChars="200" w:firstLine="562"/>
        <w:jc w:val="both"/>
        <w:rPr>
          <w:rFonts w:ascii="仿宋_GB2312" w:eastAsia="仿宋_GB2312" w:hAnsi="仿宋_GB2312" w:cs="仿宋_GB2312"/>
          <w:sz w:val="28"/>
          <w:szCs w:val="28"/>
        </w:rPr>
      </w:pPr>
      <w:r>
        <w:rPr>
          <w:rStyle w:val="ae"/>
          <w:rFonts w:ascii="仿宋_GB2312" w:eastAsia="仿宋_GB2312" w:hAnsi="仿宋_GB2312" w:cs="仿宋_GB2312" w:hint="eastAsia"/>
          <w:bCs/>
          <w:sz w:val="28"/>
          <w:szCs w:val="28"/>
          <w:shd w:val="clear" w:color="auto" w:fill="FFFFFF"/>
        </w:rPr>
        <w:t>一、董监高定期报告履职要求</w:t>
      </w:r>
    </w:p>
    <w:p w14:paraId="1587A1F4" w14:textId="77777777" w:rsidR="00674F3E" w:rsidRDefault="00C45190">
      <w:pPr>
        <w:pStyle w:val="ab"/>
        <w:widowControl/>
        <w:spacing w:beforeAutospacing="0" w:afterAutospacing="0" w:line="60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1.董监高总体履职要求。关于定期报告的编制和披露，《证券法》等法律法规明确要求，上市公司董监高应当确保定期报告按时披露，并保证定期报告信息的真实、准确、完整，简明清晰、通俗易懂。</w:t>
      </w:r>
    </w:p>
    <w:p w14:paraId="0F5CC684" w14:textId="77777777" w:rsidR="00674F3E" w:rsidRDefault="00C45190">
      <w:pPr>
        <w:pStyle w:val="ab"/>
        <w:widowControl/>
        <w:spacing w:beforeAutospacing="0" w:afterAutospacing="0" w:line="60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2.定期报告编制、审议流程。《上市公司信息披露管理办法》规定，上市公司应当制定定期报告的编制、审议、披露程序。董事会事先要及时制订定期报告工作计划，并及时告知监事会和高级管理人员，为编制、审议定期报告预留充足、合理的时间。报告期结束后，董事会要及时关注、跟进、监督定期报告的编制情况。临近定期报告预约披露日，公司还未完成定期报告编制工作的，全体董监高要各司其职，及时采取有效措施，确保完成编制和审议，并向监管部门报告。</w:t>
      </w:r>
    </w:p>
    <w:p w14:paraId="75386442" w14:textId="77777777" w:rsidR="00674F3E" w:rsidRDefault="00C45190">
      <w:pPr>
        <w:pStyle w:val="ab"/>
        <w:widowControl/>
        <w:spacing w:beforeAutospacing="0" w:afterAutospacing="0" w:line="60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lastRenderedPageBreak/>
        <w:t>3.董监高忠实和勤勉义务。《股票上市规则》规定，董监高应当忠实、勤勉，不得以不直接从事经营管理或者不知悉、不熟悉为由推卸责任。上市公司董监高需要持续关注公司内部控制制度的建立和执行情况，确保股东大会、董事会和监事会等机构依法运作和科学决策，激励约束机制有效实施。在定期报告的编制和审议中，重点关注并核查是否存在资金占用、违规担保、不当关联交易等违法违规情形。董监高可以采取问询财务出纳、印章管理等人员，询证公司主要客户或者业务合作方，以及聘请第三方专业机构等必要措施，核查控股股东、实际控制人等关联方是否避开决策程序实施过相关违法违规行为。</w:t>
      </w:r>
    </w:p>
    <w:p w14:paraId="0F6B1B8F" w14:textId="77777777" w:rsidR="00674F3E" w:rsidRDefault="00C45190">
      <w:pPr>
        <w:pStyle w:val="ab"/>
        <w:widowControl/>
        <w:spacing w:beforeAutospacing="0" w:afterAutospacing="0" w:line="60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4.相关负责人的职责分工。上市公司董事长或总经理是实施信息披露事务管理制度的第一责任人，对定期报告披露事项负有首要责任。财务负责人对财务报告编制、会计政策处理等事项负有直接责任。其他高级管理人员对分管工作相关的定期报告事项负有直接责任。董事会秘书对定期报告披露制度、信息披露业务办理负有直接责任。</w:t>
      </w:r>
    </w:p>
    <w:p w14:paraId="1B0CFFDD" w14:textId="77777777" w:rsidR="00674F3E" w:rsidRDefault="00C45190">
      <w:pPr>
        <w:pStyle w:val="ab"/>
        <w:widowControl/>
        <w:spacing w:beforeAutospacing="0" w:afterAutospacing="0" w:line="600" w:lineRule="exact"/>
        <w:ind w:firstLineChars="200" w:firstLine="562"/>
        <w:jc w:val="both"/>
        <w:rPr>
          <w:rFonts w:ascii="仿宋_GB2312" w:eastAsia="仿宋_GB2312" w:hAnsi="仿宋_GB2312" w:cs="仿宋_GB2312"/>
          <w:sz w:val="28"/>
          <w:szCs w:val="28"/>
        </w:rPr>
      </w:pPr>
      <w:r>
        <w:rPr>
          <w:rStyle w:val="ae"/>
          <w:rFonts w:ascii="仿宋_GB2312" w:eastAsia="仿宋_GB2312" w:hAnsi="仿宋_GB2312" w:cs="仿宋_GB2312" w:hint="eastAsia"/>
          <w:bCs/>
          <w:sz w:val="28"/>
          <w:szCs w:val="28"/>
          <w:shd w:val="clear" w:color="auto" w:fill="FFFFFF"/>
        </w:rPr>
        <w:t>二、定期报告的编制与审议</w:t>
      </w:r>
    </w:p>
    <w:p w14:paraId="5CC07CA0" w14:textId="77777777" w:rsidR="00674F3E" w:rsidRDefault="00C45190">
      <w:pPr>
        <w:pStyle w:val="ab"/>
        <w:widowControl/>
        <w:spacing w:beforeAutospacing="0" w:afterAutospacing="0" w:line="60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1.定期报告的编制安排与分工。根据《上市公司信息披露管理办法》《股票上市规则》等规定，上市公司董事会需要提前组织有关人员安排落实定期报告的编制工作。经理、财务负责人、董事会秘书等高级管理人员负责及时编制定期报告草案，提请董事会审议；在发出董事会、监事会会议召开通知时，董事会秘书负责将定期报告一并送达董监高审阅；董事长负责召集和主持董事会会议审议定期报告，董事长不能履行职务或者不履行职务的，由副董事长召集和主持；副董事长不能履行职务或者不履行职务的，由半数以上董事共同推举一名</w:t>
      </w:r>
      <w:r>
        <w:rPr>
          <w:rFonts w:ascii="仿宋_GB2312" w:eastAsia="仿宋_GB2312" w:hAnsi="仿宋_GB2312" w:cs="仿宋_GB2312" w:hint="eastAsia"/>
          <w:sz w:val="28"/>
          <w:szCs w:val="28"/>
          <w:shd w:val="clear" w:color="auto" w:fill="FFFFFF"/>
        </w:rPr>
        <w:lastRenderedPageBreak/>
        <w:t>董事召集和主持；监事会负责审核董事会编制的定期报告；董事会审计委员会负责审核定期报告中的财务信息，经全体成员过半数同意后提交董事会审议。</w:t>
      </w:r>
    </w:p>
    <w:p w14:paraId="5F7A00EE" w14:textId="77777777" w:rsidR="00674F3E" w:rsidRDefault="00C45190">
      <w:pPr>
        <w:pStyle w:val="ab"/>
        <w:widowControl/>
        <w:spacing w:beforeAutospacing="0" w:afterAutospacing="0" w:line="60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2.年度报告重大差异的处理。在年度报告编制过程中，董监高需要重点关注年度报告与最近一期披露的季度报告、半年度报告是否存在重大差异。存在重大差异事项的，核查差异原因并重点披露。</w:t>
      </w:r>
    </w:p>
    <w:p w14:paraId="66829F7F" w14:textId="77777777" w:rsidR="00674F3E" w:rsidRDefault="00C45190">
      <w:pPr>
        <w:pStyle w:val="ab"/>
        <w:widowControl/>
        <w:spacing w:beforeAutospacing="0" w:afterAutospacing="0" w:line="60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3.审计沟通。审计委员会、财务负责人和董事会秘书等相关责任人在审计机构进场之前，要注意与审计机构充分沟通，确定审计工作安排。在定期报告审计期间，及时沟通交流、掌握审计进度。如果出现突发事件导致审计无法正常开展的，及时沟通协调，尽快商定替代程序，确保定期报告审计工作的推进。</w:t>
      </w:r>
    </w:p>
    <w:p w14:paraId="3C2DC0B3" w14:textId="77777777" w:rsidR="00674F3E" w:rsidRDefault="00C45190">
      <w:pPr>
        <w:pStyle w:val="ab"/>
        <w:widowControl/>
        <w:spacing w:beforeAutospacing="0" w:afterAutospacing="0" w:line="60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4.审计分歧处理。上市公司需要独立编制财务报告。在编制过程中，可能出现与审计机构存在意见分歧、审计机构将出具非标准审计意见等情形，但这些都不是拒绝或拖延披露定期报告的正当理由。上市公司与审计机构也不得互相影响干扰、互相推诿责任。如果董监高与审计机构对财务报告相关内容的意见存在重大差异，需要在定期报告中充分披露意见差异的内容与影响，并在“重要提示”部分作出明确提示。</w:t>
      </w:r>
    </w:p>
    <w:p w14:paraId="42466CA4" w14:textId="77777777" w:rsidR="00674F3E" w:rsidRDefault="00C45190">
      <w:pPr>
        <w:pStyle w:val="ab"/>
        <w:widowControl/>
        <w:spacing w:beforeAutospacing="0" w:afterAutospacing="0" w:line="60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5.定期报告书面确认意见。《证券法》等规定，上市公司董事会应当对定期报告的具体内容进行审议，监事会应当对定期报告进行审核并提出书面审核意见，董监高均应当对定期报告签署书面确认意见。董监高需要按照《股票上市规则》的规定，在书面确认意见中明确表</w:t>
      </w:r>
      <w:r>
        <w:rPr>
          <w:rFonts w:ascii="仿宋_GB2312" w:eastAsia="仿宋_GB2312" w:hAnsi="仿宋_GB2312" w:cs="仿宋_GB2312" w:hint="eastAsia"/>
          <w:sz w:val="28"/>
          <w:szCs w:val="28"/>
          <w:shd w:val="clear" w:color="auto" w:fill="FFFFFF"/>
        </w:rPr>
        <w:lastRenderedPageBreak/>
        <w:t>示是否同意定期报告的内容，不能以对定期报告内容有异议、与审计机构存在意见分歧、审计机构将出具非标准审计意见等为由拒绝签署。</w:t>
      </w:r>
    </w:p>
    <w:p w14:paraId="22C2B2B6" w14:textId="77777777" w:rsidR="00674F3E" w:rsidRDefault="00C45190">
      <w:pPr>
        <w:pStyle w:val="ab"/>
        <w:widowControl/>
        <w:spacing w:beforeAutospacing="0" w:afterAutospacing="0" w:line="60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6.定期报告审议注意事项。审议定期报告时，董事、监事需要认真阅读定期报告全文，重点关注其内容是否真实、准确、完整，是否存在重大编制错误或者遗漏，主要财务会计数据是否存在异常情形，董事会报告是否全面分析了公司的财务状况与经营成果，是否充分披露了可能对公司产生影响的重大事项和不确定性因素等。</w:t>
      </w:r>
    </w:p>
    <w:p w14:paraId="224EAF82" w14:textId="77777777" w:rsidR="00674F3E" w:rsidRDefault="00C45190">
      <w:pPr>
        <w:pStyle w:val="ab"/>
        <w:widowControl/>
        <w:spacing w:beforeAutospacing="0" w:afterAutospacing="0" w:line="60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7.定期报告的董事会决议。《股票上市规则》规定，公司不得披露未经董事会审议通过的定期报告。上市公司董事会应当确保公司按时披露定期报告。因故无法形成董事会审议定期报告的决议的，公司应当以董事会公告的形式对外披露相关情况，说明无法形成董事会决议的原因和存在的风险。</w:t>
      </w:r>
    </w:p>
    <w:p w14:paraId="3FAFDB54" w14:textId="77777777" w:rsidR="00674F3E" w:rsidRDefault="00C45190">
      <w:pPr>
        <w:pStyle w:val="ab"/>
        <w:widowControl/>
        <w:spacing w:beforeAutospacing="0" w:afterAutospacing="0" w:line="60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8.保密义务。根据《证券法》等规定，董监高及相关人员负有保密义务，在定期报告公布前，不能以任何形式泄露定期报告的内容。</w:t>
      </w:r>
    </w:p>
    <w:p w14:paraId="587DFBD5" w14:textId="77777777" w:rsidR="00674F3E" w:rsidRDefault="00C45190">
      <w:pPr>
        <w:pStyle w:val="ab"/>
        <w:widowControl/>
        <w:spacing w:beforeAutospacing="0" w:afterAutospacing="0" w:line="600" w:lineRule="exact"/>
        <w:ind w:firstLineChars="200" w:firstLine="562"/>
        <w:jc w:val="both"/>
        <w:rPr>
          <w:rFonts w:ascii="仿宋_GB2312" w:eastAsia="仿宋_GB2312" w:hAnsi="仿宋_GB2312" w:cs="仿宋_GB2312"/>
          <w:sz w:val="28"/>
          <w:szCs w:val="28"/>
        </w:rPr>
      </w:pPr>
      <w:r>
        <w:rPr>
          <w:rStyle w:val="ae"/>
          <w:rFonts w:ascii="仿宋_GB2312" w:eastAsia="仿宋_GB2312" w:hAnsi="仿宋_GB2312" w:cs="仿宋_GB2312" w:hint="eastAsia"/>
          <w:bCs/>
          <w:sz w:val="28"/>
          <w:szCs w:val="28"/>
          <w:shd w:val="clear" w:color="auto" w:fill="FFFFFF"/>
        </w:rPr>
        <w:t>三、董监高对定期报告的异议</w:t>
      </w:r>
    </w:p>
    <w:p w14:paraId="7432FDCE" w14:textId="77777777" w:rsidR="00674F3E" w:rsidRDefault="00C45190">
      <w:pPr>
        <w:pStyle w:val="ab"/>
        <w:widowControl/>
        <w:spacing w:beforeAutospacing="0" w:afterAutospacing="0" w:line="60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1.异议披露。《证券法》规定，董监高无法保证定期报告内容的真实性、准确性、完整性或者有异议的，应当在书面确认意见中发表意见并陈述理由，上市公司应当披露。公司不予披露的，董监高可以直接申请披露。</w:t>
      </w:r>
    </w:p>
    <w:p w14:paraId="633FC976" w14:textId="77777777" w:rsidR="00674F3E" w:rsidRDefault="00C45190">
      <w:pPr>
        <w:pStyle w:val="ab"/>
        <w:widowControl/>
        <w:spacing w:beforeAutospacing="0" w:afterAutospacing="0" w:line="60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2.异议理由。董监高对定期报告提出异议的，要重点关注异议事项是否具体明确，异议的依据和理由是否成立、合理，是否说明了前期履职情况。董监高不得仅以与审计机构存在意见分歧、审计机构将</w:t>
      </w:r>
      <w:r>
        <w:rPr>
          <w:rFonts w:ascii="仿宋_GB2312" w:eastAsia="仿宋_GB2312" w:hAnsi="仿宋_GB2312" w:cs="仿宋_GB2312" w:hint="eastAsia"/>
          <w:sz w:val="28"/>
          <w:szCs w:val="28"/>
          <w:shd w:val="clear" w:color="auto" w:fill="FFFFFF"/>
        </w:rPr>
        <w:lastRenderedPageBreak/>
        <w:t>出具非标准审计意见作为异议依据和理由，否则提出异议可能会被认定只是为逃避责任。</w:t>
      </w:r>
    </w:p>
    <w:p w14:paraId="21209700" w14:textId="77777777" w:rsidR="00674F3E" w:rsidRDefault="00C45190">
      <w:pPr>
        <w:pStyle w:val="ab"/>
        <w:widowControl/>
        <w:spacing w:beforeAutospacing="0" w:afterAutospacing="0" w:line="600"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3.不得以异议逃避责任。董监高按照相关规定发表异议意见，不得影响定期报告的正常编制和披露，不得以此逃避保证定期报告内容的真实性、准确性、完整性的责任。</w:t>
      </w:r>
    </w:p>
    <w:p w14:paraId="7A4D9A63" w14:textId="77777777" w:rsidR="00674F3E" w:rsidRDefault="00C45190">
      <w:pPr>
        <w:pStyle w:val="ab"/>
        <w:widowControl/>
        <w:spacing w:beforeAutospacing="0" w:afterAutospacing="0" w:line="600" w:lineRule="exact"/>
        <w:ind w:firstLineChars="200" w:firstLine="562"/>
        <w:jc w:val="both"/>
        <w:rPr>
          <w:rFonts w:ascii="仿宋_GB2312" w:eastAsia="仿宋_GB2312" w:hAnsi="仿宋_GB2312" w:cs="仿宋_GB2312"/>
          <w:sz w:val="28"/>
          <w:szCs w:val="28"/>
        </w:rPr>
      </w:pPr>
      <w:r>
        <w:rPr>
          <w:rStyle w:val="ae"/>
          <w:rFonts w:ascii="仿宋_GB2312" w:eastAsia="仿宋_GB2312" w:hAnsi="仿宋_GB2312" w:cs="仿宋_GB2312" w:hint="eastAsia"/>
          <w:bCs/>
          <w:sz w:val="28"/>
          <w:szCs w:val="28"/>
          <w:shd w:val="clear" w:color="auto" w:fill="FFFFFF"/>
        </w:rPr>
        <w:t>四、独立董事年度述职报告的编制与披露</w:t>
      </w:r>
    </w:p>
    <w:p w14:paraId="0E28BB6F" w14:textId="390448AA" w:rsidR="00674F3E" w:rsidRPr="004F7B41" w:rsidRDefault="00C45190" w:rsidP="004F7B41">
      <w:pPr>
        <w:pStyle w:val="a3"/>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sz w:val="28"/>
          <w:szCs w:val="28"/>
          <w:shd w:val="clear" w:color="auto" w:fill="FFFFFF"/>
        </w:rPr>
        <w:t>独立董事需要依规编制和披露《独立董事年度述职报告》（具体格式详见附件</w:t>
      </w:r>
      <w:r>
        <w:rPr>
          <w:rFonts w:ascii="仿宋_GB2312" w:eastAsia="仿宋_GB2312" w:hAnsi="仿宋_GB2312" w:cs="仿宋_GB2312"/>
          <w:sz w:val="28"/>
          <w:szCs w:val="28"/>
          <w:shd w:val="clear" w:color="auto" w:fill="FFFFFF"/>
        </w:rPr>
        <w:t>1），并在年度股</w:t>
      </w:r>
      <w:r w:rsidRPr="004F7B41">
        <w:rPr>
          <w:rFonts w:ascii="仿宋_GB2312" w:eastAsia="仿宋_GB2312" w:hAnsi="仿宋_GB2312" w:cs="仿宋_GB2312"/>
          <w:kern w:val="0"/>
          <w:sz w:val="28"/>
          <w:szCs w:val="28"/>
        </w:rPr>
        <w:t>东大会上向股东报告。《独立董事年度述职报告》要说明独立董事当年具体履职情况，并</w:t>
      </w:r>
      <w:r w:rsidR="00CD3788">
        <w:rPr>
          <w:rFonts w:ascii="仿宋_GB2312" w:eastAsia="仿宋_GB2312" w:hAnsi="仿宋_GB2312" w:cs="仿宋_GB2312" w:hint="eastAsia"/>
          <w:kern w:val="0"/>
          <w:sz w:val="28"/>
          <w:szCs w:val="28"/>
        </w:rPr>
        <w:t>重点关注附件所列九大类事项的决策、执行以及披露情况，对相关事项是否合法合规作出独立明确的判断，重点对于上市公司与控股股东、实际控制人、董事、高级管理人员之间的潜在重大利益冲突事项进行监督。</w:t>
      </w:r>
      <w:r>
        <w:rPr>
          <w:rFonts w:ascii="仿宋_GB2312" w:eastAsia="仿宋_GB2312" w:hAnsi="仿宋_GB2312" w:cs="仿宋_GB2312" w:hint="eastAsia"/>
          <w:sz w:val="28"/>
          <w:szCs w:val="28"/>
          <w:shd w:val="clear" w:color="auto" w:fill="FFFFFF"/>
        </w:rPr>
        <w:t>《独立董事年度述职报告》</w:t>
      </w:r>
      <w:r>
        <w:rPr>
          <w:rFonts w:ascii="仿宋_GB2312" w:eastAsia="仿宋_GB2312" w:hAnsi="仿宋_GB2312" w:cs="仿宋_GB2312" w:hint="eastAsia"/>
          <w:sz w:val="28"/>
          <w:szCs w:val="28"/>
        </w:rPr>
        <w:t>最迟应当在上市公司发出年度股东大会通知时披露。</w:t>
      </w:r>
    </w:p>
    <w:p w14:paraId="4BAB415A" w14:textId="77777777" w:rsidR="00674F3E" w:rsidRDefault="00C45190">
      <w:pPr>
        <w:pStyle w:val="ab"/>
        <w:widowControl/>
        <w:spacing w:beforeAutospacing="0" w:afterAutospacing="0" w:line="600" w:lineRule="exact"/>
        <w:jc w:val="center"/>
        <w:rPr>
          <w:rFonts w:ascii="仿宋_GB2312" w:eastAsia="仿宋_GB2312" w:hAnsi="仿宋_GB2312" w:cs="仿宋_GB2312"/>
          <w:sz w:val="28"/>
          <w:szCs w:val="28"/>
        </w:rPr>
      </w:pPr>
      <w:r>
        <w:rPr>
          <w:rStyle w:val="ae"/>
          <w:rFonts w:ascii="仿宋_GB2312" w:eastAsia="仿宋_GB2312" w:hAnsi="仿宋_GB2312" w:cs="仿宋_GB2312" w:hint="eastAsia"/>
          <w:bCs/>
          <w:sz w:val="28"/>
          <w:szCs w:val="28"/>
          <w:shd w:val="clear" w:color="auto" w:fill="FFFFFF"/>
        </w:rPr>
        <w:t>第三节 定期报告的披露</w:t>
      </w:r>
    </w:p>
    <w:p w14:paraId="03F70419" w14:textId="77777777" w:rsidR="00674F3E" w:rsidRDefault="00C45190">
      <w:pPr>
        <w:pStyle w:val="ab"/>
        <w:widowControl/>
        <w:spacing w:beforeAutospacing="0" w:afterAutospacing="0" w:line="600" w:lineRule="exact"/>
        <w:ind w:firstLine="570"/>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证券法》规定，上市公司应当按照中国证监会和证券交易场所规定的内容和格式编制定期报告。本节根据中国证监会定期报告内容与格式准则、编报规则和本所相关规定等，着重梳理总结了需要在定期报告中披露的财务会计信息和非财务会计信息相关重点事项，为上市公司提供指南。其中，财务会计信息披露需要关注的事项包括对公司影响重大的关键事项会计处理、会计政策、会计估计变更或重大会计差错更正、资产减值、资金占用等；非财务会计信息披露需要关注</w:t>
      </w:r>
      <w:r>
        <w:rPr>
          <w:rFonts w:ascii="仿宋_GB2312" w:eastAsia="仿宋_GB2312" w:hAnsi="仿宋_GB2312" w:cs="仿宋_GB2312" w:hint="eastAsia"/>
          <w:sz w:val="28"/>
          <w:szCs w:val="28"/>
          <w:shd w:val="clear" w:color="auto" w:fill="FFFFFF"/>
        </w:rPr>
        <w:lastRenderedPageBreak/>
        <w:t>的事项包括股份质押冻结情况、承诺事项、公司治理信息、经营情况讨论、分行业信息、并购重组进展、股权激励实施情况、乡村振兴工作、环境信息、公司债券情况、期货和衍生品交易情况等。</w:t>
      </w:r>
    </w:p>
    <w:p w14:paraId="3664E3DC" w14:textId="77777777" w:rsidR="00674F3E" w:rsidRDefault="00C45190">
      <w:pPr>
        <w:pStyle w:val="ab"/>
        <w:widowControl/>
        <w:spacing w:beforeAutospacing="0" w:afterAutospacing="0" w:line="600" w:lineRule="exact"/>
        <w:ind w:firstLine="570"/>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上市公司需要注意在定期报告中充分披露有助于投资者理解公司经营、业务、业绩及风险等信息，充分重视“管理层讨论与分析”等非财务信息披露。相关内容要具有相关性、针对性和有用性，避免空洞化、模板化。相关语言表述简明清晰、具备可理解性，并对可能造成投资者理解障碍以及具有特定含义的专业术语等作出通俗易懂的说明。</w:t>
      </w:r>
    </w:p>
    <w:p w14:paraId="57865247" w14:textId="77777777" w:rsidR="00674F3E" w:rsidRDefault="00C45190">
      <w:pPr>
        <w:pStyle w:val="ab"/>
        <w:widowControl/>
        <w:spacing w:beforeAutospacing="0" w:afterAutospacing="0" w:line="600" w:lineRule="exact"/>
        <w:ind w:firstLine="570"/>
        <w:rPr>
          <w:rFonts w:ascii="仿宋_GB2312" w:eastAsia="仿宋_GB2312" w:hAnsi="仿宋_GB2312" w:cs="仿宋_GB2312"/>
          <w:sz w:val="28"/>
          <w:szCs w:val="28"/>
        </w:rPr>
      </w:pPr>
      <w:r>
        <w:rPr>
          <w:rStyle w:val="ae"/>
          <w:rFonts w:ascii="仿宋_GB2312" w:eastAsia="仿宋_GB2312" w:hAnsi="仿宋_GB2312" w:cs="仿宋_GB2312" w:hint="eastAsia"/>
          <w:bCs/>
          <w:sz w:val="28"/>
          <w:szCs w:val="28"/>
          <w:shd w:val="clear" w:color="auto" w:fill="FFFFFF"/>
        </w:rPr>
        <w:t>一、财务会计信息的披露</w:t>
      </w:r>
    </w:p>
    <w:p w14:paraId="570F4216" w14:textId="77777777" w:rsidR="00674F3E" w:rsidRDefault="00C45190">
      <w:pPr>
        <w:pStyle w:val="ab"/>
        <w:widowControl/>
        <w:spacing w:beforeAutospacing="0" w:afterAutospacing="0" w:line="600" w:lineRule="exact"/>
        <w:ind w:firstLine="570"/>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1.对公司影响重大的关键事项会计处理。上市公司要坚持“实质重于形式”的原则，结合交易的商业实质和业务流程，正确运用会计准则处理对公司影响重大的关键事项，如收入确认与计量、股权投资和金融资产分类与确认、合并财务报表范围、资产处置损益及非经常性损益认定等，并在定期报告中及时、准确、完整地披露对于财务报表影响重大的信息。</w:t>
      </w:r>
    </w:p>
    <w:p w14:paraId="7F672D17" w14:textId="77777777" w:rsidR="00674F3E" w:rsidRDefault="00C45190">
      <w:pPr>
        <w:pStyle w:val="ab"/>
        <w:widowControl/>
        <w:spacing w:beforeAutospacing="0" w:afterAutospacing="0" w:line="600" w:lineRule="exact"/>
        <w:ind w:firstLine="570"/>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2.会计政策、会计估计变更或重大会计差错更正。上市公司在报告期内做出会计政策、会计估计变更或重大会计差错更正的，需要按照《企业会计准则第28号——会计政策、会计估计变更和差错更正》的要求，在定期报告中进行说明。本所《上海证券交易所上市公司自律监管指南第1号——公告格式》中相关格式还要求披露相应的临时公告、以及向本所提交董事会、监事会和审计委员会审议情况的书面文件，以及会计师事务所对上述变更、更正的有关说明。存在财务信</w:t>
      </w:r>
      <w:r>
        <w:rPr>
          <w:rFonts w:ascii="仿宋_GB2312" w:eastAsia="仿宋_GB2312" w:hAnsi="仿宋_GB2312" w:cs="仿宋_GB2312" w:hint="eastAsia"/>
          <w:sz w:val="28"/>
          <w:szCs w:val="28"/>
          <w:shd w:val="clear" w:color="auto" w:fill="FFFFFF"/>
        </w:rPr>
        <w:lastRenderedPageBreak/>
        <w:t>息更正的，《公开发行证券的公司信息披露编报规则第19号——财务信息的更正及相关披露》规定，公司应当履行信息披露、审计或专项鉴证等义务。此外，新会计准则适用会对上市公司造成影响的，公司要注意在定期报告中进行披露。</w:t>
      </w:r>
    </w:p>
    <w:p w14:paraId="3439C929" w14:textId="77777777" w:rsidR="00674F3E" w:rsidRDefault="00C45190">
      <w:pPr>
        <w:pStyle w:val="ab"/>
        <w:widowControl/>
        <w:spacing w:beforeAutospacing="0" w:afterAutospacing="0" w:line="600" w:lineRule="exact"/>
        <w:ind w:firstLine="570"/>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3.资产减值。《企业会计准则第8号——资产减值》《企业会计准则第22号——金融工具确认和计量》《企业会计准则第37号——金融工具列报》对资产减值的会计处理作了规定。上市公司需要依规真实、准确、完整、及时地进行会计处理与披露，避免出现应计提不计提，一次性过度计提等情况，并充分披露影响重大的大额减值损失计提的确定依据及合理性。对于企业合并形成的商誉，公司至少应当在每年年度终了进行减值测试。为此，公司董事会需要审慎评估减值测试的合理性，并严格按照公司章程等规定及内部授权，履行相关内部审批流程，必要时可以聘请专家协助工作。《会计监管风险提示第8号——商誉减值》还要求披露与商誉减值相关的重要信息，公司会同年报审计机构及相关中介机构，对商誉相关信息披露的真实、准确、完整性进行核实。</w:t>
      </w:r>
    </w:p>
    <w:p w14:paraId="27E702D6" w14:textId="77777777" w:rsidR="00674F3E" w:rsidRDefault="00C45190">
      <w:pPr>
        <w:pStyle w:val="ab"/>
        <w:widowControl/>
        <w:spacing w:beforeAutospacing="0" w:afterAutospacing="0" w:line="600" w:lineRule="exact"/>
        <w:ind w:firstLine="570"/>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4.资金占用。上市公司存在大股东及其附属企业非经营性占用其资金的，需要在年度报告全文的“重要事项”部分披露相关决策程序，以及非经营性资金占用的发生时间、期初金额、发生额、偿还金额、期末余额、占用原因、预计偿还方式、清偿时间、责任人和董事会拟定的解决措施。</w:t>
      </w:r>
    </w:p>
    <w:p w14:paraId="64649685" w14:textId="77777777" w:rsidR="00674F3E" w:rsidRDefault="00C45190">
      <w:pPr>
        <w:pStyle w:val="ab"/>
        <w:widowControl/>
        <w:spacing w:beforeAutospacing="0" w:afterAutospacing="0" w:line="600" w:lineRule="exact"/>
        <w:ind w:firstLine="570"/>
        <w:rPr>
          <w:rFonts w:ascii="仿宋_GB2312" w:eastAsia="仿宋_GB2312" w:hAnsi="仿宋_GB2312" w:cs="仿宋_GB2312"/>
          <w:sz w:val="28"/>
          <w:szCs w:val="28"/>
        </w:rPr>
      </w:pPr>
      <w:r>
        <w:rPr>
          <w:rStyle w:val="ae"/>
          <w:rFonts w:ascii="仿宋_GB2312" w:eastAsia="仿宋_GB2312" w:hAnsi="仿宋_GB2312" w:cs="仿宋_GB2312" w:hint="eastAsia"/>
          <w:bCs/>
          <w:sz w:val="28"/>
          <w:szCs w:val="28"/>
          <w:shd w:val="clear" w:color="auto" w:fill="FFFFFF"/>
        </w:rPr>
        <w:t>二、非财务重大事项的披露</w:t>
      </w:r>
    </w:p>
    <w:p w14:paraId="01EF50CD" w14:textId="77777777" w:rsidR="00674F3E" w:rsidRDefault="00C45190">
      <w:pPr>
        <w:pStyle w:val="ab"/>
        <w:widowControl/>
        <w:spacing w:beforeAutospacing="0" w:afterAutospacing="0" w:line="600" w:lineRule="exact"/>
        <w:ind w:firstLine="570"/>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lastRenderedPageBreak/>
        <w:t>1.股份质押冻结情况。《公开发行证券的公司信息披露内容与格式准则第2号——年度报告的内容与格式》（以下简称《年报准则》）规定，上市公司应当核实并准确披露股东质押及冻结相关信息。</w:t>
      </w:r>
    </w:p>
    <w:p w14:paraId="54FB6BD6" w14:textId="77777777" w:rsidR="00674F3E" w:rsidRDefault="00C45190">
      <w:pPr>
        <w:pStyle w:val="ab"/>
        <w:widowControl/>
        <w:spacing w:beforeAutospacing="0" w:afterAutospacing="0" w:line="600" w:lineRule="exact"/>
        <w:ind w:firstLine="570"/>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2.承诺事项。《上市公司重大资产重组管理办法》等规定，上市公司应当在相应的定期报告中披露承诺期内有关各方重大资产重组承诺的履行情况。上市公司股东、交易对手方或其他相关方对公司或置入资产相应年度业绩曾作出承诺的，董事会需要关注业绩承诺的实现情况。上市公司在重大资产重组实施完毕后业绩承诺期内的年度报告中，需要单独披露相关资产的实际盈利数与利润预测数的差异情况。会计师事务所对此出具专项审核意见的，公司在披露年报的同时还要在本所网站予以披露。</w:t>
      </w:r>
    </w:p>
    <w:p w14:paraId="4C64E6C2" w14:textId="77777777" w:rsidR="00674F3E" w:rsidRDefault="00C45190">
      <w:pPr>
        <w:pStyle w:val="ab"/>
        <w:widowControl/>
        <w:spacing w:beforeAutospacing="0" w:afterAutospacing="0" w:line="600" w:lineRule="exact"/>
        <w:ind w:firstLine="570"/>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如果公司或相关资产业绩未达到承诺，公司在审议通过本次年报的董事会中对公司或相关资产的实际盈利数与承诺数据的差异情况进行单独审议，详细说明差异情况、补偿进展及上市公司已经或拟采取的督促措施。上市公司董事、监事、高级管理人员要勤勉尽责，督促公司相关股东、交易对手方或其他相关方按期依照业绩补偿协议履行承诺。</w:t>
      </w:r>
    </w:p>
    <w:p w14:paraId="55F56E2D" w14:textId="77777777" w:rsidR="00674F3E" w:rsidRDefault="00C45190">
      <w:pPr>
        <w:pStyle w:val="ab"/>
        <w:widowControl/>
        <w:spacing w:beforeAutospacing="0" w:afterAutospacing="0" w:line="600" w:lineRule="exact"/>
        <w:ind w:firstLine="570"/>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此外，《年报准则》等还要求，上市公司在定期报告中披露实际控制人、股东、关联方、收购人以及公司等承诺相关方作出的相关承诺事项。为此，上市公司要持续跟踪并披露上述公开承诺事项及其进展情况。</w:t>
      </w:r>
    </w:p>
    <w:p w14:paraId="43909C0C" w14:textId="77777777" w:rsidR="00674F3E" w:rsidRDefault="00C45190">
      <w:pPr>
        <w:pStyle w:val="ab"/>
        <w:widowControl/>
        <w:spacing w:beforeAutospacing="0" w:afterAutospacing="0" w:line="600" w:lineRule="exact"/>
        <w:ind w:firstLine="570"/>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3.公司治理信息。《年报准则》《上市公司治理准则》等对上市公司充分披露公司治理、内部控制等相关信息提出了要求。如果上市</w:t>
      </w:r>
      <w:r>
        <w:rPr>
          <w:rFonts w:ascii="仿宋_GB2312" w:eastAsia="仿宋_GB2312" w:hAnsi="仿宋_GB2312" w:cs="仿宋_GB2312" w:hint="eastAsia"/>
          <w:sz w:val="28"/>
          <w:szCs w:val="28"/>
          <w:shd w:val="clear" w:color="auto" w:fill="FFFFFF"/>
        </w:rPr>
        <w:lastRenderedPageBreak/>
        <w:t>公司存在控股股东、管理层频繁变更，规范运作基础较差，内控缺陷等情形的，要在年度报告“公司治理”章节中的相应部分特别予以说明，全面反映和披露上述事项对上市公司的当前及潜在影响，并明确相关整改措施。</w:t>
      </w:r>
    </w:p>
    <w:p w14:paraId="1DBF6130" w14:textId="77777777" w:rsidR="00674F3E" w:rsidRDefault="00C45190">
      <w:pPr>
        <w:pStyle w:val="ab"/>
        <w:widowControl/>
        <w:spacing w:beforeAutospacing="0" w:afterAutospacing="0" w:line="600" w:lineRule="exact"/>
        <w:ind w:firstLine="570"/>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4.经营情况讨论。《年报准则》规定，上市公司应当在年度报告中回顾分析报告期内的主要经营情况，对重要事项的披露应当完整全面，不能进行选择性披露。同时，注意从业务层面充分解释导致财务数据变动的根本原因及其反映的可能趋势，不能简单重复财务报告的内容。</w:t>
      </w:r>
    </w:p>
    <w:p w14:paraId="52002655" w14:textId="77777777" w:rsidR="00674F3E" w:rsidRDefault="00C45190">
      <w:pPr>
        <w:pStyle w:val="ab"/>
        <w:widowControl/>
        <w:spacing w:beforeAutospacing="0" w:afterAutospacing="0" w:line="600" w:lineRule="exact"/>
        <w:ind w:firstLine="570"/>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5.分行业信息。按照本所相关行业信息披露指引关于定期报告的披露要求，上市公司需要在年报的“管理层讨论与分析”等章节中充分披露。对于商业银行、保险公司、证券公司等金融行业的上市公司，中国证监会制定了特殊行业或业务信息披露特别规定的，需要遵照执行。</w:t>
      </w:r>
    </w:p>
    <w:p w14:paraId="6ACB780C" w14:textId="77777777" w:rsidR="00674F3E" w:rsidRDefault="00C45190">
      <w:pPr>
        <w:pStyle w:val="ab"/>
        <w:widowControl/>
        <w:spacing w:beforeAutospacing="0" w:afterAutospacing="0" w:line="600" w:lineRule="exact"/>
        <w:ind w:firstLine="570"/>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6.并购重组进展。本所《上市公司自律监管指引第6号——重大资产重组》规定，公司应当在年度报告“管理层讨论与分析”中披露重组整合的具体进展情况。上市公司董事会要关注并购重组实施进展，确保其符合《上市公司重大资产重组管理办法》等相关规定。</w:t>
      </w:r>
    </w:p>
    <w:p w14:paraId="1AC95727" w14:textId="77777777" w:rsidR="00674F3E" w:rsidRDefault="00C45190">
      <w:pPr>
        <w:pStyle w:val="ab"/>
        <w:widowControl/>
        <w:spacing w:beforeAutospacing="0" w:afterAutospacing="0" w:line="600" w:lineRule="exact"/>
        <w:ind w:firstLine="570"/>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7.乡村振兴工作。鼓励上市公司按照国家和中国证监会的相关规定，在定期报告“环境和社会责任”章节中充分披露报告期内巩固拓展脱贫攻坚成果、乡村振兴等工作的具体情况。</w:t>
      </w:r>
    </w:p>
    <w:p w14:paraId="39213122" w14:textId="77777777" w:rsidR="00674F3E" w:rsidRDefault="00C45190">
      <w:pPr>
        <w:pStyle w:val="ab"/>
        <w:widowControl/>
        <w:spacing w:beforeAutospacing="0" w:afterAutospacing="0" w:line="600" w:lineRule="exact"/>
        <w:ind w:firstLine="570"/>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8.环境信息。《年报准则》及本所相关规定对定期报告中披露环境相关信息提出要求。上市公司或其重要子公司依规属于环境保护部</w:t>
      </w:r>
      <w:r>
        <w:rPr>
          <w:rFonts w:ascii="仿宋_GB2312" w:eastAsia="仿宋_GB2312" w:hAnsi="仿宋_GB2312" w:cs="仿宋_GB2312" w:hint="eastAsia"/>
          <w:sz w:val="28"/>
          <w:szCs w:val="28"/>
          <w:shd w:val="clear" w:color="auto" w:fill="FFFFFF"/>
        </w:rPr>
        <w:lastRenderedPageBreak/>
        <w:t>门公布的重点排污单位的，应当按规定逐一披露主要环境信息；不披露的，需要充分说明原因。重点排污单位之外的公司也应当披露报告期内因环境问题受到行政处罚的情况，并可以参照披露其他环境信息。根据《股票上市规则》等规定，公司受到重大环保行政处罚的，应当披露相关情况。</w:t>
      </w:r>
    </w:p>
    <w:p w14:paraId="4966C782" w14:textId="77777777" w:rsidR="00674F3E" w:rsidRDefault="00C45190">
      <w:pPr>
        <w:pStyle w:val="ab"/>
        <w:widowControl/>
        <w:spacing w:beforeAutospacing="0" w:afterAutospacing="0" w:line="600" w:lineRule="exact"/>
        <w:ind w:firstLine="570"/>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9.债券情况。本所《公司债券上市规则》等规定，发行公司债券并已在本所上市的上市公司，应当在年报“债券相关情况”章节中披露相关内容。</w:t>
      </w:r>
    </w:p>
    <w:p w14:paraId="07009E1F" w14:textId="77777777" w:rsidR="00674F3E" w:rsidRDefault="00C45190">
      <w:pPr>
        <w:pStyle w:val="ab"/>
        <w:widowControl/>
        <w:spacing w:beforeAutospacing="0" w:afterAutospacing="0" w:line="600" w:lineRule="exact"/>
        <w:ind w:firstLine="570"/>
        <w:rPr>
          <w:rFonts w:ascii="仿宋_GB2312" w:eastAsia="仿宋_GB2312" w:hAnsi="仿宋_GB2312" w:cs="仿宋_GB2312"/>
          <w:sz w:val="28"/>
          <w:szCs w:val="28"/>
        </w:rPr>
      </w:pPr>
      <w:r>
        <w:rPr>
          <w:rFonts w:ascii="仿宋_GB2312" w:eastAsia="仿宋_GB2312" w:hAnsi="仿宋_GB2312" w:cs="仿宋_GB2312"/>
          <w:sz w:val="28"/>
          <w:szCs w:val="28"/>
          <w:shd w:val="clear" w:color="auto" w:fill="FFFFFF"/>
        </w:rPr>
        <w:t>10.</w:t>
      </w:r>
      <w:r>
        <w:rPr>
          <w:rFonts w:ascii="仿宋_GB2312" w:eastAsia="仿宋_GB2312" w:hAnsi="仿宋_GB2312" w:cs="仿宋_GB2312" w:hint="eastAsia"/>
          <w:sz w:val="28"/>
          <w:szCs w:val="28"/>
          <w:shd w:val="clear" w:color="auto" w:fill="FFFFFF"/>
        </w:rPr>
        <w:t>期货和衍生品交易情况。上市公司开展以套期保值为目的的期货和衍生品交易，在披露定期报告时，可以同时结合被套期项目情况对套期保值效果进行全面披露。套期保值业务不满足会计准则规定的套期会计适用条件或</w:t>
      </w:r>
      <w:r>
        <w:rPr>
          <w:rFonts w:ascii="仿宋_GB2312" w:eastAsia="仿宋_GB2312" w:hAnsi="仿宋_GB2312" w:cs="仿宋_GB2312"/>
          <w:sz w:val="28"/>
          <w:szCs w:val="28"/>
          <w:shd w:val="clear" w:color="auto" w:fill="FFFFFF"/>
        </w:rPr>
        <w:t>者</w:t>
      </w:r>
      <w:r>
        <w:rPr>
          <w:rFonts w:ascii="仿宋_GB2312" w:eastAsia="仿宋_GB2312" w:hAnsi="仿宋_GB2312" w:cs="仿宋_GB2312" w:hint="eastAsia"/>
          <w:sz w:val="28"/>
          <w:szCs w:val="28"/>
          <w:shd w:val="clear" w:color="auto" w:fill="FFFFFF"/>
        </w:rPr>
        <w:t>未适用套期会计核算，但能够通过期货和衍生品交易实现风险管理目标的，可以结合套期工具和被套期项目之间的关系等说明是否有效实现了预期风险管理目标。</w:t>
      </w:r>
    </w:p>
    <w:p w14:paraId="3DBEC136" w14:textId="77777777" w:rsidR="00674F3E" w:rsidRDefault="00C45190">
      <w:pPr>
        <w:pStyle w:val="ab"/>
        <w:widowControl/>
        <w:spacing w:beforeAutospacing="0" w:afterAutospacing="0" w:line="600" w:lineRule="exact"/>
        <w:jc w:val="center"/>
        <w:rPr>
          <w:rFonts w:ascii="仿宋_GB2312" w:eastAsia="仿宋_GB2312" w:hAnsi="仿宋_GB2312" w:cs="仿宋_GB2312"/>
          <w:sz w:val="28"/>
          <w:szCs w:val="28"/>
        </w:rPr>
      </w:pPr>
      <w:r>
        <w:rPr>
          <w:rStyle w:val="ae"/>
          <w:rFonts w:ascii="仿宋_GB2312" w:eastAsia="仿宋_GB2312" w:hAnsi="仿宋_GB2312" w:cs="仿宋_GB2312" w:hint="eastAsia"/>
          <w:bCs/>
          <w:sz w:val="28"/>
          <w:szCs w:val="28"/>
          <w:shd w:val="clear" w:color="auto" w:fill="FFFFFF"/>
        </w:rPr>
        <w:t>第四节 与定期报告相关的其他重要事项</w:t>
      </w:r>
    </w:p>
    <w:p w14:paraId="5A070610" w14:textId="77777777" w:rsidR="00674F3E" w:rsidRDefault="00C45190">
      <w:pPr>
        <w:pStyle w:val="ab"/>
        <w:widowControl/>
        <w:spacing w:beforeAutospacing="0" w:afterAutospacing="0" w:line="600" w:lineRule="exact"/>
        <w:ind w:firstLineChars="200" w:firstLine="560"/>
        <w:jc w:val="center"/>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上市公司在及时准确编制披露定期报告的同时，还需要额外关注其他与定期报告相关的重要事项。本节总结了与定期报告尤其是年度报告高度相关的其他重要事项，包括资金占用和违规担保的专项说明、审计报告、现金分红、内部控制报告、社会责任报告、前10名股东及流通股股东持股情况等，为上市公司准备相关披露文件提供指南。</w:t>
      </w:r>
    </w:p>
    <w:p w14:paraId="5A807EA9" w14:textId="77777777" w:rsidR="00674F3E" w:rsidRDefault="00C45190">
      <w:pPr>
        <w:pStyle w:val="ab"/>
        <w:widowControl/>
        <w:spacing w:beforeAutospacing="0" w:afterAutospacing="0" w:line="600" w:lineRule="exact"/>
        <w:ind w:firstLineChars="200" w:firstLine="562"/>
        <w:rPr>
          <w:rFonts w:ascii="仿宋_GB2312" w:eastAsia="仿宋_GB2312" w:hAnsi="仿宋_GB2312" w:cs="仿宋_GB2312"/>
          <w:sz w:val="28"/>
          <w:szCs w:val="28"/>
        </w:rPr>
      </w:pPr>
      <w:r>
        <w:rPr>
          <w:rStyle w:val="ae"/>
          <w:rFonts w:ascii="仿宋_GB2312" w:eastAsia="仿宋_GB2312" w:hAnsi="仿宋_GB2312" w:cs="仿宋_GB2312" w:hint="eastAsia"/>
          <w:bCs/>
          <w:sz w:val="28"/>
          <w:szCs w:val="28"/>
          <w:shd w:val="clear" w:color="auto" w:fill="FFFFFF"/>
        </w:rPr>
        <w:t>一、资金占用和违规担保的专项说明</w:t>
      </w:r>
    </w:p>
    <w:p w14:paraId="0E87F3FC" w14:textId="77777777" w:rsidR="00674F3E" w:rsidRDefault="00C45190">
      <w:pPr>
        <w:pStyle w:val="ab"/>
        <w:widowControl/>
        <w:spacing w:beforeAutospacing="0" w:afterAutospacing="0" w:line="6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1.资金占用情况专项说明。中国证监会相关规定要求注册会计师在为上市公司年度财务会计报告进行审计工作中，对上市公司是否存</w:t>
      </w:r>
      <w:r>
        <w:rPr>
          <w:rFonts w:ascii="仿宋_GB2312" w:eastAsia="仿宋_GB2312" w:hAnsi="仿宋_GB2312" w:cs="仿宋_GB2312" w:hint="eastAsia"/>
          <w:sz w:val="28"/>
          <w:szCs w:val="28"/>
          <w:shd w:val="clear" w:color="auto" w:fill="FFFFFF"/>
        </w:rPr>
        <w:lastRenderedPageBreak/>
        <w:t>在控股股东及其他关联方占用资金的情况出具专项说明，要求公司就专项说明作出公告。其中，专项说明中需要包含按本指南附件2格式编制的“年度非经营性资金占用及其他关联资金往来情况汇总表”。</w:t>
      </w:r>
    </w:p>
    <w:p w14:paraId="10A7D52E" w14:textId="77777777" w:rsidR="00674F3E" w:rsidRDefault="00C45190">
      <w:pPr>
        <w:pStyle w:val="ab"/>
        <w:widowControl/>
        <w:spacing w:beforeAutospacing="0" w:afterAutospacing="0" w:line="6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2.对外担保情况专项说明。上市公司应当严格按照《股票上市规则》等有关规定及公司章程，认真履行对外担保情况的信息披露义务，向注册会计师如实提供公司全部对外担保事项。</w:t>
      </w:r>
    </w:p>
    <w:p w14:paraId="11A9F5E5" w14:textId="77777777" w:rsidR="00674F3E" w:rsidRDefault="00C45190">
      <w:pPr>
        <w:pStyle w:val="ab"/>
        <w:widowControl/>
        <w:spacing w:beforeAutospacing="0" w:afterAutospacing="0" w:line="6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3.违规处置。上市公司董事会应当勤勉尽责，就上市公司与关联方的资金往来、对外担保等事项履行相应的决策程序和信息披露义务。实践中，仍有一些公司存在控股股东、实际控制人等关联方非经营性资金占用或违规担保的情况。按照规定，相关公司需要充分披露有关情况，尽快启动内部追责程序，限期清偿占款或解除担保。对存在违规占用资金和对外担保行为的，本所将依规采取相应的自律监管措施。</w:t>
      </w:r>
    </w:p>
    <w:p w14:paraId="404AFDCD" w14:textId="77777777" w:rsidR="00674F3E" w:rsidRDefault="00C45190">
      <w:pPr>
        <w:pStyle w:val="ab"/>
        <w:widowControl/>
        <w:spacing w:beforeAutospacing="0" w:afterAutospacing="0" w:line="600" w:lineRule="exact"/>
        <w:ind w:firstLineChars="200" w:firstLine="562"/>
        <w:rPr>
          <w:rFonts w:ascii="仿宋_GB2312" w:eastAsia="仿宋_GB2312" w:hAnsi="仿宋_GB2312" w:cs="仿宋_GB2312"/>
          <w:sz w:val="28"/>
          <w:szCs w:val="28"/>
        </w:rPr>
      </w:pPr>
      <w:r>
        <w:rPr>
          <w:rStyle w:val="ae"/>
          <w:rFonts w:ascii="仿宋_GB2312" w:eastAsia="仿宋_GB2312" w:hAnsi="仿宋_GB2312" w:cs="仿宋_GB2312" w:hint="eastAsia"/>
          <w:bCs/>
          <w:sz w:val="28"/>
          <w:szCs w:val="28"/>
          <w:shd w:val="clear" w:color="auto" w:fill="FFFFFF"/>
        </w:rPr>
        <w:t>二、现金分红</w:t>
      </w:r>
    </w:p>
    <w:p w14:paraId="17F77060" w14:textId="77777777" w:rsidR="00674F3E" w:rsidRDefault="00C45190">
      <w:pPr>
        <w:pStyle w:val="ab"/>
        <w:widowControl/>
        <w:spacing w:beforeAutospacing="0" w:afterAutospacing="0" w:line="600" w:lineRule="exact"/>
        <w:ind w:firstLineChars="200" w:firstLine="560"/>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1.现金分红政策的披露。公司需要详细披露现金分红政策的制定及执行情况，专项说明6个方面的内容：（1）是否符合公司章程的规定或者股东大会决议的要求；（2）分红标准和比例是否明确和清晰；（3）相关的决策程序和机制是否完备；（4）独立董事是否尽职履责并发挥了应有的作用；（5）中小股东是否有充分表达意见和诉求的机会；（6）中小股东的合法权益是否得到充分维护等。对现金分红政策进行调整或变更的，还需要详细说明调整或变更的条件和程序是否合规和透明。同时，按照上述规定，公司监事会发现董事会未严格执行现金分红政策和股东回报规划、未严格履行现金分红相应决策程序、未能真实、准确、完整披露现金分红政策及其执行情况的，</w:t>
      </w:r>
      <w:r>
        <w:rPr>
          <w:rFonts w:ascii="仿宋_GB2312" w:eastAsia="仿宋_GB2312" w:hAnsi="仿宋_GB2312" w:cs="仿宋_GB2312" w:hint="eastAsia"/>
          <w:sz w:val="28"/>
          <w:szCs w:val="28"/>
          <w:shd w:val="clear" w:color="auto" w:fill="FFFFFF"/>
        </w:rPr>
        <w:lastRenderedPageBreak/>
        <w:t>还应当发表明确意见。公司需要在年度报告的“公司治理”部分披露上述相关事项。</w:t>
      </w:r>
    </w:p>
    <w:p w14:paraId="0A9ED09F" w14:textId="77777777" w:rsidR="00674F3E" w:rsidRDefault="00C45190">
      <w:pPr>
        <w:pStyle w:val="ab"/>
        <w:widowControl/>
        <w:spacing w:beforeAutospacing="0" w:afterAutospacing="0" w:line="6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2.现金分红未达标情形的处理。本所《上市公司自律监管指引第</w:t>
      </w:r>
      <w:r>
        <w:rPr>
          <w:rFonts w:ascii="仿宋_GB2312" w:eastAsia="仿宋_GB2312" w:hAnsi="仿宋_GB2312" w:cs="仿宋_GB2312"/>
          <w:sz w:val="28"/>
          <w:szCs w:val="28"/>
          <w:shd w:val="clear" w:color="auto" w:fill="FFFFFF"/>
        </w:rPr>
        <w:t>1号——规范运作</w:t>
      </w:r>
      <w:r>
        <w:rPr>
          <w:rFonts w:ascii="仿宋_GB2312" w:eastAsia="仿宋_GB2312" w:hAnsi="仿宋_GB2312" w:cs="仿宋_GB2312" w:hint="eastAsia"/>
          <w:sz w:val="28"/>
          <w:szCs w:val="28"/>
          <w:shd w:val="clear" w:color="auto" w:fill="FFFFFF"/>
        </w:rPr>
        <w:t>》规定，上市公司年度报告期内盈利且累计未分配利润为正，未进行现金分红或者拟分配的现金红利总额与当年归属于上市公司股东的净利润之比低于30%的，应当按规定做好现金分红事宜的说明工作，并在将利润分配议案提交股东大会审议时，为投资者提供网络投票的便利条件（网络投票要求详见附件</w:t>
      </w:r>
      <w:r>
        <w:rPr>
          <w:rFonts w:ascii="仿宋_GB2312" w:eastAsia="仿宋_GB2312" w:hAnsi="仿宋_GB2312" w:cs="仿宋_GB2312"/>
          <w:sz w:val="28"/>
          <w:szCs w:val="28"/>
          <w:shd w:val="clear" w:color="auto" w:fill="FFFFFF"/>
        </w:rPr>
        <w:t>3）。存在以下情形之一的，公司可在充分披露原因后，免于</w:t>
      </w:r>
      <w:r>
        <w:rPr>
          <w:rFonts w:ascii="仿宋_GB2312" w:eastAsia="仿宋_GB2312" w:hAnsi="仿宋_GB2312" w:cs="仿宋_GB2312" w:hint="eastAsia"/>
          <w:sz w:val="28"/>
          <w:szCs w:val="28"/>
          <w:shd w:val="clear" w:color="auto" w:fill="FFFFFF"/>
        </w:rPr>
        <w:t>按照相关规定召开业绩发布会或说明会以及按照参与表决的A股股东的持股比例分段披露表决结果：</w:t>
      </w:r>
      <w:r>
        <w:rPr>
          <w:rFonts w:ascii="仿宋_GB2312" w:eastAsia="仿宋_GB2312" w:hAnsi="仿宋_GB2312" w:cs="仿宋_GB2312"/>
          <w:sz w:val="28"/>
          <w:szCs w:val="28"/>
          <w:shd w:val="clear" w:color="auto" w:fill="FFFFFF"/>
        </w:rPr>
        <w:t>（1）处于资产重组过渡期的上市公司，已在经批准并经股东大会表决通过的资产重组方案中承诺资产重组期间拟置出资产不进行现金分红；（2）实施反向收购借壳上市的公司，由于现行会计准则规定其母公司</w:t>
      </w:r>
      <w:r>
        <w:rPr>
          <w:rFonts w:ascii="仿宋_GB2312" w:eastAsia="仿宋_GB2312" w:hAnsi="仿宋_GB2312" w:cs="仿宋_GB2312" w:hint="eastAsia"/>
          <w:sz w:val="28"/>
          <w:szCs w:val="28"/>
          <w:shd w:val="clear" w:color="auto" w:fill="FFFFFF"/>
        </w:rPr>
        <w:t>报表以壳公司为核算主体、合并报表则以借壳方为核算主体，导致母公司报表和合并报表反差巨大；（</w:t>
      </w:r>
      <w:r>
        <w:rPr>
          <w:rFonts w:ascii="仿宋_GB2312" w:eastAsia="仿宋_GB2312" w:hAnsi="仿宋_GB2312" w:cs="仿宋_GB2312"/>
          <w:sz w:val="28"/>
          <w:szCs w:val="28"/>
          <w:shd w:val="clear" w:color="auto" w:fill="FFFFFF"/>
        </w:rPr>
        <w:t>3）上市公司可供分配利润较低，实施现金分红后每</w:t>
      </w:r>
      <w:r>
        <w:rPr>
          <w:rFonts w:ascii="仿宋_GB2312" w:eastAsia="仿宋_GB2312" w:hAnsi="仿宋_GB2312" w:cs="仿宋_GB2312" w:hint="eastAsia"/>
          <w:sz w:val="28"/>
          <w:szCs w:val="28"/>
          <w:shd w:val="clear" w:color="auto" w:fill="FFFFFF"/>
        </w:rPr>
        <w:t>股分红不足</w:t>
      </w:r>
      <w:r>
        <w:rPr>
          <w:rFonts w:ascii="仿宋_GB2312" w:eastAsia="仿宋_GB2312" w:hAnsi="仿宋_GB2312" w:cs="仿宋_GB2312"/>
          <w:sz w:val="28"/>
          <w:szCs w:val="28"/>
          <w:shd w:val="clear" w:color="auto" w:fill="FFFFFF"/>
        </w:rPr>
        <w:t>1分人民币的。</w:t>
      </w:r>
    </w:p>
    <w:p w14:paraId="09B60AA7" w14:textId="77777777" w:rsidR="00674F3E" w:rsidRDefault="00C45190">
      <w:pPr>
        <w:pStyle w:val="ab"/>
        <w:widowControl/>
        <w:spacing w:beforeAutospacing="0" w:afterAutospacing="0" w:line="6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3.现金分红说明会。上市公司拟召开现金分红说明会的，要在拟召开日之前发布公告，预告说明会的具体事项。说明会可以采取现场、网络或其他有效方式召开。本所上证路演中心和e互动平台可以提供说明会相关服务。实践中，部分说明会未以网络形式向投资者实时公开。这种情况下，公司应当通过公告或者上证所信息网络有限公司的服务平台，全面、如实地向投资者披露说明会的召开情况。</w:t>
      </w:r>
    </w:p>
    <w:p w14:paraId="27C3668F" w14:textId="77777777" w:rsidR="00674F3E" w:rsidRDefault="00C45190">
      <w:pPr>
        <w:pStyle w:val="ab"/>
        <w:widowControl/>
        <w:spacing w:beforeAutospacing="0" w:afterAutospacing="0" w:line="6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lastRenderedPageBreak/>
        <w:t>4.现金分红章程规定。《上市公司监管指引第</w:t>
      </w:r>
      <w:r>
        <w:rPr>
          <w:rFonts w:ascii="仿宋_GB2312" w:eastAsia="仿宋_GB2312" w:hAnsi="仿宋_GB2312" w:cs="仿宋_GB2312"/>
          <w:sz w:val="28"/>
          <w:szCs w:val="28"/>
          <w:shd w:val="clear" w:color="auto" w:fill="FFFFFF"/>
        </w:rPr>
        <w:t>3号——上市公司现金分红》</w:t>
      </w:r>
      <w:r>
        <w:rPr>
          <w:rFonts w:ascii="仿宋_GB2312" w:eastAsia="仿宋_GB2312" w:hAnsi="仿宋_GB2312" w:cs="仿宋_GB2312" w:hint="eastAsia"/>
          <w:sz w:val="28"/>
          <w:szCs w:val="28"/>
          <w:shd w:val="clear" w:color="auto" w:fill="FFFFFF"/>
        </w:rPr>
        <w:t>第四条规定，上市公司应当在公司章程中明确现金分红相对于股票股利在利润分配中的优先顺序。公司章程不符合前述规定的，公司董事会可以提出符合上述要求的章程修改议案，并提交股东大会审议。为稳定市场分红预期，本所鼓励公司采取固定比率的现金分红政策，以及在公司章程中明确各期现金分红最低比例。同时，《上市公司监管指引第</w:t>
      </w:r>
      <w:r>
        <w:rPr>
          <w:rFonts w:ascii="仿宋_GB2312" w:eastAsia="仿宋_GB2312" w:hAnsi="仿宋_GB2312" w:cs="仿宋_GB2312"/>
          <w:sz w:val="28"/>
          <w:szCs w:val="28"/>
          <w:shd w:val="clear" w:color="auto" w:fill="FFFFFF"/>
        </w:rPr>
        <w:t>3号——上市公司现金分红》第五条</w:t>
      </w:r>
      <w:r>
        <w:rPr>
          <w:rFonts w:ascii="仿宋_GB2312" w:eastAsia="仿宋_GB2312" w:hAnsi="仿宋_GB2312" w:cs="仿宋_GB2312" w:hint="eastAsia"/>
          <w:sz w:val="28"/>
          <w:szCs w:val="28"/>
          <w:shd w:val="clear" w:color="auto" w:fill="FFFFFF"/>
        </w:rPr>
        <w:t>规定，公司应当提出体现公司自身差异性的现金分红方案。该条中“现金分红在本次利润分配中所占比例”是指，现金分红金额在本次股利分配（包括现金分红和股票股利）中所占比例。</w:t>
      </w:r>
    </w:p>
    <w:p w14:paraId="0E425724" w14:textId="77777777" w:rsidR="00674F3E" w:rsidRDefault="00C45190">
      <w:pPr>
        <w:pStyle w:val="ab"/>
        <w:widowControl/>
        <w:spacing w:beforeAutospacing="0" w:afterAutospacing="0" w:line="6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5.定期报告现金分红事项的披露。上市公司分配股票股利的，需要在年度报告的“利润分配”部分披露公司所处的发展阶段、有无重大资金支出安排、现金分红在本次利润分配中占比是否符合前述规定等相关事项。部分上市公司采用了剩余股利政策，但年度报告期内盈利且累计未分配利润为正但未进行现金分红，或者拟分配的现金红利总额（包括中期已分配的现金红利）与当年归属于上市公司股东的净利润之比低于30%。在此情形下，按照本所《上市公司自律监管指引第</w:t>
      </w:r>
      <w:r>
        <w:rPr>
          <w:rFonts w:ascii="仿宋_GB2312" w:eastAsia="仿宋_GB2312" w:hAnsi="仿宋_GB2312" w:cs="仿宋_GB2312"/>
          <w:sz w:val="28"/>
          <w:szCs w:val="28"/>
          <w:shd w:val="clear" w:color="auto" w:fill="FFFFFF"/>
        </w:rPr>
        <w:t>1号——规范运作</w:t>
      </w:r>
      <w:r>
        <w:rPr>
          <w:rFonts w:ascii="仿宋_GB2312" w:eastAsia="仿宋_GB2312" w:hAnsi="仿宋_GB2312" w:cs="仿宋_GB2312" w:hint="eastAsia"/>
          <w:sz w:val="28"/>
          <w:szCs w:val="28"/>
          <w:shd w:val="clear" w:color="auto" w:fill="FFFFFF"/>
        </w:rPr>
        <w:t>》的规定，公司需要在审议通过利润分配方案的董事会决议公告中详细披露相关事项和原因。相关信息披露不充分、不完整的，本所可以视情况采取责令补充公告、责令召开投资者说明会等监管措施。</w:t>
      </w:r>
    </w:p>
    <w:p w14:paraId="2215B5BB" w14:textId="77777777" w:rsidR="00674F3E" w:rsidRDefault="00C45190">
      <w:pPr>
        <w:pStyle w:val="ab"/>
        <w:widowControl/>
        <w:spacing w:beforeAutospacing="0" w:afterAutospacing="0" w:line="6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lastRenderedPageBreak/>
        <w:t>6.现金分红的准备。本年度拟进行利润分配的上市公司，提前做好下属子公司对母公司利润分配的准备工作，避免出现因母公司报表与合并报表利润差异过大而无法满足现金分红需求的情况。</w:t>
      </w:r>
    </w:p>
    <w:p w14:paraId="35E97C82" w14:textId="77777777" w:rsidR="00674F3E" w:rsidRDefault="00C45190">
      <w:pPr>
        <w:pStyle w:val="ab"/>
        <w:widowControl/>
        <w:spacing w:beforeAutospacing="0" w:afterAutospacing="0" w:line="600" w:lineRule="exact"/>
        <w:ind w:firstLineChars="200" w:firstLine="562"/>
        <w:rPr>
          <w:rFonts w:ascii="仿宋_GB2312" w:eastAsia="仿宋_GB2312" w:hAnsi="仿宋_GB2312" w:cs="仿宋_GB2312"/>
          <w:sz w:val="28"/>
          <w:szCs w:val="28"/>
        </w:rPr>
      </w:pPr>
      <w:r>
        <w:rPr>
          <w:rStyle w:val="ae"/>
          <w:rFonts w:ascii="仿宋_GB2312" w:eastAsia="仿宋_GB2312" w:hAnsi="仿宋_GB2312" w:cs="仿宋_GB2312" w:hint="eastAsia"/>
          <w:bCs/>
          <w:sz w:val="28"/>
          <w:szCs w:val="28"/>
          <w:shd w:val="clear" w:color="auto" w:fill="FFFFFF"/>
        </w:rPr>
        <w:t>三、审计报告</w:t>
      </w:r>
    </w:p>
    <w:p w14:paraId="595A5C32" w14:textId="77777777" w:rsidR="00674F3E" w:rsidRDefault="00C45190">
      <w:pPr>
        <w:pStyle w:val="ab"/>
        <w:widowControl/>
        <w:spacing w:beforeAutospacing="0" w:afterAutospacing="0" w:line="6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1.审计报告的披露。为全面反映上市公司的财务审计情况，并与已披露的定期报告互相验证，单独披露的审计报告中要包含财务报表及附注。</w:t>
      </w:r>
    </w:p>
    <w:p w14:paraId="7A8FC340" w14:textId="77777777" w:rsidR="00674F3E" w:rsidRDefault="00C45190">
      <w:pPr>
        <w:pStyle w:val="ab"/>
        <w:widowControl/>
        <w:spacing w:beforeAutospacing="0" w:afterAutospacing="0" w:line="6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2.相关主体职责。《中国证券监督管理委员会公告》〔</w:t>
      </w:r>
      <w:r>
        <w:rPr>
          <w:rFonts w:ascii="仿宋_GB2312" w:eastAsia="仿宋_GB2312" w:hAnsi="仿宋_GB2312" w:cs="仿宋_GB2312"/>
          <w:sz w:val="28"/>
          <w:szCs w:val="28"/>
          <w:shd w:val="clear" w:color="auto" w:fill="FFFFFF"/>
        </w:rPr>
        <w:t>2016〕35号、《中国证券监督管理委员会公告》〔2017〕19号规定</w:t>
      </w:r>
      <w:r>
        <w:rPr>
          <w:rFonts w:ascii="仿宋_GB2312" w:eastAsia="仿宋_GB2312" w:hAnsi="仿宋_GB2312" w:cs="仿宋_GB2312" w:hint="eastAsia"/>
          <w:sz w:val="28"/>
          <w:szCs w:val="28"/>
          <w:shd w:val="clear" w:color="auto" w:fill="FFFFFF"/>
        </w:rPr>
        <w:t>，上市公司董事会审计委员会应当对审计报告中“关键审计事项”等涉及的重要事项进行审阅；如果认为上述事项对上市公司影响重大且有必要补充说明的，可以在年度报告正文“重要事项”中进行说明。公司审计机构及相关评估机构应当勤勉尽责，保持独立性，设计有针对性的审计或评估程序，获取充分、适当的证据，发表恰当意见。</w:t>
      </w:r>
    </w:p>
    <w:p w14:paraId="78426D53" w14:textId="77777777" w:rsidR="00674F3E" w:rsidRDefault="00C45190">
      <w:pPr>
        <w:pStyle w:val="ab"/>
        <w:widowControl/>
        <w:spacing w:beforeAutospacing="0" w:afterAutospacing="0" w:line="6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3.非标审计意见相关文件。《股票上市规则》规定，财务会计报告被审计机构出具非标准审计意见的，上市公司应当向本所提交并披露《公开发行证券的公司信息披露编报规则第14号——非标准审计意见及其涉及事项的处理》要求的相关文件。其中，审计机构专项说明需要按照非标准审计意见的不同类型，遵守上述规则的要求。</w:t>
      </w:r>
    </w:p>
    <w:p w14:paraId="27690BC1" w14:textId="77777777" w:rsidR="00674F3E" w:rsidRDefault="00C45190">
      <w:pPr>
        <w:pStyle w:val="ab"/>
        <w:widowControl/>
        <w:spacing w:beforeAutospacing="0" w:afterAutospacing="0" w:line="6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shd w:val="clear" w:color="auto" w:fill="FFFFFF"/>
        </w:rPr>
        <w:t>4.无法表示意见和否定意见的持续披露。财务会计报告被审计机构出具无法表示意见或否定意见的审计意见的，上市公司自披露年报之日起，至所涉及事项解决或次年半年报披露之日止，需要就公司近期经营状况及所涉及事项的解决情况持续履行信息披露义务。</w:t>
      </w:r>
    </w:p>
    <w:p w14:paraId="03F4B5AC" w14:textId="77777777" w:rsidR="00674F3E" w:rsidRDefault="00C45190">
      <w:pPr>
        <w:pStyle w:val="ab"/>
        <w:widowControl/>
        <w:spacing w:beforeAutospacing="0" w:afterAutospacing="0" w:line="600" w:lineRule="exact"/>
        <w:ind w:firstLineChars="200" w:firstLine="562"/>
        <w:rPr>
          <w:rFonts w:ascii="仿宋_GB2312" w:eastAsia="仿宋_GB2312" w:hAnsi="仿宋_GB2312" w:cs="仿宋_GB2312"/>
          <w:sz w:val="28"/>
          <w:szCs w:val="28"/>
        </w:rPr>
      </w:pPr>
      <w:r>
        <w:rPr>
          <w:rStyle w:val="ae"/>
          <w:rFonts w:ascii="仿宋_GB2312" w:eastAsia="仿宋_GB2312" w:hAnsi="仿宋_GB2312" w:cs="仿宋_GB2312" w:hint="eastAsia"/>
          <w:bCs/>
          <w:sz w:val="28"/>
          <w:szCs w:val="28"/>
          <w:shd w:val="clear" w:color="auto" w:fill="FFFFFF"/>
        </w:rPr>
        <w:lastRenderedPageBreak/>
        <w:t>四、内部控制报告</w:t>
      </w:r>
    </w:p>
    <w:p w14:paraId="5DEA30B2" w14:textId="77777777" w:rsidR="00674F3E" w:rsidRDefault="00C45190">
      <w:pPr>
        <w:pStyle w:val="ab"/>
        <w:widowControl/>
        <w:spacing w:beforeAutospacing="0" w:afterAutospacing="0" w:line="6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关于内部控制，中国证监会发布了《关于2012年主板上市公司分类分批实施企业内部控制规范体系的通知》《公开发行证券的公司信息披露编报规则第21号——年度内部控制评价报告的一般规定》等规定，要求上市公司应当披露董事会对内部控制评价报告以及注册会计师出具的财务报告内部控制审计报告，并分别在本所网站披露。公司按规定编写年度内控评价报告或关于未披露内控评价报告的说明时，要使用本所提供的公告编制软件。</w:t>
      </w:r>
    </w:p>
    <w:p w14:paraId="7C5AF2C1" w14:textId="77777777" w:rsidR="00674F3E" w:rsidRDefault="00C45190">
      <w:pPr>
        <w:pStyle w:val="ab"/>
        <w:widowControl/>
        <w:spacing w:beforeAutospacing="0" w:afterAutospacing="0" w:line="600" w:lineRule="exact"/>
        <w:ind w:firstLineChars="200" w:firstLine="562"/>
        <w:rPr>
          <w:rFonts w:ascii="仿宋_GB2312" w:eastAsia="仿宋_GB2312" w:hAnsi="仿宋_GB2312" w:cs="仿宋_GB2312"/>
          <w:sz w:val="28"/>
          <w:szCs w:val="28"/>
        </w:rPr>
      </w:pPr>
      <w:r>
        <w:rPr>
          <w:rStyle w:val="ae"/>
          <w:rFonts w:ascii="仿宋_GB2312" w:eastAsia="仿宋_GB2312" w:hAnsi="仿宋_GB2312" w:cs="仿宋_GB2312" w:hint="eastAsia"/>
          <w:bCs/>
          <w:sz w:val="28"/>
          <w:szCs w:val="28"/>
          <w:shd w:val="clear" w:color="auto" w:fill="FFFFFF"/>
        </w:rPr>
        <w:t>五、社会责任报告</w:t>
      </w:r>
    </w:p>
    <w:p w14:paraId="481FCB00" w14:textId="77777777" w:rsidR="00674F3E" w:rsidRDefault="00C45190">
      <w:pPr>
        <w:pStyle w:val="ab"/>
        <w:widowControl/>
        <w:spacing w:beforeAutospacing="0" w:afterAutospacing="0" w:line="6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部分公司在年度报告披露的同时需要单独披露社会责任报告，具体包括在本所上市的“上证公司治理板块”样本公司、境内外同时上市的公司及金融类公司。本所鼓励其他有条件的上市公司，在年度报告披露的同时披露社会责任报告。</w:t>
      </w:r>
    </w:p>
    <w:p w14:paraId="06BBA6A1" w14:textId="77777777" w:rsidR="00674F3E" w:rsidRDefault="00C45190">
      <w:pPr>
        <w:pStyle w:val="ab"/>
        <w:widowControl/>
        <w:spacing w:beforeAutospacing="0" w:afterAutospacing="0" w:line="600" w:lineRule="exact"/>
        <w:ind w:firstLineChars="200" w:firstLine="562"/>
        <w:rPr>
          <w:rFonts w:ascii="仿宋_GB2312" w:eastAsia="仿宋_GB2312" w:hAnsi="仿宋_GB2312" w:cs="仿宋_GB2312"/>
          <w:sz w:val="28"/>
          <w:szCs w:val="28"/>
        </w:rPr>
      </w:pPr>
      <w:r>
        <w:rPr>
          <w:rStyle w:val="ae"/>
          <w:rFonts w:ascii="仿宋_GB2312" w:eastAsia="仿宋_GB2312" w:hAnsi="仿宋_GB2312" w:cs="仿宋_GB2312" w:hint="eastAsia"/>
          <w:bCs/>
          <w:sz w:val="28"/>
          <w:szCs w:val="28"/>
          <w:shd w:val="clear" w:color="auto" w:fill="FFFFFF"/>
        </w:rPr>
        <w:t>六、前10名股东及流通股股东持股情况</w:t>
      </w:r>
    </w:p>
    <w:p w14:paraId="67F429FB" w14:textId="77777777" w:rsidR="00674F3E" w:rsidRDefault="00C45190">
      <w:pPr>
        <w:pStyle w:val="ab"/>
        <w:widowControl/>
        <w:spacing w:beforeAutospacing="0" w:afterAutospacing="0" w:line="6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1.根据定期报告相关内容与格式准则、编报规则等规定，上市公司应当在定期报告中披露前10名股东及流通股股东的持股情况。上市公司在具体计算股东持股数量时，要将股东在“客户信用交易担保证券账户”中实际持有的股数与其在普通账户持有的股数合并计算。</w:t>
      </w:r>
    </w:p>
    <w:p w14:paraId="1CFB6491" w14:textId="77777777" w:rsidR="00674F3E" w:rsidRDefault="00C45190">
      <w:pPr>
        <w:pStyle w:val="ab"/>
        <w:widowControl/>
        <w:spacing w:beforeAutospacing="0" w:afterAutospacing="0" w:line="600" w:lineRule="exact"/>
        <w:ind w:firstLineChars="200" w:firstLine="560"/>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2.上市公司从中国证券登记结算有限公司上海分公司（以下简称中国结算）取得的“全体持有人名册”中可能会含有“客户信用交易担保证券账户”。在此情况下，公司还要取得中国结算出具的“投资者信用证券账户明细数据”。以此为基础，将证件代码等信息作为识别特征，对“客户信用交易担保证券账户”进行分解并落实到实际持</w:t>
      </w:r>
      <w:r>
        <w:rPr>
          <w:rFonts w:ascii="仿宋_GB2312" w:eastAsia="仿宋_GB2312" w:hAnsi="仿宋_GB2312" w:cs="仿宋_GB2312" w:hint="eastAsia"/>
          <w:sz w:val="28"/>
          <w:szCs w:val="28"/>
          <w:shd w:val="clear" w:color="auto" w:fill="FFFFFF"/>
        </w:rPr>
        <w:lastRenderedPageBreak/>
        <w:t>有人，再将实际持有人的股数与其在普通账户持有的股数合并计算，并以合并计算的结果列示股东持股情况。（具体填写示例详见附件4）</w:t>
      </w:r>
    </w:p>
    <w:p w14:paraId="734DD51B" w14:textId="77777777" w:rsidR="00674F3E" w:rsidRDefault="00C45190">
      <w:pPr>
        <w:pStyle w:val="ab"/>
        <w:widowControl/>
        <w:spacing w:beforeAutospacing="0" w:afterAutospacing="0" w:line="6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3.涉及融资融券、转融通的信息披露时，请上市公司按照《上海证券交易所上市公司自律监管指南第</w:t>
      </w:r>
      <w:r>
        <w:rPr>
          <w:rFonts w:ascii="仿宋_GB2312" w:eastAsia="仿宋_GB2312" w:hAnsi="仿宋_GB2312" w:cs="仿宋_GB2312"/>
          <w:sz w:val="28"/>
          <w:szCs w:val="28"/>
          <w:shd w:val="clear" w:color="auto" w:fill="FFFFFF"/>
        </w:rPr>
        <w:t>2号——业务办理</w:t>
      </w:r>
      <w:r>
        <w:rPr>
          <w:rFonts w:ascii="仿宋_GB2312" w:eastAsia="仿宋_GB2312" w:hAnsi="仿宋_GB2312" w:cs="仿宋_GB2312" w:hint="eastAsia"/>
          <w:sz w:val="28"/>
          <w:szCs w:val="28"/>
          <w:shd w:val="clear" w:color="auto" w:fill="FFFFFF"/>
        </w:rPr>
        <w:t>》相关附件要求办理。</w:t>
      </w:r>
    </w:p>
    <w:p w14:paraId="0BF56320" w14:textId="77777777" w:rsidR="00674F3E" w:rsidRDefault="00C45190">
      <w:pPr>
        <w:pStyle w:val="ab"/>
        <w:widowControl/>
        <w:spacing w:beforeAutospacing="0" w:afterAutospacing="0" w:line="600" w:lineRule="exact"/>
        <w:jc w:val="center"/>
        <w:rPr>
          <w:rFonts w:ascii="仿宋_GB2312" w:eastAsia="仿宋_GB2312" w:hAnsi="仿宋_GB2312" w:cs="仿宋_GB2312"/>
          <w:sz w:val="28"/>
          <w:szCs w:val="28"/>
        </w:rPr>
      </w:pPr>
      <w:r>
        <w:rPr>
          <w:rStyle w:val="ae"/>
          <w:rFonts w:ascii="仿宋_GB2312" w:eastAsia="仿宋_GB2312" w:hAnsi="仿宋_GB2312" w:cs="仿宋_GB2312" w:hint="eastAsia"/>
          <w:bCs/>
          <w:sz w:val="28"/>
          <w:szCs w:val="28"/>
          <w:shd w:val="clear" w:color="auto" w:fill="FFFFFF"/>
        </w:rPr>
        <w:t>第五节 定期报告的披露预约、填报要求和报送文件</w:t>
      </w:r>
    </w:p>
    <w:p w14:paraId="5FE86EE8" w14:textId="77777777" w:rsidR="00674F3E" w:rsidRDefault="00C45190">
      <w:pPr>
        <w:pStyle w:val="ab"/>
        <w:widowControl/>
        <w:spacing w:beforeAutospacing="0" w:afterAutospacing="0" w:line="600" w:lineRule="exact"/>
        <w:ind w:firstLine="570"/>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本节总结了与定期报告预约、“XBRL文件”填报与报送文件等有关的事项。同时，分别列举了年度报告、半年度报告、季度报告有关的上网披露和非上网报备文件目录，方便公司在披露定期报告前对照准备。</w:t>
      </w:r>
    </w:p>
    <w:p w14:paraId="72F3A188" w14:textId="77777777" w:rsidR="00674F3E" w:rsidRDefault="00C45190">
      <w:pPr>
        <w:pStyle w:val="ab"/>
        <w:widowControl/>
        <w:spacing w:beforeAutospacing="0" w:afterAutospacing="0" w:line="600" w:lineRule="exact"/>
        <w:ind w:firstLineChars="200" w:firstLine="562"/>
        <w:rPr>
          <w:rFonts w:ascii="仿宋_GB2312" w:eastAsia="仿宋_GB2312" w:hAnsi="仿宋_GB2312" w:cs="仿宋_GB2312"/>
          <w:sz w:val="28"/>
          <w:szCs w:val="28"/>
        </w:rPr>
      </w:pPr>
      <w:r>
        <w:rPr>
          <w:rStyle w:val="ae"/>
          <w:rFonts w:ascii="仿宋_GB2312" w:eastAsia="仿宋_GB2312" w:hAnsi="仿宋_GB2312" w:cs="仿宋_GB2312" w:hint="eastAsia"/>
          <w:bCs/>
          <w:sz w:val="28"/>
          <w:szCs w:val="28"/>
          <w:shd w:val="clear" w:color="auto" w:fill="FFFFFF"/>
        </w:rPr>
        <w:t>一、定期报告披露预约</w:t>
      </w:r>
    </w:p>
    <w:p w14:paraId="0788C3CA" w14:textId="77777777" w:rsidR="00674F3E" w:rsidRDefault="00C45190">
      <w:pPr>
        <w:pStyle w:val="ab"/>
        <w:widowControl/>
        <w:spacing w:beforeAutospacing="0" w:afterAutospacing="0" w:line="600" w:lineRule="exact"/>
        <w:ind w:firstLineChars="200" w:firstLine="560"/>
        <w:jc w:val="both"/>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上市公司要关注本所关于预约定期报告披露时间的通知，按期完成预约，本所将在官网公布预约结果。如公司未能按期完成预约，系统将会自动分配披露日期。公司如难以在预约披露日期或系统自动分配的披露日期完成披露，请至少提前5个交易日通过本所公司业务系统申请办理变更披露日期，并说明变更原因及变更后的具体披露时间。公司未在前述规定期限内提出定期报告披露预约时间变更申请的，应当及时公告定期报告披露时间变更，陈述变更理由，并明确变更后的披露时间。</w:t>
      </w:r>
    </w:p>
    <w:p w14:paraId="24CBC6B8" w14:textId="77777777" w:rsidR="00674F3E" w:rsidRDefault="00C45190">
      <w:pPr>
        <w:pStyle w:val="ab"/>
        <w:widowControl/>
        <w:spacing w:beforeAutospacing="0" w:afterAutospacing="0"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Pr>
          <w:rStyle w:val="ae"/>
          <w:rFonts w:ascii="仿宋_GB2312" w:eastAsia="仿宋_GB2312" w:hAnsi="仿宋_GB2312" w:cs="仿宋_GB2312" w:hint="eastAsia"/>
          <w:bCs/>
          <w:sz w:val="28"/>
          <w:szCs w:val="28"/>
          <w:shd w:val="clear" w:color="auto" w:fill="FFFFFF"/>
        </w:rPr>
        <w:t>二、定期报告“XBRL文件”的编制和报送</w:t>
      </w:r>
    </w:p>
    <w:p w14:paraId="38934C5F" w14:textId="77777777" w:rsidR="00674F3E" w:rsidRDefault="00C45190">
      <w:pPr>
        <w:pStyle w:val="ab"/>
        <w:widowControl/>
        <w:spacing w:beforeAutospacing="0" w:afterAutospacing="0" w:line="600" w:lineRule="exact"/>
        <w:jc w:val="both"/>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1.上市公司要根据本所提供的最新“XBRL文件”模板（公告编制软件），及时做好年报的填报和披露工作，填报应当准确完整。（“XBRL文件”的具体编制和报送要求详见附件5）</w:t>
      </w:r>
    </w:p>
    <w:p w14:paraId="05E5B5F3" w14:textId="77777777" w:rsidR="00674F3E" w:rsidRDefault="00C45190">
      <w:pPr>
        <w:pStyle w:val="ab"/>
        <w:widowControl/>
        <w:spacing w:beforeAutospacing="0" w:afterAutospacing="0" w:line="600" w:lineRule="exact"/>
        <w:jc w:val="both"/>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lastRenderedPageBreak/>
        <w:t xml:space="preserve">　　2.上市公司直接使用上述公告编制软件进行填报、生成定期报告“XBRL文件”。“XBRL文件”和对外披露的定期报告合二为一，无需额外编制“XBRL文件”。如确有需要披露非定期报告“XBRL文件”模板生成的定期报告全文，请事先与本所联系确认，并提交一份由定期报告“XBRL文件”模板生成的定期报告全文用于数据校验，该份“XBRL文件”不需要对外披露。</w:t>
      </w:r>
    </w:p>
    <w:p w14:paraId="5881F229" w14:textId="77777777" w:rsidR="00674F3E" w:rsidRDefault="00C45190">
      <w:pPr>
        <w:pStyle w:val="ab"/>
        <w:widowControl/>
        <w:spacing w:beforeAutospacing="0" w:afterAutospacing="0" w:line="600" w:lineRule="exact"/>
        <w:jc w:val="both"/>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3.在定期报告的填报中，对于中国证监会定期报告内容与格式准则、编报规则和本所相关行业信息披露指引等规定的披露内容，如上市公司因涉及商业机密、现有内部管理系统难以统计等特殊原因无法披露的，请按照“不披露即解释”的原则，在定期报告中充分说明无法披露涉及的内容和具体原因。</w:t>
      </w:r>
    </w:p>
    <w:p w14:paraId="0C33E24B" w14:textId="77777777" w:rsidR="00674F3E" w:rsidRDefault="00C45190">
      <w:pPr>
        <w:pStyle w:val="ab"/>
        <w:widowControl/>
        <w:spacing w:beforeAutospacing="0" w:afterAutospacing="0" w:line="600" w:lineRule="exact"/>
        <w:jc w:val="both"/>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4.在定期报告财务报告附注部分，上市公司要注意按照定期报告“XBRL文件”提供的模板对明细数据表格进行填报。部分表格不适用的，应当将不适用的表格删除，不可留空。公司在自身内部系统中使用的附注明细科目与定期报告模板不一致的，还要按照定期报告模板对相关财务数据重新列报。非经本所同意，公司不得自行对表格进行修改。</w:t>
      </w:r>
    </w:p>
    <w:p w14:paraId="3D7D1117" w14:textId="77777777" w:rsidR="00674F3E" w:rsidRDefault="00C45190">
      <w:pPr>
        <w:pStyle w:val="ab"/>
        <w:widowControl/>
        <w:spacing w:beforeAutospacing="0" w:afterAutospacing="0"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Pr>
          <w:rStyle w:val="ae"/>
          <w:rFonts w:ascii="仿宋_GB2312" w:eastAsia="仿宋_GB2312" w:hAnsi="仿宋_GB2312" w:cs="仿宋_GB2312" w:hint="eastAsia"/>
          <w:bCs/>
          <w:sz w:val="28"/>
          <w:szCs w:val="28"/>
          <w:shd w:val="clear" w:color="auto" w:fill="FFFFFF"/>
        </w:rPr>
        <w:t>三、年度报告相关文件</w:t>
      </w:r>
    </w:p>
    <w:p w14:paraId="020581E4" w14:textId="77777777" w:rsidR="00674F3E" w:rsidRDefault="00C45190">
      <w:pPr>
        <w:pStyle w:val="ab"/>
        <w:widowControl/>
        <w:spacing w:beforeAutospacing="0" w:afterAutospacing="0"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（一）年度报告上网披露文件</w:t>
      </w:r>
    </w:p>
    <w:p w14:paraId="2854B5D6" w14:textId="77777777" w:rsidR="00674F3E" w:rsidRDefault="00C45190">
      <w:pPr>
        <w:pStyle w:val="ab"/>
        <w:widowControl/>
        <w:spacing w:beforeAutospacing="0" w:afterAutospacing="0"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上市公司在董事会审议通过年报后两个交易日内，需要按照本所发布的信息披露直通车有关的各项业务指引及业务手册，正确选择公告类别，上网披露并向本所报备以下文件：</w:t>
      </w:r>
    </w:p>
    <w:p w14:paraId="54D09A73" w14:textId="77777777" w:rsidR="00674F3E" w:rsidRDefault="00C45190">
      <w:pPr>
        <w:pStyle w:val="ab"/>
        <w:widowControl/>
        <w:spacing w:beforeAutospacing="0" w:afterAutospacing="0"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1.公司出具的文件</w:t>
      </w:r>
    </w:p>
    <w:p w14:paraId="61C21819" w14:textId="77777777" w:rsidR="00674F3E" w:rsidRDefault="00C45190">
      <w:pPr>
        <w:pStyle w:val="ab"/>
        <w:widowControl/>
        <w:spacing w:beforeAutospacing="0" w:afterAutospacing="0"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lastRenderedPageBreak/>
        <w:t xml:space="preserve">　　（1）年报全文和摘要；</w:t>
      </w:r>
    </w:p>
    <w:p w14:paraId="6E236D9E" w14:textId="77777777" w:rsidR="00674F3E" w:rsidRDefault="00C45190">
      <w:pPr>
        <w:pStyle w:val="ab"/>
        <w:widowControl/>
        <w:spacing w:beforeAutospacing="0" w:afterAutospacing="0"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（2）内部控制评价报告（如适用）；</w:t>
      </w:r>
    </w:p>
    <w:p w14:paraId="60312DDF" w14:textId="77777777" w:rsidR="00674F3E" w:rsidRDefault="00C45190">
      <w:pPr>
        <w:pStyle w:val="ab"/>
        <w:widowControl/>
        <w:spacing w:beforeAutospacing="0" w:afterAutospacing="0"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（3）社会责任报告（如适用）；</w:t>
      </w:r>
    </w:p>
    <w:p w14:paraId="59B9BE5E" w14:textId="77777777" w:rsidR="00674F3E" w:rsidRDefault="00C45190">
      <w:pPr>
        <w:pStyle w:val="ab"/>
        <w:widowControl/>
        <w:spacing w:beforeAutospacing="0" w:afterAutospacing="0"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（4）董事会对非标准审计意见涉及事项的专项说明或意见（如适用）；</w:t>
      </w:r>
    </w:p>
    <w:p w14:paraId="45C90DBD" w14:textId="77777777" w:rsidR="00674F3E" w:rsidRDefault="00C45190">
      <w:pPr>
        <w:pStyle w:val="ab"/>
        <w:widowControl/>
        <w:spacing w:beforeAutospacing="0" w:afterAutospacing="0"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（5）董事会关于年度募集资金存放与使用情况的专项报告（如适用）；</w:t>
      </w:r>
    </w:p>
    <w:p w14:paraId="4D20F396" w14:textId="77777777" w:rsidR="00674F3E" w:rsidRDefault="00C45190">
      <w:pPr>
        <w:pStyle w:val="ab"/>
        <w:widowControl/>
        <w:spacing w:beforeAutospacing="0" w:afterAutospacing="0"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（6）董事会关于会计政策、会计估计变更或重大会计差错更正的说明（如适用）；</w:t>
      </w:r>
    </w:p>
    <w:p w14:paraId="042D98DD" w14:textId="59D4B4D5" w:rsidR="00674F3E" w:rsidRDefault="00C45190" w:rsidP="00CE2CB6">
      <w:pPr>
        <w:pStyle w:val="ab"/>
        <w:widowControl/>
        <w:spacing w:beforeAutospacing="0" w:afterAutospacing="0" w:line="600" w:lineRule="exact"/>
        <w:ind w:firstLine="555"/>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（7）独立董事年度述职报告；</w:t>
      </w:r>
    </w:p>
    <w:p w14:paraId="19DD5BBC" w14:textId="35B414DB" w:rsidR="00CE2CB6" w:rsidRPr="00CE2CB6" w:rsidRDefault="00CE2CB6" w:rsidP="00CE2CB6">
      <w:pPr>
        <w:pStyle w:val="ab"/>
        <w:widowControl/>
        <w:spacing w:beforeAutospacing="0" w:afterAutospacing="0" w:line="600" w:lineRule="exact"/>
        <w:ind w:firstLine="555"/>
        <w:rPr>
          <w:rFonts w:ascii="仿宋_GB2312" w:eastAsia="仿宋_GB2312" w:hAnsi="仿宋_GB2312" w:cs="仿宋_GB2312"/>
          <w:sz w:val="28"/>
          <w:szCs w:val="28"/>
        </w:rPr>
      </w:pPr>
      <w:r>
        <w:rPr>
          <w:rFonts w:ascii="仿宋_GB2312" w:eastAsia="仿宋_GB2312" w:hAnsi="仿宋_GB2312" w:cs="仿宋_GB2312" w:hint="eastAsia"/>
          <w:sz w:val="28"/>
          <w:szCs w:val="28"/>
        </w:rPr>
        <w:t>（8）董事会对独立董事独立性自查情况的专项报告；</w:t>
      </w:r>
    </w:p>
    <w:p w14:paraId="644E01D1" w14:textId="3E2AD3A3" w:rsidR="00674F3E" w:rsidRDefault="00C45190">
      <w:pPr>
        <w:pStyle w:val="ab"/>
        <w:widowControl/>
        <w:spacing w:beforeAutospacing="0" w:afterAutospacing="0"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sidR="00CE2CB6">
        <w:rPr>
          <w:rFonts w:ascii="仿宋_GB2312" w:eastAsia="仿宋_GB2312" w:hAnsi="仿宋_GB2312" w:cs="仿宋_GB2312" w:hint="eastAsia"/>
          <w:sz w:val="28"/>
          <w:szCs w:val="28"/>
          <w:shd w:val="clear" w:color="auto" w:fill="FFFFFF"/>
        </w:rPr>
        <w:t>9</w:t>
      </w:r>
      <w:r>
        <w:rPr>
          <w:rFonts w:ascii="仿宋_GB2312" w:eastAsia="仿宋_GB2312" w:hAnsi="仿宋_GB2312" w:cs="仿宋_GB2312" w:hint="eastAsia"/>
          <w:sz w:val="28"/>
          <w:szCs w:val="28"/>
          <w:shd w:val="clear" w:color="auto" w:fill="FFFFFF"/>
        </w:rPr>
        <w:t>）监事会对董事会关于非标准审计意见涉及事项的专项说明或意见（如适用）；</w:t>
      </w:r>
    </w:p>
    <w:p w14:paraId="1FA89D39" w14:textId="3DB5C579" w:rsidR="00674F3E" w:rsidRDefault="00C45190">
      <w:pPr>
        <w:pStyle w:val="ab"/>
        <w:widowControl/>
        <w:spacing w:beforeAutospacing="0" w:afterAutospacing="0" w:line="600" w:lineRule="exact"/>
        <w:ind w:firstLine="560"/>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w:t>
      </w:r>
      <w:r w:rsidR="00CE2CB6">
        <w:rPr>
          <w:rFonts w:ascii="仿宋_GB2312" w:eastAsia="仿宋_GB2312" w:hAnsi="仿宋_GB2312" w:cs="仿宋_GB2312" w:hint="eastAsia"/>
          <w:sz w:val="28"/>
          <w:szCs w:val="28"/>
          <w:shd w:val="clear" w:color="auto" w:fill="FFFFFF"/>
        </w:rPr>
        <w:t>10</w:t>
      </w:r>
      <w:r>
        <w:rPr>
          <w:rFonts w:ascii="仿宋_GB2312" w:eastAsia="仿宋_GB2312" w:hAnsi="仿宋_GB2312" w:cs="仿宋_GB2312" w:hint="eastAsia"/>
          <w:sz w:val="28"/>
          <w:szCs w:val="28"/>
          <w:shd w:val="clear" w:color="auto" w:fill="FFFFFF"/>
        </w:rPr>
        <w:t>）监事会关于会计政策、会计估计变更或重大会计差错更正的说明（如适用）；</w:t>
      </w:r>
    </w:p>
    <w:p w14:paraId="01657A11" w14:textId="2D05175A" w:rsidR="00151772" w:rsidRDefault="00151772">
      <w:pPr>
        <w:pStyle w:val="ab"/>
        <w:widowControl/>
        <w:spacing w:beforeAutospacing="0" w:afterAutospacing="0" w:line="600" w:lineRule="exact"/>
        <w:ind w:firstLine="560"/>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（11）审计委员会年度履职情况报告；</w:t>
      </w:r>
    </w:p>
    <w:p w14:paraId="22A45592" w14:textId="7CB30403" w:rsidR="00674F3E" w:rsidRDefault="00C45190">
      <w:pPr>
        <w:pStyle w:val="ab"/>
        <w:widowControl/>
        <w:spacing w:beforeAutospacing="0" w:afterAutospacing="0" w:line="600" w:lineRule="exact"/>
        <w:ind w:firstLine="570"/>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（1</w:t>
      </w:r>
      <w:r w:rsidR="00151772">
        <w:rPr>
          <w:rFonts w:ascii="仿宋_GB2312" w:eastAsia="仿宋_GB2312" w:hAnsi="仿宋_GB2312" w:cs="仿宋_GB2312" w:hint="eastAsia"/>
          <w:sz w:val="28"/>
          <w:szCs w:val="28"/>
          <w:shd w:val="clear" w:color="auto" w:fill="FFFFFF"/>
        </w:rPr>
        <w:t>2</w:t>
      </w:r>
      <w:r>
        <w:rPr>
          <w:rFonts w:ascii="仿宋_GB2312" w:eastAsia="仿宋_GB2312" w:hAnsi="仿宋_GB2312" w:cs="仿宋_GB2312" w:hint="eastAsia"/>
          <w:sz w:val="28"/>
          <w:szCs w:val="28"/>
          <w:shd w:val="clear" w:color="auto" w:fill="FFFFFF"/>
        </w:rPr>
        <w:t>）退市情况专项报告（如适用）。</w:t>
      </w:r>
    </w:p>
    <w:p w14:paraId="15738EEB" w14:textId="77777777" w:rsidR="00674F3E" w:rsidRDefault="00C45190">
      <w:pPr>
        <w:pStyle w:val="ab"/>
        <w:widowControl/>
        <w:spacing w:beforeAutospacing="0" w:afterAutospacing="0"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2.年审会计师事务所出具的文件</w:t>
      </w:r>
    </w:p>
    <w:p w14:paraId="0D3E8EC9" w14:textId="77777777" w:rsidR="00674F3E" w:rsidRDefault="00C45190">
      <w:pPr>
        <w:pStyle w:val="ab"/>
        <w:widowControl/>
        <w:spacing w:beforeAutospacing="0" w:afterAutospacing="0"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（1）会计师事务所出具的年度审计报告（包括经年审会计师审计的财务报表及附注）；</w:t>
      </w:r>
    </w:p>
    <w:p w14:paraId="33F87E73" w14:textId="77777777" w:rsidR="00674F3E" w:rsidRDefault="00C45190">
      <w:pPr>
        <w:pStyle w:val="ab"/>
        <w:widowControl/>
        <w:spacing w:beforeAutospacing="0" w:afterAutospacing="0"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（2）会计师事务所对公司控股股东及其关联方占用资金情况的专项说明；</w:t>
      </w:r>
    </w:p>
    <w:p w14:paraId="5F17DBEA" w14:textId="77777777" w:rsidR="00674F3E" w:rsidRDefault="00C45190">
      <w:pPr>
        <w:pStyle w:val="ab"/>
        <w:widowControl/>
        <w:spacing w:beforeAutospacing="0" w:afterAutospacing="0"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lastRenderedPageBreak/>
        <w:t xml:space="preserve">　　（3）会计师事务所对非标准审计意见涉及事项出具的专项说明（如适用）；</w:t>
      </w:r>
    </w:p>
    <w:p w14:paraId="315C8D8E" w14:textId="77777777" w:rsidR="00674F3E" w:rsidRDefault="00C45190">
      <w:pPr>
        <w:pStyle w:val="ab"/>
        <w:widowControl/>
        <w:spacing w:beforeAutospacing="0" w:afterAutospacing="0"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（4）会计师事务所出具的对公司募集资金存放与使用的专项审核报告（如适用）；</w:t>
      </w:r>
    </w:p>
    <w:p w14:paraId="46AF497E" w14:textId="77777777" w:rsidR="00674F3E" w:rsidRDefault="00C45190">
      <w:pPr>
        <w:pStyle w:val="ab"/>
        <w:widowControl/>
        <w:spacing w:beforeAutospacing="0" w:afterAutospacing="0"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（5）会计师事务所出具的关于会计政策、会计估计变更或重大会计差错更正的说明（如适用）；</w:t>
      </w:r>
    </w:p>
    <w:p w14:paraId="4DA3367F" w14:textId="77777777" w:rsidR="00674F3E" w:rsidRDefault="00C45190">
      <w:pPr>
        <w:pStyle w:val="ab"/>
        <w:widowControl/>
        <w:spacing w:beforeAutospacing="0" w:afterAutospacing="0"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（6）会计师事务所对重大资产重组盈利预测实现情况的专项审核报告（如适用）；</w:t>
      </w:r>
    </w:p>
    <w:p w14:paraId="096E8A2B" w14:textId="77777777" w:rsidR="00674F3E" w:rsidRDefault="00C45190">
      <w:pPr>
        <w:pStyle w:val="ab"/>
        <w:widowControl/>
        <w:spacing w:beforeAutospacing="0" w:afterAutospacing="0" w:line="600" w:lineRule="exact"/>
        <w:ind w:firstLine="570"/>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（7）会计师事务所出具的财务报告内部控制审计报告（如适用）；</w:t>
      </w:r>
    </w:p>
    <w:p w14:paraId="70B759E7" w14:textId="77777777" w:rsidR="00674F3E" w:rsidRDefault="00C45190">
      <w:pPr>
        <w:pStyle w:val="ab"/>
        <w:widowControl/>
        <w:spacing w:beforeAutospacing="0" w:afterAutospacing="0" w:line="600" w:lineRule="exact"/>
        <w:ind w:firstLineChars="200" w:firstLine="560"/>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（8）</w:t>
      </w:r>
      <w:r>
        <w:rPr>
          <w:rFonts w:ascii="仿宋_GB2312" w:eastAsia="仿宋_GB2312" w:hAnsi="仿宋_GB2312" w:cs="仿宋_GB2312"/>
          <w:sz w:val="28"/>
          <w:szCs w:val="28"/>
          <w:shd w:val="clear" w:color="auto" w:fill="FFFFFF"/>
        </w:rPr>
        <w:t>会计师事务所对营业收入扣除事项及扣除后营业收入金额出具的专项核查意见（如适用）</w:t>
      </w:r>
      <w:r>
        <w:rPr>
          <w:rFonts w:ascii="仿宋_GB2312" w:eastAsia="仿宋_GB2312" w:hAnsi="仿宋_GB2312" w:cs="仿宋_GB2312" w:hint="eastAsia"/>
          <w:sz w:val="28"/>
          <w:szCs w:val="28"/>
          <w:shd w:val="clear" w:color="auto" w:fill="FFFFFF"/>
        </w:rPr>
        <w:t>；</w:t>
      </w:r>
    </w:p>
    <w:p w14:paraId="4500DB4B" w14:textId="77777777" w:rsidR="00674F3E" w:rsidRDefault="00C45190">
      <w:pPr>
        <w:pStyle w:val="ab"/>
        <w:widowControl/>
        <w:spacing w:beforeAutospacing="0" w:afterAutospacing="0" w:line="600" w:lineRule="exact"/>
        <w:ind w:firstLineChars="200" w:firstLine="560"/>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w:t>
      </w:r>
      <w:r>
        <w:rPr>
          <w:rFonts w:ascii="仿宋_GB2312" w:eastAsia="仿宋_GB2312" w:hAnsi="仿宋_GB2312" w:cs="仿宋_GB2312"/>
          <w:sz w:val="28"/>
          <w:szCs w:val="28"/>
          <w:shd w:val="clear" w:color="auto" w:fill="FFFFFF"/>
        </w:rPr>
        <w:t>9）</w:t>
      </w:r>
      <w:r>
        <w:rPr>
          <w:rFonts w:ascii="仿宋_GB2312" w:eastAsia="仿宋_GB2312" w:hAnsi="仿宋_GB2312" w:cs="仿宋_GB2312" w:hint="eastAsia"/>
          <w:sz w:val="28"/>
          <w:szCs w:val="28"/>
          <w:shd w:val="clear" w:color="auto" w:fill="FFFFFF"/>
        </w:rPr>
        <w:t>会计师事务所对非经常性损益出具的专项核查意见（如</w:t>
      </w:r>
      <w:r>
        <w:rPr>
          <w:rFonts w:ascii="仿宋_GB2312" w:eastAsia="仿宋_GB2312" w:hAnsi="仿宋_GB2312" w:cs="仿宋_GB2312"/>
          <w:sz w:val="28"/>
          <w:szCs w:val="28"/>
          <w:shd w:val="clear" w:color="auto" w:fill="FFFFFF"/>
        </w:rPr>
        <w:t>适用</w:t>
      </w:r>
      <w:r>
        <w:rPr>
          <w:rFonts w:ascii="仿宋_GB2312" w:eastAsia="仿宋_GB2312" w:hAnsi="仿宋_GB2312" w:cs="仿宋_GB2312" w:hint="eastAsia"/>
          <w:sz w:val="28"/>
          <w:szCs w:val="28"/>
          <w:shd w:val="clear" w:color="auto" w:fill="FFFFFF"/>
        </w:rPr>
        <w:t>）。</w:t>
      </w:r>
    </w:p>
    <w:p w14:paraId="4CE9A722" w14:textId="77777777" w:rsidR="00674F3E" w:rsidRDefault="00C45190">
      <w:pPr>
        <w:pStyle w:val="ab"/>
        <w:widowControl/>
        <w:spacing w:beforeAutospacing="0" w:afterAutospacing="0"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3.保荐机构出具的关于公司募集资金存放与实际使用情况的专项核查报告（如适用）；</w:t>
      </w:r>
    </w:p>
    <w:p w14:paraId="3ABDA9DB" w14:textId="77777777" w:rsidR="00674F3E" w:rsidRDefault="00C45190">
      <w:pPr>
        <w:pStyle w:val="ab"/>
        <w:widowControl/>
        <w:spacing w:beforeAutospacing="0" w:afterAutospacing="0"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4.中国证监会和本所规定的其它文件。</w:t>
      </w:r>
    </w:p>
    <w:p w14:paraId="1929FC9F" w14:textId="77777777" w:rsidR="00674F3E" w:rsidRDefault="00C45190">
      <w:pPr>
        <w:pStyle w:val="ab"/>
        <w:widowControl/>
        <w:spacing w:beforeAutospacing="0" w:afterAutospacing="0"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（二）仅报备非上网披露文件</w:t>
      </w:r>
    </w:p>
    <w:p w14:paraId="7ACD0CDE" w14:textId="77777777" w:rsidR="00674F3E" w:rsidRDefault="00C45190">
      <w:pPr>
        <w:pStyle w:val="ab"/>
        <w:widowControl/>
        <w:spacing w:beforeAutospacing="0" w:afterAutospacing="0"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1.经现任法定代表人签字和公司盖章的年报全文和摘要；</w:t>
      </w:r>
    </w:p>
    <w:p w14:paraId="277387D4" w14:textId="77777777" w:rsidR="00674F3E" w:rsidRDefault="00C45190">
      <w:pPr>
        <w:pStyle w:val="ab"/>
        <w:widowControl/>
        <w:spacing w:beforeAutospacing="0" w:afterAutospacing="0"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2.经公司负责人、主管会计工作的负责人、会计机构负责人（会计主管人员）签字并盖章的上市公司财务报表；</w:t>
      </w:r>
    </w:p>
    <w:p w14:paraId="162E8824" w14:textId="77777777" w:rsidR="00674F3E" w:rsidRDefault="00C45190">
      <w:pPr>
        <w:pStyle w:val="ab"/>
        <w:widowControl/>
        <w:spacing w:beforeAutospacing="0" w:afterAutospacing="0"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3.董事会决议，公司董事、高级管理人员签署的对公司年报的书面确认意见；</w:t>
      </w:r>
    </w:p>
    <w:p w14:paraId="1229826E" w14:textId="77777777" w:rsidR="00674F3E" w:rsidRDefault="00C45190">
      <w:pPr>
        <w:pStyle w:val="ab"/>
        <w:widowControl/>
        <w:spacing w:beforeAutospacing="0" w:afterAutospacing="0" w:line="600" w:lineRule="exact"/>
        <w:ind w:firstLine="560"/>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lastRenderedPageBreak/>
        <w:t>4.监事会决议，以监事会决议的形式提出的对年报的书面审核意见，公司监事签署的对公司年报的书面确认意见；</w:t>
      </w:r>
    </w:p>
    <w:p w14:paraId="5D7D7606" w14:textId="77777777" w:rsidR="00674F3E" w:rsidRDefault="00C45190">
      <w:pPr>
        <w:pStyle w:val="ab"/>
        <w:widowControl/>
        <w:spacing w:beforeAutospacing="0" w:afterAutospacing="0" w:line="600" w:lineRule="exact"/>
        <w:ind w:firstLine="570"/>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5.审计委员会对财务会计报告及定期报告中的财务信息、内部控制评价报告的审议情况；</w:t>
      </w:r>
    </w:p>
    <w:p w14:paraId="3125A9A2" w14:textId="77777777" w:rsidR="00674F3E" w:rsidRDefault="00C45190">
      <w:pPr>
        <w:pStyle w:val="ab"/>
        <w:widowControl/>
        <w:spacing w:beforeAutospacing="0" w:afterAutospacing="0" w:line="6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6.与商誉等相关的中介机构报告（如适用）；</w:t>
      </w:r>
    </w:p>
    <w:p w14:paraId="0CE98372" w14:textId="77777777" w:rsidR="00674F3E" w:rsidRDefault="00C45190">
      <w:pPr>
        <w:pStyle w:val="ab"/>
        <w:widowControl/>
        <w:spacing w:beforeAutospacing="0" w:afterAutospacing="0"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7.中国证监会和本所规定的其他文件。</w:t>
      </w:r>
    </w:p>
    <w:p w14:paraId="75646CD9" w14:textId="77777777" w:rsidR="00674F3E" w:rsidRDefault="00C45190">
      <w:pPr>
        <w:pStyle w:val="ab"/>
        <w:widowControl/>
        <w:spacing w:beforeAutospacing="0" w:afterAutospacing="0"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Pr>
          <w:rStyle w:val="ae"/>
          <w:rFonts w:ascii="仿宋_GB2312" w:eastAsia="仿宋_GB2312" w:hAnsi="仿宋_GB2312" w:cs="仿宋_GB2312" w:hint="eastAsia"/>
          <w:bCs/>
          <w:sz w:val="28"/>
          <w:szCs w:val="28"/>
          <w:shd w:val="clear" w:color="auto" w:fill="FFFFFF"/>
        </w:rPr>
        <w:t xml:space="preserve">　四、半年度报告相关文件</w:t>
      </w:r>
    </w:p>
    <w:p w14:paraId="28B0C921" w14:textId="77777777" w:rsidR="00674F3E" w:rsidRDefault="00C45190">
      <w:pPr>
        <w:pStyle w:val="ab"/>
        <w:widowControl/>
        <w:spacing w:beforeAutospacing="0" w:afterAutospacing="0"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（一）上网披露并报备文件</w:t>
      </w:r>
    </w:p>
    <w:p w14:paraId="2120BA0D" w14:textId="77777777" w:rsidR="00674F3E" w:rsidRDefault="00C45190">
      <w:pPr>
        <w:pStyle w:val="ab"/>
        <w:widowControl/>
        <w:spacing w:beforeAutospacing="0" w:afterAutospacing="0"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1.半年报全文和摘要；</w:t>
      </w:r>
    </w:p>
    <w:p w14:paraId="7F8E4E00" w14:textId="77777777" w:rsidR="00674F3E" w:rsidRDefault="00C45190">
      <w:pPr>
        <w:pStyle w:val="ab"/>
        <w:widowControl/>
        <w:spacing w:beforeAutospacing="0" w:afterAutospacing="0"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2.董事会、监事会、审计委员会、会计师事务所对非标准审计意见涉及事项的专项说明或意见（如适用）；</w:t>
      </w:r>
    </w:p>
    <w:p w14:paraId="11534892" w14:textId="77777777" w:rsidR="00674F3E" w:rsidRDefault="00C45190">
      <w:pPr>
        <w:pStyle w:val="ab"/>
        <w:widowControl/>
        <w:spacing w:beforeAutospacing="0" w:afterAutospacing="0" w:line="600" w:lineRule="exact"/>
        <w:ind w:firstLine="560"/>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3.董事会、监事会、会计师事务所关于会计政策或会计估计变更、重大会计差错更正的说明（如适用）；</w:t>
      </w:r>
    </w:p>
    <w:p w14:paraId="4313B22D" w14:textId="77777777" w:rsidR="00674F3E" w:rsidRDefault="00C45190">
      <w:pPr>
        <w:pStyle w:val="ab"/>
        <w:widowControl/>
        <w:spacing w:beforeAutospacing="0" w:afterAutospacing="0"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4.会计师事务所出具的审计报告（包括经年审会计师审计的财务报表及附注）（如适用）；</w:t>
      </w:r>
    </w:p>
    <w:p w14:paraId="65A73778" w14:textId="77777777" w:rsidR="00674F3E" w:rsidRDefault="00C45190">
      <w:pPr>
        <w:pStyle w:val="ab"/>
        <w:widowControl/>
        <w:spacing w:beforeAutospacing="0" w:afterAutospacing="0"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Pr>
          <w:rFonts w:ascii="仿宋_GB2312" w:eastAsia="仿宋_GB2312" w:hAnsi="仿宋_GB2312" w:cs="仿宋_GB2312"/>
          <w:sz w:val="28"/>
          <w:szCs w:val="28"/>
          <w:shd w:val="clear" w:color="auto" w:fill="FFFFFF"/>
        </w:rPr>
        <w:t>5</w:t>
      </w:r>
      <w:r>
        <w:rPr>
          <w:rFonts w:ascii="仿宋_GB2312" w:eastAsia="仿宋_GB2312" w:hAnsi="仿宋_GB2312" w:cs="仿宋_GB2312" w:hint="eastAsia"/>
          <w:sz w:val="28"/>
          <w:szCs w:val="28"/>
          <w:shd w:val="clear" w:color="auto" w:fill="FFFFFF"/>
        </w:rPr>
        <w:t>.中国证监会和本所规定的其它文件。</w:t>
      </w:r>
    </w:p>
    <w:p w14:paraId="5B07EF9A" w14:textId="77777777" w:rsidR="00674F3E" w:rsidRDefault="00C45190">
      <w:pPr>
        <w:pStyle w:val="ab"/>
        <w:widowControl/>
        <w:spacing w:beforeAutospacing="0" w:afterAutospacing="0"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（二）仅报备非上网披露文件</w:t>
      </w:r>
    </w:p>
    <w:p w14:paraId="5A7FCE32" w14:textId="77777777" w:rsidR="00674F3E" w:rsidRDefault="00C45190">
      <w:pPr>
        <w:pStyle w:val="ab"/>
        <w:widowControl/>
        <w:spacing w:beforeAutospacing="0" w:afterAutospacing="0"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1.经现任法定代表人签字和公司盖章的半年报全文和摘要；</w:t>
      </w:r>
    </w:p>
    <w:p w14:paraId="7416398A" w14:textId="77777777" w:rsidR="00674F3E" w:rsidRDefault="00C45190">
      <w:pPr>
        <w:pStyle w:val="ab"/>
        <w:widowControl/>
        <w:spacing w:beforeAutospacing="0" w:afterAutospacing="0"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2.经公司负责人、主管会计工作的负责人、会计机构负责人（会计主管人员）签字并盖章的上市公司财务报表；</w:t>
      </w:r>
    </w:p>
    <w:p w14:paraId="13AA5A1F" w14:textId="77777777" w:rsidR="00674F3E" w:rsidRDefault="00C45190">
      <w:pPr>
        <w:pStyle w:val="ab"/>
        <w:widowControl/>
        <w:spacing w:beforeAutospacing="0" w:afterAutospacing="0"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3.上市公司董事、监事、高级管理人员签署的对半年报的书面确认意见；</w:t>
      </w:r>
    </w:p>
    <w:p w14:paraId="09501BD3" w14:textId="77777777" w:rsidR="00674F3E" w:rsidRDefault="00C45190">
      <w:pPr>
        <w:pStyle w:val="ab"/>
        <w:widowControl/>
        <w:spacing w:beforeAutospacing="0" w:afterAutospacing="0" w:line="600" w:lineRule="exact"/>
        <w:ind w:firstLine="560"/>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lastRenderedPageBreak/>
        <w:t>4.董事会决议、监事会决议。如果董事会决议仅含通过半年报一项议案的，监事会决议仅含半年报的书面审核意见的，可免于披露董事会和监事会决议公告；</w:t>
      </w:r>
    </w:p>
    <w:p w14:paraId="614828D8" w14:textId="77777777" w:rsidR="00674F3E" w:rsidRDefault="00C45190">
      <w:pPr>
        <w:pStyle w:val="ab"/>
        <w:widowControl/>
        <w:spacing w:beforeAutospacing="0" w:afterAutospacing="0" w:line="600" w:lineRule="exact"/>
        <w:ind w:firstLine="570"/>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5.审计委员会对财务会计报告及定期报告中的财务信息的审议情况；</w:t>
      </w:r>
    </w:p>
    <w:p w14:paraId="2853D357" w14:textId="77777777" w:rsidR="00674F3E" w:rsidRDefault="00C45190">
      <w:pPr>
        <w:pStyle w:val="ab"/>
        <w:widowControl/>
        <w:spacing w:beforeAutospacing="0" w:afterAutospacing="0" w:line="6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6.中国证监会和本所规定的其它文件。</w:t>
      </w:r>
    </w:p>
    <w:p w14:paraId="32DF8786" w14:textId="77777777" w:rsidR="00674F3E" w:rsidRDefault="00C45190">
      <w:pPr>
        <w:pStyle w:val="ab"/>
        <w:widowControl/>
        <w:spacing w:beforeAutospacing="0" w:afterAutospacing="0"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w:t>
      </w:r>
      <w:r>
        <w:rPr>
          <w:rStyle w:val="ae"/>
          <w:rFonts w:ascii="仿宋_GB2312" w:eastAsia="仿宋_GB2312" w:hAnsi="仿宋_GB2312" w:cs="仿宋_GB2312" w:hint="eastAsia"/>
          <w:bCs/>
          <w:sz w:val="28"/>
          <w:szCs w:val="28"/>
          <w:shd w:val="clear" w:color="auto" w:fill="FFFFFF"/>
        </w:rPr>
        <w:t>五、季度报告相关文件</w:t>
      </w:r>
    </w:p>
    <w:p w14:paraId="445EEE21" w14:textId="77777777" w:rsidR="00674F3E" w:rsidRDefault="00C45190">
      <w:pPr>
        <w:pStyle w:val="ab"/>
        <w:widowControl/>
        <w:spacing w:beforeAutospacing="0" w:afterAutospacing="0"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上市公司应当在董事会审议通过季报后两个交易日内，向本所报送以下文件：</w:t>
      </w:r>
    </w:p>
    <w:p w14:paraId="08E248A6" w14:textId="77777777" w:rsidR="00674F3E" w:rsidRDefault="00C45190">
      <w:pPr>
        <w:pStyle w:val="ab"/>
        <w:widowControl/>
        <w:spacing w:beforeAutospacing="0" w:afterAutospacing="0"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（一）上网披露并报备文件</w:t>
      </w:r>
    </w:p>
    <w:p w14:paraId="6C09C7EB" w14:textId="77777777" w:rsidR="00674F3E" w:rsidRDefault="00C45190">
      <w:pPr>
        <w:pStyle w:val="ab"/>
        <w:widowControl/>
        <w:spacing w:beforeAutospacing="0" w:afterAutospacing="0"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1.季报公告；</w:t>
      </w:r>
    </w:p>
    <w:p w14:paraId="4E476460" w14:textId="77777777" w:rsidR="00674F3E" w:rsidRDefault="00C45190">
      <w:pPr>
        <w:pStyle w:val="ab"/>
        <w:widowControl/>
        <w:spacing w:beforeAutospacing="0" w:afterAutospacing="0"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2.董事会、监事会、审计委员会、会计师事务所对非标准审计意见涉及事项的专项说明或意见（如适用）；</w:t>
      </w:r>
    </w:p>
    <w:p w14:paraId="23E2A732" w14:textId="77777777" w:rsidR="00674F3E" w:rsidRDefault="00C45190">
      <w:pPr>
        <w:pStyle w:val="ab"/>
        <w:widowControl/>
        <w:spacing w:beforeAutospacing="0" w:afterAutospacing="0"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3.董事会、监事会、会计师事务所关于会计政策或会计估计变更、重大会计差错更正的说明（如适用）；</w:t>
      </w:r>
    </w:p>
    <w:p w14:paraId="4934E75B" w14:textId="77777777" w:rsidR="00674F3E" w:rsidRDefault="00C45190">
      <w:pPr>
        <w:pStyle w:val="ab"/>
        <w:widowControl/>
        <w:spacing w:beforeAutospacing="0" w:afterAutospacing="0"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4.会计师事务所出具的审计报告（包括经年审会计师审计的财务报表及附注）（如适用）；</w:t>
      </w:r>
    </w:p>
    <w:p w14:paraId="0D9C5EC3" w14:textId="77777777" w:rsidR="00674F3E" w:rsidRDefault="00C45190">
      <w:pPr>
        <w:pStyle w:val="ab"/>
        <w:widowControl/>
        <w:spacing w:beforeAutospacing="0" w:afterAutospacing="0"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5.中国证监会和本所规定的其它文件。</w:t>
      </w:r>
    </w:p>
    <w:p w14:paraId="42EC0401" w14:textId="77777777" w:rsidR="00674F3E" w:rsidRDefault="00C45190">
      <w:pPr>
        <w:pStyle w:val="ab"/>
        <w:widowControl/>
        <w:spacing w:beforeAutospacing="0" w:afterAutospacing="0"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（二）仅报备非上网披露文件</w:t>
      </w:r>
    </w:p>
    <w:p w14:paraId="736277CC" w14:textId="77777777" w:rsidR="00674F3E" w:rsidRDefault="00C45190">
      <w:pPr>
        <w:pStyle w:val="ab"/>
        <w:widowControl/>
        <w:spacing w:beforeAutospacing="0" w:afterAutospacing="0"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1.经现任法定代表人签字和公司盖章的季报；</w:t>
      </w:r>
    </w:p>
    <w:p w14:paraId="239ABA5B" w14:textId="77777777" w:rsidR="00674F3E" w:rsidRDefault="00C45190">
      <w:pPr>
        <w:pStyle w:val="ab"/>
        <w:widowControl/>
        <w:spacing w:beforeAutospacing="0" w:afterAutospacing="0"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2.经公司负责人、主管会计工作的负责人、会计机构负责人（会计主管人员）签字并盖章的上市公司财务报表；</w:t>
      </w:r>
    </w:p>
    <w:p w14:paraId="01EC089C" w14:textId="77777777" w:rsidR="00674F3E" w:rsidRDefault="00C45190">
      <w:pPr>
        <w:pStyle w:val="ab"/>
        <w:widowControl/>
        <w:spacing w:beforeAutospacing="0" w:afterAutospacing="0"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lastRenderedPageBreak/>
        <w:t xml:space="preserve">　　3.上市公司董事、监事、高级管理人员签署的对季报的书面确认意见；</w:t>
      </w:r>
    </w:p>
    <w:p w14:paraId="5712EA17" w14:textId="77777777" w:rsidR="00674F3E" w:rsidRDefault="00C45190">
      <w:pPr>
        <w:pStyle w:val="ab"/>
        <w:widowControl/>
        <w:spacing w:beforeAutospacing="0" w:afterAutospacing="0"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4.董事会决议、监事会决议。如果董事会决议仅含通过季报一项议案的，监事会决议仅含季报的书面审核意见的，可免于披露董事会和监事会决议公告；</w:t>
      </w:r>
    </w:p>
    <w:p w14:paraId="0BAB4EA6" w14:textId="77777777" w:rsidR="00674F3E" w:rsidRDefault="00C45190">
      <w:pPr>
        <w:pStyle w:val="ab"/>
        <w:widowControl/>
        <w:spacing w:beforeAutospacing="0" w:afterAutospacing="0" w:line="600" w:lineRule="exact"/>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 xml:space="preserve">　　5.中国证监会和本所规定的其它文件。</w:t>
      </w:r>
    </w:p>
    <w:p w14:paraId="45F4FC10" w14:textId="77777777" w:rsidR="00674F3E" w:rsidRDefault="00674F3E">
      <w:pPr>
        <w:pStyle w:val="ab"/>
        <w:widowControl/>
        <w:spacing w:beforeAutospacing="0" w:afterAutospacing="0" w:line="600" w:lineRule="exact"/>
        <w:rPr>
          <w:rFonts w:ascii="仿宋_GB2312" w:eastAsia="仿宋_GB2312" w:hAnsi="仿宋_GB2312" w:cs="仿宋_GB2312"/>
          <w:sz w:val="28"/>
          <w:szCs w:val="28"/>
        </w:rPr>
      </w:pPr>
    </w:p>
    <w:p w14:paraId="6276CFC5" w14:textId="77777777" w:rsidR="00674F3E" w:rsidRDefault="00C45190">
      <w:pPr>
        <w:pStyle w:val="ab"/>
        <w:widowControl/>
        <w:spacing w:beforeAutospacing="0" w:afterAutospacing="0"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附件：</w:t>
      </w:r>
    </w:p>
    <w:p w14:paraId="030DB03B" w14:textId="77777777" w:rsidR="00674F3E" w:rsidRDefault="00C45190">
      <w:pPr>
        <w:pStyle w:val="ab"/>
        <w:widowControl/>
        <w:spacing w:beforeAutospacing="0" w:afterAutospacing="0"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1. 独立董事年度述职报告模板</w:t>
      </w:r>
    </w:p>
    <w:p w14:paraId="3F2E7DFB" w14:textId="77777777" w:rsidR="00674F3E" w:rsidRDefault="00C45190">
      <w:pPr>
        <w:pStyle w:val="ab"/>
        <w:widowControl/>
        <w:spacing w:beforeAutospacing="0" w:afterAutospacing="0"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2. 上市公司20XX年度非经营性资金占用及其他关联资金往来情况汇总表</w:t>
      </w:r>
    </w:p>
    <w:p w14:paraId="75A3E903" w14:textId="77777777" w:rsidR="00674F3E" w:rsidRDefault="00C45190">
      <w:pPr>
        <w:pStyle w:val="ab"/>
        <w:widowControl/>
        <w:spacing w:beforeAutospacing="0" w:afterAutospacing="0"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3. 现金分红网络投票要求</w:t>
      </w:r>
    </w:p>
    <w:p w14:paraId="2C2F1F56" w14:textId="77777777" w:rsidR="00674F3E" w:rsidRDefault="00C45190">
      <w:pPr>
        <w:pStyle w:val="ab"/>
        <w:widowControl/>
        <w:spacing w:beforeAutospacing="0" w:afterAutospacing="0"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4. 前10名股东及流通股股东的持股情况填写说明</w:t>
      </w:r>
    </w:p>
    <w:p w14:paraId="26D1FAD7" w14:textId="77777777" w:rsidR="00674F3E" w:rsidRDefault="00C45190">
      <w:pPr>
        <w:pStyle w:val="ab"/>
        <w:widowControl/>
        <w:spacing w:beforeAutospacing="0" w:afterAutospacing="0"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 xml:space="preserve">　　5. XBRL文件的编制和报送</w:t>
      </w:r>
    </w:p>
    <w:p w14:paraId="6090C05A" w14:textId="77777777" w:rsidR="00674F3E" w:rsidRDefault="00C45190">
      <w:pPr>
        <w:pStyle w:val="ab"/>
        <w:widowControl/>
        <w:spacing w:beforeAutospacing="0" w:after="120" w:afterAutospacing="0" w:line="269" w:lineRule="atLeast"/>
        <w:rPr>
          <w:rFonts w:ascii="仿宋_GB2312" w:eastAsia="仿宋_GB2312" w:hAnsi="仿宋_GB2312" w:cs="仿宋_GB2312"/>
          <w:sz w:val="28"/>
          <w:szCs w:val="28"/>
          <w:shd w:val="clear" w:color="auto" w:fill="FFFFFF"/>
        </w:rPr>
        <w:sectPr w:rsidR="00674F3E">
          <w:footerReference w:type="default" r:id="rId7"/>
          <w:pgSz w:w="11906" w:h="16838"/>
          <w:pgMar w:top="1440" w:right="1800" w:bottom="1440" w:left="1800" w:header="851" w:footer="992" w:gutter="0"/>
          <w:cols w:space="425"/>
          <w:docGrid w:type="lines" w:linePitch="312"/>
        </w:sectPr>
      </w:pPr>
      <w:r>
        <w:rPr>
          <w:rFonts w:ascii="仿宋_GB2312" w:eastAsia="仿宋_GB2312" w:hAnsi="仿宋_GB2312" w:cs="仿宋_GB2312" w:hint="eastAsia"/>
          <w:sz w:val="28"/>
          <w:szCs w:val="28"/>
          <w:shd w:val="clear" w:color="auto" w:fill="FFFFFF"/>
        </w:rPr>
        <w:t xml:space="preserve">　</w:t>
      </w:r>
    </w:p>
    <w:p w14:paraId="2C302A04" w14:textId="77777777" w:rsidR="00674F3E" w:rsidRDefault="00C45190">
      <w:pPr>
        <w:widowControl/>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shd w:val="clear" w:color="auto" w:fill="FFFFFF"/>
        </w:rPr>
        <w:lastRenderedPageBreak/>
        <w:t>附件1：</w:t>
      </w:r>
    </w:p>
    <w:p w14:paraId="4EC8B5D1" w14:textId="77777777" w:rsidR="00674F3E" w:rsidRDefault="00C45190">
      <w:pPr>
        <w:pStyle w:val="2"/>
        <w:jc w:val="center"/>
        <w:rPr>
          <w:rFonts w:ascii="仿宋_GB2312" w:eastAsia="仿宋_GB2312" w:hAnsi="仿宋_GB2312" w:cs="仿宋_GB2312" w:hint="default"/>
          <w:bCs w:val="0"/>
          <w:sz w:val="28"/>
          <w:szCs w:val="28"/>
        </w:rPr>
      </w:pPr>
      <w:bookmarkStart w:id="0" w:name="_Toc47105070"/>
      <w:r>
        <w:rPr>
          <w:rFonts w:ascii="仿宋_GB2312" w:eastAsia="仿宋_GB2312" w:hAnsi="仿宋_GB2312" w:cs="仿宋_GB2312"/>
          <w:bCs w:val="0"/>
          <w:sz w:val="28"/>
          <w:szCs w:val="28"/>
        </w:rPr>
        <w:t>独立董事年度述职报告模板</w:t>
      </w:r>
      <w:bookmarkEnd w:id="0"/>
    </w:p>
    <w:p w14:paraId="04F3EF04" w14:textId="77777777" w:rsidR="00674F3E" w:rsidRDefault="00674F3E">
      <w:pPr>
        <w:autoSpaceDE w:val="0"/>
        <w:autoSpaceDN w:val="0"/>
        <w:adjustRightInd w:val="0"/>
        <w:spacing w:line="560" w:lineRule="exact"/>
        <w:ind w:firstLine="480"/>
        <w:jc w:val="left"/>
        <w:rPr>
          <w:rFonts w:ascii="仿宋_GB2312" w:eastAsia="仿宋_GB2312" w:hAnsi="仿宋_GB2312" w:cs="仿宋_GB2312"/>
          <w:kern w:val="0"/>
          <w:sz w:val="28"/>
          <w:szCs w:val="28"/>
        </w:rPr>
      </w:pPr>
    </w:p>
    <w:p w14:paraId="1D2528FF" w14:textId="77777777" w:rsidR="00674F3E" w:rsidRDefault="00C45190">
      <w:pPr>
        <w:autoSpaceDE w:val="0"/>
        <w:autoSpaceDN w:val="0"/>
        <w:adjustRightInd w:val="0"/>
        <w:spacing w:line="600" w:lineRule="exact"/>
        <w:ind w:firstLine="4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编制说明：</w:t>
      </w:r>
    </w:p>
    <w:p w14:paraId="35A28F7C" w14:textId="77777777" w:rsidR="00674F3E" w:rsidRDefault="00C45190">
      <w:pPr>
        <w:autoSpaceDE w:val="0"/>
        <w:autoSpaceDN w:val="0"/>
        <w:adjustRightInd w:val="0"/>
        <w:spacing w:line="60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1、独立董事应当按照本格式指引编制年度述职报告。报告要如实、充分地说明独立董事当年的履职情况以及其履行职责时重点关注的事项。</w:t>
      </w:r>
    </w:p>
    <w:p w14:paraId="38676183" w14:textId="77777777" w:rsidR="00674F3E" w:rsidRDefault="00C45190">
      <w:pPr>
        <w:autoSpaceDE w:val="0"/>
        <w:autoSpaceDN w:val="0"/>
        <w:adjustRightInd w:val="0"/>
        <w:spacing w:line="60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2、独立董事可以单独或者共同编制年度述职报告，并在报告正文后签名确认。</w:t>
      </w:r>
    </w:p>
    <w:p w14:paraId="7114B3C8" w14:textId="77777777" w:rsidR="00674F3E" w:rsidRDefault="00C45190">
      <w:pPr>
        <w:autoSpaceDE w:val="0"/>
        <w:autoSpaceDN w:val="0"/>
        <w:adjustRightInd w:val="0"/>
        <w:spacing w:line="600" w:lineRule="exact"/>
        <w:ind w:firstLine="482"/>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一、独立董事的基本情况</w:t>
      </w:r>
    </w:p>
    <w:p w14:paraId="4241EDA7" w14:textId="77777777" w:rsidR="00674F3E" w:rsidRDefault="00C45190">
      <w:pPr>
        <w:autoSpaceDE w:val="0"/>
        <w:autoSpaceDN w:val="0"/>
        <w:adjustRightInd w:val="0"/>
        <w:spacing w:line="60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介绍个人工作履历、专业背景以及兼职情况，并就是否存在影响独立性的情况进行说明。</w:t>
      </w:r>
    </w:p>
    <w:p w14:paraId="7646EC04" w14:textId="77777777" w:rsidR="00674F3E" w:rsidRDefault="00C45190">
      <w:pPr>
        <w:autoSpaceDE w:val="0"/>
        <w:autoSpaceDN w:val="0"/>
        <w:adjustRightInd w:val="0"/>
        <w:spacing w:line="600" w:lineRule="exact"/>
        <w:ind w:firstLine="482"/>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二、独立董事年度履职概况</w:t>
      </w:r>
    </w:p>
    <w:p w14:paraId="19D9592E" w14:textId="77777777" w:rsidR="00674F3E" w:rsidRDefault="00C45190">
      <w:pPr>
        <w:autoSpaceDE w:val="0"/>
        <w:autoSpaceDN w:val="0"/>
        <w:adjustRightInd w:val="0"/>
        <w:spacing w:line="60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说明本年度出席董事会次数、方式及投票情况，出席股东大会次数，参与董事会专门委员会、独立董事专门会议工作情况，行使独立董事职权的情况，与内部审计机构及承办上市公司审计业务的会计师事务所就公司财务、业务状况进行沟通的情况，与中小股东的沟通交流情况，在上市公司现场工作的时间、内容等情况，以及上市公司配合独立董事工作的情况等。</w:t>
      </w:r>
    </w:p>
    <w:p w14:paraId="423EF9C6" w14:textId="77777777" w:rsidR="00674F3E" w:rsidRDefault="00C45190">
      <w:pPr>
        <w:autoSpaceDE w:val="0"/>
        <w:autoSpaceDN w:val="0"/>
        <w:adjustRightInd w:val="0"/>
        <w:spacing w:line="600" w:lineRule="exact"/>
        <w:ind w:firstLine="482"/>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三、独立董事年度履职重点关注事项的情况</w:t>
      </w:r>
    </w:p>
    <w:p w14:paraId="05010663" w14:textId="4D3FB5C1" w:rsidR="00674F3E" w:rsidRDefault="00C45190">
      <w:pPr>
        <w:autoSpaceDE w:val="0"/>
        <w:autoSpaceDN w:val="0"/>
        <w:adjustRightInd w:val="0"/>
        <w:spacing w:line="600" w:lineRule="exact"/>
        <w:ind w:firstLine="480"/>
        <w:rPr>
          <w:rFonts w:ascii="仿宋_GB2312" w:eastAsia="仿宋_GB2312" w:hAnsi="仿宋_GB2312" w:cs="仿宋_GB2312"/>
          <w:kern w:val="0"/>
          <w:sz w:val="28"/>
          <w:szCs w:val="28"/>
          <w:shd w:val="clear" w:color="auto" w:fill="FFFFFF"/>
        </w:rPr>
      </w:pPr>
      <w:r>
        <w:rPr>
          <w:rFonts w:ascii="仿宋_GB2312" w:eastAsia="仿宋_GB2312" w:hAnsi="仿宋_GB2312" w:cs="仿宋_GB2312" w:hint="eastAsia"/>
          <w:kern w:val="0"/>
          <w:sz w:val="28"/>
          <w:szCs w:val="28"/>
        </w:rPr>
        <w:t>充分说明以下履职重点关注事项的决策、执行以及披露情况，对相关事项是否合法合规作出独立明确的判断，重点对于上市公司与控</w:t>
      </w:r>
      <w:r>
        <w:rPr>
          <w:rFonts w:ascii="仿宋_GB2312" w:eastAsia="仿宋_GB2312" w:hAnsi="仿宋_GB2312" w:cs="仿宋_GB2312" w:hint="eastAsia"/>
          <w:kern w:val="0"/>
          <w:sz w:val="28"/>
          <w:szCs w:val="28"/>
        </w:rPr>
        <w:lastRenderedPageBreak/>
        <w:t>股股东、实际控制人、董事、高级管理人员之间的潜在重大利益冲突事项进行监督。</w:t>
      </w:r>
    </w:p>
    <w:p w14:paraId="135EB532" w14:textId="77777777" w:rsidR="00674F3E" w:rsidRDefault="00C45190">
      <w:pPr>
        <w:autoSpaceDE w:val="0"/>
        <w:autoSpaceDN w:val="0"/>
        <w:adjustRightInd w:val="0"/>
        <w:spacing w:line="600" w:lineRule="exact"/>
        <w:ind w:left="600"/>
        <w:rPr>
          <w:rFonts w:ascii="仿宋_GB2312" w:eastAsia="仿宋_GB2312" w:hAnsi="仿宋_GB2312" w:cs="仿宋_GB2312"/>
          <w:kern w:val="0"/>
          <w:sz w:val="28"/>
          <w:szCs w:val="28"/>
          <w:shd w:val="clear" w:color="auto" w:fill="FFFFFF"/>
        </w:rPr>
      </w:pPr>
      <w:r>
        <w:rPr>
          <w:rFonts w:ascii="仿宋_GB2312" w:eastAsia="仿宋_GB2312" w:hAnsi="仿宋_GB2312" w:cs="仿宋_GB2312" w:hint="eastAsia"/>
          <w:kern w:val="0"/>
          <w:sz w:val="28"/>
          <w:szCs w:val="28"/>
          <w:shd w:val="clear" w:color="auto" w:fill="FFFFFF"/>
        </w:rPr>
        <w:t>（一）应当披露的关联交易</w:t>
      </w:r>
      <w:r>
        <w:rPr>
          <w:rFonts w:ascii="仿宋_GB2312" w:eastAsia="仿宋_GB2312" w:hAnsi="仿宋_GB2312" w:cs="仿宋_GB2312"/>
          <w:kern w:val="0"/>
          <w:sz w:val="28"/>
          <w:szCs w:val="28"/>
          <w:shd w:val="clear" w:color="auto" w:fill="FFFFFF"/>
        </w:rPr>
        <w:t>;</w:t>
      </w:r>
    </w:p>
    <w:p w14:paraId="3359FF9A" w14:textId="77777777" w:rsidR="00674F3E" w:rsidRDefault="00C45190">
      <w:pPr>
        <w:autoSpaceDE w:val="0"/>
        <w:autoSpaceDN w:val="0"/>
        <w:adjustRightInd w:val="0"/>
        <w:spacing w:line="600" w:lineRule="exact"/>
        <w:ind w:left="600"/>
        <w:rPr>
          <w:rFonts w:ascii="仿宋_GB2312" w:eastAsia="仿宋_GB2312" w:hAnsi="仿宋_GB2312" w:cs="仿宋_GB2312"/>
          <w:kern w:val="0"/>
          <w:sz w:val="28"/>
          <w:szCs w:val="28"/>
          <w:shd w:val="clear" w:color="auto" w:fill="FFFFFF"/>
        </w:rPr>
      </w:pPr>
      <w:r>
        <w:rPr>
          <w:rFonts w:ascii="仿宋_GB2312" w:eastAsia="仿宋_GB2312" w:hAnsi="仿宋_GB2312" w:cs="仿宋_GB2312" w:hint="eastAsia"/>
          <w:kern w:val="0"/>
          <w:sz w:val="28"/>
          <w:szCs w:val="28"/>
          <w:shd w:val="clear" w:color="auto" w:fill="FFFFFF"/>
        </w:rPr>
        <w:t>（二）上市公司及相关方变更或者豁免承诺的方案</w:t>
      </w:r>
      <w:r>
        <w:rPr>
          <w:rFonts w:ascii="仿宋_GB2312" w:eastAsia="仿宋_GB2312" w:hAnsi="仿宋_GB2312" w:cs="仿宋_GB2312"/>
          <w:kern w:val="0"/>
          <w:sz w:val="28"/>
          <w:szCs w:val="28"/>
          <w:shd w:val="clear" w:color="auto" w:fill="FFFFFF"/>
        </w:rPr>
        <w:t>;</w:t>
      </w:r>
    </w:p>
    <w:p w14:paraId="1EAF98E1" w14:textId="77777777" w:rsidR="00674F3E" w:rsidRDefault="00C45190">
      <w:pPr>
        <w:widowControl/>
        <w:shd w:val="clear" w:color="auto" w:fill="FFFFFF"/>
        <w:spacing w:line="560" w:lineRule="exact"/>
        <w:ind w:firstLine="601"/>
        <w:rPr>
          <w:rFonts w:ascii="仿宋_GB2312" w:eastAsia="仿宋_GB2312" w:hAnsi="仿宋_GB2312" w:cs="仿宋_GB2312"/>
          <w:kern w:val="0"/>
          <w:sz w:val="28"/>
          <w:szCs w:val="28"/>
          <w:shd w:val="clear" w:color="auto" w:fill="FFFFFF"/>
        </w:rPr>
      </w:pPr>
      <w:r>
        <w:rPr>
          <w:rFonts w:ascii="仿宋_GB2312" w:eastAsia="仿宋_GB2312" w:hAnsi="仿宋_GB2312" w:cs="仿宋_GB2312" w:hint="eastAsia"/>
          <w:kern w:val="0"/>
          <w:sz w:val="28"/>
          <w:szCs w:val="28"/>
          <w:shd w:val="clear" w:color="auto" w:fill="FFFFFF"/>
        </w:rPr>
        <w:t>（三）被收购上市公司董事会针对收购所作出的决策及采取的措施</w:t>
      </w:r>
      <w:r>
        <w:rPr>
          <w:rFonts w:ascii="仿宋_GB2312" w:eastAsia="仿宋_GB2312" w:hAnsi="仿宋_GB2312" w:cs="仿宋_GB2312"/>
          <w:kern w:val="0"/>
          <w:sz w:val="28"/>
          <w:szCs w:val="28"/>
          <w:shd w:val="clear" w:color="auto" w:fill="FFFFFF"/>
        </w:rPr>
        <w:t>;</w:t>
      </w:r>
    </w:p>
    <w:p w14:paraId="5188B2B9" w14:textId="77777777" w:rsidR="00674F3E" w:rsidRDefault="00C45190">
      <w:pPr>
        <w:widowControl/>
        <w:shd w:val="clear" w:color="auto" w:fill="FFFFFF"/>
        <w:spacing w:line="560" w:lineRule="exact"/>
        <w:ind w:firstLine="601"/>
        <w:rPr>
          <w:rFonts w:ascii="仿宋_GB2312" w:eastAsia="仿宋_GB2312" w:hAnsi="仿宋_GB2312" w:cs="仿宋_GB2312"/>
          <w:kern w:val="0"/>
          <w:sz w:val="28"/>
          <w:szCs w:val="28"/>
          <w:shd w:val="clear" w:color="auto" w:fill="FFFFFF"/>
        </w:rPr>
      </w:pPr>
      <w:r>
        <w:rPr>
          <w:rFonts w:ascii="仿宋_GB2312" w:eastAsia="仿宋_GB2312" w:hAnsi="仿宋_GB2312" w:cs="仿宋_GB2312" w:hint="eastAsia"/>
          <w:kern w:val="0"/>
          <w:sz w:val="28"/>
          <w:szCs w:val="28"/>
          <w:shd w:val="clear" w:color="auto" w:fill="FFFFFF"/>
        </w:rPr>
        <w:t>（四）披露财务会计报告及定期报告中的财务信息、内部控制评价报告；</w:t>
      </w:r>
    </w:p>
    <w:p w14:paraId="043D4BE3" w14:textId="77777777" w:rsidR="00674F3E" w:rsidRDefault="00C45190">
      <w:pPr>
        <w:widowControl/>
        <w:shd w:val="clear" w:color="auto" w:fill="FFFFFF"/>
        <w:spacing w:line="560" w:lineRule="exact"/>
        <w:ind w:firstLine="601"/>
        <w:rPr>
          <w:rFonts w:ascii="仿宋_GB2312" w:eastAsia="仿宋_GB2312" w:hAnsi="仿宋_GB2312" w:cs="仿宋_GB2312"/>
          <w:kern w:val="0"/>
          <w:sz w:val="28"/>
          <w:szCs w:val="28"/>
          <w:shd w:val="clear" w:color="auto" w:fill="FFFFFF"/>
        </w:rPr>
      </w:pPr>
      <w:r>
        <w:rPr>
          <w:rFonts w:ascii="仿宋_GB2312" w:eastAsia="仿宋_GB2312" w:hAnsi="仿宋_GB2312" w:cs="仿宋_GB2312" w:hint="eastAsia"/>
          <w:kern w:val="0"/>
          <w:sz w:val="28"/>
          <w:szCs w:val="28"/>
          <w:shd w:val="clear" w:color="auto" w:fill="FFFFFF"/>
        </w:rPr>
        <w:t>（五）聘用、解聘承办上市公司审计业务的会计师事务所；</w:t>
      </w:r>
    </w:p>
    <w:p w14:paraId="3E94ED6D" w14:textId="77777777" w:rsidR="00674F3E" w:rsidRDefault="00C45190">
      <w:pPr>
        <w:widowControl/>
        <w:shd w:val="clear" w:color="auto" w:fill="FFFFFF"/>
        <w:spacing w:line="560" w:lineRule="exact"/>
        <w:ind w:firstLine="601"/>
        <w:rPr>
          <w:rFonts w:ascii="仿宋_GB2312" w:eastAsia="仿宋_GB2312" w:hAnsi="仿宋_GB2312" w:cs="仿宋_GB2312"/>
          <w:kern w:val="0"/>
          <w:sz w:val="28"/>
          <w:szCs w:val="28"/>
          <w:shd w:val="clear" w:color="auto" w:fill="FFFFFF"/>
        </w:rPr>
      </w:pPr>
      <w:r>
        <w:rPr>
          <w:rFonts w:ascii="仿宋_GB2312" w:eastAsia="仿宋_GB2312" w:hAnsi="仿宋_GB2312" w:cs="仿宋_GB2312" w:hint="eastAsia"/>
          <w:kern w:val="0"/>
          <w:sz w:val="28"/>
          <w:szCs w:val="28"/>
          <w:shd w:val="clear" w:color="auto" w:fill="FFFFFF"/>
        </w:rPr>
        <w:t>（六）聘任或者解聘上市公司财务负责人；</w:t>
      </w:r>
    </w:p>
    <w:p w14:paraId="72653DA5" w14:textId="77777777" w:rsidR="00674F3E" w:rsidRDefault="00C45190">
      <w:pPr>
        <w:widowControl/>
        <w:shd w:val="clear" w:color="auto" w:fill="FFFFFF"/>
        <w:spacing w:line="560" w:lineRule="exact"/>
        <w:ind w:firstLine="601"/>
        <w:rPr>
          <w:rFonts w:ascii="仿宋_GB2312" w:eastAsia="仿宋_GB2312" w:hAnsi="仿宋_GB2312" w:cs="仿宋_GB2312"/>
          <w:kern w:val="0"/>
          <w:sz w:val="28"/>
          <w:szCs w:val="28"/>
          <w:shd w:val="clear" w:color="auto" w:fill="FFFFFF"/>
        </w:rPr>
      </w:pPr>
      <w:r>
        <w:rPr>
          <w:rFonts w:ascii="仿宋_GB2312" w:eastAsia="仿宋_GB2312" w:hAnsi="仿宋_GB2312" w:cs="仿宋_GB2312" w:hint="eastAsia"/>
          <w:kern w:val="0"/>
          <w:sz w:val="28"/>
          <w:szCs w:val="28"/>
          <w:shd w:val="clear" w:color="auto" w:fill="FFFFFF"/>
        </w:rPr>
        <w:t>（七）因会计准则变更以外的原因作出会计政策、会计估计变更或者重大会计差错更正；</w:t>
      </w:r>
    </w:p>
    <w:p w14:paraId="30FAD4FC" w14:textId="77777777" w:rsidR="00674F3E" w:rsidRDefault="00C45190">
      <w:pPr>
        <w:widowControl/>
        <w:shd w:val="clear" w:color="auto" w:fill="FFFFFF"/>
        <w:spacing w:line="560" w:lineRule="exact"/>
        <w:ind w:firstLine="601"/>
        <w:rPr>
          <w:rFonts w:ascii="仿宋_GB2312" w:eastAsia="仿宋_GB2312" w:hAnsi="仿宋_GB2312" w:cs="仿宋_GB2312"/>
          <w:kern w:val="0"/>
          <w:sz w:val="28"/>
          <w:szCs w:val="28"/>
          <w:shd w:val="clear" w:color="auto" w:fill="FFFFFF"/>
        </w:rPr>
      </w:pPr>
      <w:r>
        <w:rPr>
          <w:rFonts w:ascii="仿宋_GB2312" w:eastAsia="仿宋_GB2312" w:hAnsi="仿宋_GB2312" w:cs="仿宋_GB2312" w:hint="eastAsia"/>
          <w:kern w:val="0"/>
          <w:sz w:val="28"/>
          <w:szCs w:val="28"/>
          <w:shd w:val="clear" w:color="auto" w:fill="FFFFFF"/>
        </w:rPr>
        <w:t>（八）提名或者任免董事，聘任或者解聘高级管理人员；</w:t>
      </w:r>
    </w:p>
    <w:p w14:paraId="21C98CB5" w14:textId="77777777" w:rsidR="00674F3E" w:rsidRDefault="00C45190">
      <w:pPr>
        <w:widowControl/>
        <w:shd w:val="clear" w:color="auto" w:fill="FFFFFF"/>
        <w:spacing w:line="560" w:lineRule="exact"/>
        <w:ind w:firstLine="601"/>
        <w:rPr>
          <w:rFonts w:ascii="仿宋_GB2312" w:eastAsia="仿宋_GB2312" w:hAnsi="仿宋_GB2312" w:cs="仿宋_GB2312"/>
          <w:kern w:val="0"/>
          <w:sz w:val="28"/>
          <w:szCs w:val="28"/>
          <w:shd w:val="clear" w:color="auto" w:fill="FFFFFF"/>
        </w:rPr>
      </w:pPr>
      <w:r>
        <w:rPr>
          <w:rFonts w:ascii="仿宋_GB2312" w:eastAsia="仿宋_GB2312" w:hAnsi="仿宋_GB2312" w:cs="仿宋_GB2312" w:hint="eastAsia"/>
          <w:kern w:val="0"/>
          <w:sz w:val="28"/>
          <w:szCs w:val="28"/>
          <w:shd w:val="clear" w:color="auto" w:fill="FFFFFF"/>
        </w:rPr>
        <w:t>（九）董事、高级管理人员的薪酬，制定或者变更股权激励计划、员工持股计划，激励对象获授权益、行使权益条件成就，董事、高级管理人员在拟分拆所属子公司安排持股计划。</w:t>
      </w:r>
    </w:p>
    <w:p w14:paraId="4C27C855" w14:textId="77777777" w:rsidR="00674F3E" w:rsidRDefault="00C45190">
      <w:pPr>
        <w:autoSpaceDE w:val="0"/>
        <w:autoSpaceDN w:val="0"/>
        <w:adjustRightInd w:val="0"/>
        <w:spacing w:line="600" w:lineRule="exact"/>
        <w:ind w:firstLine="482"/>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四、总体评价和建议</w:t>
      </w:r>
    </w:p>
    <w:p w14:paraId="2D3D30C8" w14:textId="77777777" w:rsidR="00674F3E" w:rsidRDefault="00C45190">
      <w:pPr>
        <w:autoSpaceDE w:val="0"/>
        <w:autoSpaceDN w:val="0"/>
        <w:adjustRightInd w:val="0"/>
        <w:spacing w:line="600" w:lineRule="exact"/>
        <w:ind w:firstLine="48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独立董事对自己是否忠实勤勉履职作出总体评价，并可提出独立董事下一年度改进相关工作的建议。</w:t>
      </w:r>
    </w:p>
    <w:p w14:paraId="1F854293" w14:textId="77777777" w:rsidR="00674F3E" w:rsidRDefault="00674F3E">
      <w:pPr>
        <w:autoSpaceDE w:val="0"/>
        <w:autoSpaceDN w:val="0"/>
        <w:adjustRightInd w:val="0"/>
        <w:spacing w:line="600" w:lineRule="exact"/>
        <w:ind w:firstLine="480"/>
        <w:jc w:val="left"/>
        <w:rPr>
          <w:rFonts w:ascii="仿宋_GB2312" w:eastAsia="仿宋_GB2312" w:hAnsi="仿宋_GB2312" w:cs="仿宋_GB2312"/>
          <w:kern w:val="0"/>
          <w:sz w:val="28"/>
          <w:szCs w:val="28"/>
        </w:rPr>
      </w:pPr>
    </w:p>
    <w:p w14:paraId="5657B3AE" w14:textId="77777777" w:rsidR="00674F3E" w:rsidRDefault="00674F3E">
      <w:pPr>
        <w:autoSpaceDE w:val="0"/>
        <w:autoSpaceDN w:val="0"/>
        <w:adjustRightInd w:val="0"/>
        <w:spacing w:line="600" w:lineRule="exact"/>
        <w:ind w:firstLine="480"/>
        <w:jc w:val="left"/>
        <w:rPr>
          <w:rFonts w:ascii="仿宋_GB2312" w:eastAsia="仿宋_GB2312" w:hAnsi="仿宋_GB2312" w:cs="仿宋_GB2312"/>
          <w:kern w:val="0"/>
          <w:sz w:val="28"/>
          <w:szCs w:val="28"/>
        </w:rPr>
      </w:pPr>
    </w:p>
    <w:p w14:paraId="7D94EF7A" w14:textId="77777777" w:rsidR="00674F3E" w:rsidRDefault="00C45190">
      <w:pPr>
        <w:autoSpaceDE w:val="0"/>
        <w:autoSpaceDN w:val="0"/>
        <w:adjustRightInd w:val="0"/>
        <w:spacing w:line="600" w:lineRule="exact"/>
        <w:ind w:firstLine="4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签名：</w:t>
      </w:r>
    </w:p>
    <w:p w14:paraId="55B41048" w14:textId="77777777" w:rsidR="00674F3E" w:rsidRDefault="00674F3E">
      <w:pPr>
        <w:spacing w:line="600" w:lineRule="exact"/>
        <w:ind w:firstLine="600"/>
        <w:rPr>
          <w:rFonts w:ascii="仿宋_GB2312" w:eastAsia="仿宋_GB2312" w:hAnsi="仿宋_GB2312" w:cs="仿宋_GB2312"/>
          <w:sz w:val="28"/>
          <w:szCs w:val="28"/>
        </w:rPr>
      </w:pPr>
    </w:p>
    <w:p w14:paraId="77E188D2" w14:textId="77777777" w:rsidR="00674F3E" w:rsidRDefault="00674F3E">
      <w:pPr>
        <w:ind w:firstLine="600"/>
        <w:rPr>
          <w:rFonts w:ascii="仿宋_GB2312" w:eastAsia="仿宋_GB2312" w:hAnsi="仿宋_GB2312" w:cs="仿宋_GB2312"/>
          <w:sz w:val="28"/>
          <w:szCs w:val="28"/>
        </w:rPr>
      </w:pPr>
    </w:p>
    <w:p w14:paraId="224AEB5C" w14:textId="77777777" w:rsidR="00674F3E" w:rsidRDefault="00674F3E">
      <w:pPr>
        <w:pStyle w:val="ab"/>
        <w:widowControl/>
        <w:spacing w:beforeAutospacing="0" w:after="120" w:afterAutospacing="0" w:line="269" w:lineRule="atLeast"/>
        <w:rPr>
          <w:rFonts w:ascii="仿宋_GB2312" w:eastAsia="仿宋_GB2312" w:hAnsi="仿宋_GB2312" w:cs="仿宋_GB2312"/>
          <w:sz w:val="28"/>
          <w:szCs w:val="28"/>
          <w:shd w:val="clear" w:color="auto" w:fill="FFFFFF"/>
        </w:rPr>
        <w:sectPr w:rsidR="00674F3E">
          <w:pgSz w:w="11906" w:h="16838"/>
          <w:pgMar w:top="1440" w:right="1800" w:bottom="1440" w:left="1800" w:header="851" w:footer="992" w:gutter="0"/>
          <w:cols w:space="425"/>
          <w:docGrid w:type="lines" w:linePitch="312"/>
        </w:sectPr>
      </w:pPr>
    </w:p>
    <w:p w14:paraId="2F33E0B2" w14:textId="77777777" w:rsidR="00674F3E" w:rsidRDefault="00C45190">
      <w:pPr>
        <w:rPr>
          <w:rFonts w:ascii="仿宋_GB2312" w:eastAsia="仿宋_GB2312" w:hAnsi="仿宋_GB2312" w:cs="仿宋_GB2312"/>
          <w:sz w:val="28"/>
          <w:szCs w:val="28"/>
        </w:rPr>
      </w:pPr>
      <w:r>
        <w:rPr>
          <w:rFonts w:ascii="仿宋_GB2312" w:eastAsia="仿宋_GB2312" w:hAnsi="仿宋_GB2312" w:cs="仿宋_GB2312" w:hint="eastAsia"/>
          <w:kern w:val="0"/>
          <w:sz w:val="28"/>
          <w:szCs w:val="28"/>
          <w:shd w:val="clear" w:color="auto" w:fill="FFFFFF"/>
        </w:rPr>
        <w:lastRenderedPageBreak/>
        <w:t>附件2：</w:t>
      </w:r>
      <w:r>
        <w:rPr>
          <w:rFonts w:ascii="仿宋_GB2312" w:eastAsia="仿宋_GB2312" w:hAnsi="仿宋_GB2312" w:cs="仿宋_GB2312" w:hint="eastAsia"/>
          <w:sz w:val="28"/>
          <w:szCs w:val="28"/>
        </w:rPr>
        <w:t xml:space="preserve">              </w:t>
      </w:r>
    </w:p>
    <w:p w14:paraId="743FCFF2" w14:textId="77777777" w:rsidR="00674F3E" w:rsidRDefault="00C45190">
      <w:pPr>
        <w:pStyle w:val="2"/>
        <w:jc w:val="center"/>
        <w:rPr>
          <w:rFonts w:ascii="仿宋_GB2312" w:eastAsia="仿宋_GB2312" w:hAnsi="仿宋_GB2312" w:cs="仿宋_GB2312" w:hint="default"/>
          <w:b w:val="0"/>
          <w:sz w:val="28"/>
          <w:szCs w:val="28"/>
        </w:rPr>
      </w:pPr>
      <w:bookmarkStart w:id="1" w:name="_Toc47105071"/>
      <w:r>
        <w:rPr>
          <w:rFonts w:ascii="仿宋_GB2312" w:eastAsia="仿宋_GB2312" w:hAnsi="仿宋_GB2312" w:cs="仿宋_GB2312"/>
          <w:b w:val="0"/>
          <w:sz w:val="28"/>
          <w:szCs w:val="28"/>
        </w:rPr>
        <w:t>上市公司</w:t>
      </w:r>
      <w:r>
        <w:rPr>
          <w:rFonts w:ascii="仿宋_GB2312" w:eastAsia="仿宋_GB2312" w:hAnsi="仿宋_GB2312" w:cs="仿宋_GB2312" w:hint="default"/>
          <w:b w:val="0"/>
          <w:sz w:val="28"/>
          <w:szCs w:val="28"/>
        </w:rPr>
        <w:t>20XX年度非经营性资金占用及其他关联资金往来情况汇总表</w:t>
      </w:r>
      <w:bookmarkEnd w:id="1"/>
    </w:p>
    <w:p w14:paraId="4F197B76" w14:textId="77777777" w:rsidR="00674F3E" w:rsidRDefault="00C45190">
      <w:pPr>
        <w:ind w:firstLine="440"/>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单位：万元</w:t>
      </w:r>
    </w:p>
    <w:tbl>
      <w:tblPr>
        <w:tblW w:w="14013" w:type="dxa"/>
        <w:tblLayout w:type="fixed"/>
        <w:tblCellMar>
          <w:left w:w="0" w:type="dxa"/>
          <w:right w:w="0" w:type="dxa"/>
        </w:tblCellMar>
        <w:tblLook w:val="04A0" w:firstRow="1" w:lastRow="0" w:firstColumn="1" w:lastColumn="0" w:noHBand="0" w:noVBand="1"/>
      </w:tblPr>
      <w:tblGrid>
        <w:gridCol w:w="1815"/>
        <w:gridCol w:w="925"/>
        <w:gridCol w:w="1235"/>
        <w:gridCol w:w="1080"/>
        <w:gridCol w:w="1718"/>
        <w:gridCol w:w="1460"/>
        <w:gridCol w:w="1260"/>
        <w:gridCol w:w="1260"/>
        <w:gridCol w:w="920"/>
        <w:gridCol w:w="720"/>
        <w:gridCol w:w="1620"/>
      </w:tblGrid>
      <w:tr w:rsidR="00674F3E" w14:paraId="0A1A3A2E" w14:textId="77777777">
        <w:trPr>
          <w:trHeight w:val="855"/>
        </w:trPr>
        <w:tc>
          <w:tcPr>
            <w:tcW w:w="1815" w:type="dxa"/>
            <w:tcBorders>
              <w:top w:val="single" w:sz="8" w:space="0" w:color="auto"/>
              <w:left w:val="single" w:sz="8" w:space="0" w:color="auto"/>
              <w:bottom w:val="single" w:sz="4" w:space="0" w:color="auto"/>
              <w:right w:val="single" w:sz="4" w:space="0" w:color="auto"/>
            </w:tcBorders>
            <w:tcMar>
              <w:top w:w="15" w:type="dxa"/>
              <w:left w:w="15" w:type="dxa"/>
              <w:bottom w:w="0" w:type="dxa"/>
              <w:right w:w="15" w:type="dxa"/>
            </w:tcMar>
            <w:vAlign w:val="bottom"/>
          </w:tcPr>
          <w:p w14:paraId="1FA24426" w14:textId="77777777" w:rsidR="00674F3E" w:rsidRDefault="00C45190">
            <w:pPr>
              <w:adjustRightInd w:val="0"/>
              <w:snapToGrid w:val="0"/>
              <w:rPr>
                <w:rFonts w:ascii="仿宋_GB2312" w:eastAsia="仿宋_GB2312" w:hAnsi="仿宋_GB2312" w:cs="仿宋_GB2312"/>
                <w:b/>
                <w:sz w:val="28"/>
                <w:szCs w:val="28"/>
              </w:rPr>
            </w:pPr>
            <w:r>
              <w:rPr>
                <w:rFonts w:ascii="仿宋_GB2312" w:eastAsia="仿宋_GB2312" w:hAnsi="仿宋_GB2312" w:cs="仿宋_GB2312" w:hint="eastAsia"/>
                <w:b/>
                <w:sz w:val="28"/>
                <w:szCs w:val="28"/>
              </w:rPr>
              <w:t>非经营性资金占用</w:t>
            </w:r>
          </w:p>
        </w:tc>
        <w:tc>
          <w:tcPr>
            <w:tcW w:w="925" w:type="dxa"/>
            <w:tcBorders>
              <w:top w:val="single" w:sz="8" w:space="0" w:color="auto"/>
              <w:left w:val="nil"/>
              <w:bottom w:val="single" w:sz="4" w:space="0" w:color="auto"/>
              <w:right w:val="single" w:sz="4" w:space="0" w:color="auto"/>
            </w:tcBorders>
            <w:tcMar>
              <w:top w:w="15" w:type="dxa"/>
              <w:left w:w="15" w:type="dxa"/>
              <w:bottom w:w="0" w:type="dxa"/>
              <w:right w:w="15" w:type="dxa"/>
            </w:tcMar>
            <w:vAlign w:val="bottom"/>
          </w:tcPr>
          <w:p w14:paraId="2F1D16F6" w14:textId="77777777" w:rsidR="00674F3E" w:rsidRDefault="00C45190">
            <w:pPr>
              <w:adjustRightInd w:val="0"/>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资金占用方名称</w:t>
            </w:r>
          </w:p>
        </w:tc>
        <w:tc>
          <w:tcPr>
            <w:tcW w:w="1235" w:type="dxa"/>
            <w:tcBorders>
              <w:top w:val="single" w:sz="8" w:space="0" w:color="auto"/>
              <w:left w:val="nil"/>
              <w:bottom w:val="single" w:sz="4" w:space="0" w:color="auto"/>
              <w:right w:val="single" w:sz="4" w:space="0" w:color="auto"/>
            </w:tcBorders>
            <w:tcMar>
              <w:top w:w="15" w:type="dxa"/>
              <w:left w:w="15" w:type="dxa"/>
              <w:bottom w:w="0" w:type="dxa"/>
              <w:right w:w="15" w:type="dxa"/>
            </w:tcMar>
            <w:vAlign w:val="bottom"/>
          </w:tcPr>
          <w:p w14:paraId="0A0694D7" w14:textId="77777777" w:rsidR="00674F3E" w:rsidRDefault="00C45190">
            <w:pPr>
              <w:adjustRightInd w:val="0"/>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占用方与上市公司的关联关系</w:t>
            </w:r>
          </w:p>
        </w:tc>
        <w:tc>
          <w:tcPr>
            <w:tcW w:w="1080" w:type="dxa"/>
            <w:tcBorders>
              <w:top w:val="single" w:sz="8" w:space="0" w:color="auto"/>
              <w:left w:val="nil"/>
              <w:bottom w:val="single" w:sz="4" w:space="0" w:color="auto"/>
              <w:right w:val="single" w:sz="4" w:space="0" w:color="auto"/>
            </w:tcBorders>
            <w:vAlign w:val="bottom"/>
          </w:tcPr>
          <w:p w14:paraId="3988BBCC" w14:textId="77777777" w:rsidR="00674F3E" w:rsidRDefault="00C45190">
            <w:pPr>
              <w:adjustRightInd w:val="0"/>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上市公司核算的会计科目</w:t>
            </w:r>
          </w:p>
        </w:tc>
        <w:tc>
          <w:tcPr>
            <w:tcW w:w="1718" w:type="dxa"/>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4D9943B8" w14:textId="77777777" w:rsidR="00674F3E" w:rsidRDefault="00C45190">
            <w:pPr>
              <w:adjustRightInd w:val="0"/>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20XX年期初占用资金余额</w:t>
            </w:r>
          </w:p>
        </w:tc>
        <w:tc>
          <w:tcPr>
            <w:tcW w:w="1460" w:type="dxa"/>
            <w:tcBorders>
              <w:top w:val="single" w:sz="8" w:space="0" w:color="auto"/>
              <w:left w:val="nil"/>
              <w:bottom w:val="single" w:sz="4" w:space="0" w:color="auto"/>
              <w:right w:val="single" w:sz="4" w:space="0" w:color="auto"/>
            </w:tcBorders>
            <w:tcMar>
              <w:top w:w="15" w:type="dxa"/>
              <w:left w:w="15" w:type="dxa"/>
              <w:bottom w:w="0" w:type="dxa"/>
              <w:right w:w="15" w:type="dxa"/>
            </w:tcMar>
            <w:vAlign w:val="bottom"/>
          </w:tcPr>
          <w:p w14:paraId="0BC7D60B" w14:textId="77777777" w:rsidR="00674F3E" w:rsidRDefault="00C45190">
            <w:pPr>
              <w:adjustRightInd w:val="0"/>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20XX年度占用累计发生金额（不含利息）</w:t>
            </w:r>
          </w:p>
        </w:tc>
        <w:tc>
          <w:tcPr>
            <w:tcW w:w="1260" w:type="dxa"/>
            <w:tcBorders>
              <w:top w:val="single" w:sz="8" w:space="0" w:color="auto"/>
              <w:left w:val="nil"/>
              <w:bottom w:val="single" w:sz="4" w:space="0" w:color="auto"/>
              <w:right w:val="single" w:sz="4" w:space="0" w:color="auto"/>
            </w:tcBorders>
            <w:vAlign w:val="bottom"/>
          </w:tcPr>
          <w:p w14:paraId="0C6B2291" w14:textId="77777777" w:rsidR="00674F3E" w:rsidRDefault="00C45190">
            <w:pPr>
              <w:adjustRightInd w:val="0"/>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20XX年度占用资金的利息(如有)</w:t>
            </w:r>
          </w:p>
        </w:tc>
        <w:tc>
          <w:tcPr>
            <w:tcW w:w="1260" w:type="dxa"/>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0519BB7E" w14:textId="77777777" w:rsidR="00674F3E" w:rsidRDefault="00C45190">
            <w:pPr>
              <w:adjustRightInd w:val="0"/>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20XX年度偿还累计发生金额</w:t>
            </w:r>
          </w:p>
        </w:tc>
        <w:tc>
          <w:tcPr>
            <w:tcW w:w="920" w:type="dxa"/>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473A87B2" w14:textId="77777777" w:rsidR="00674F3E" w:rsidRDefault="00C45190">
            <w:pPr>
              <w:adjustRightInd w:val="0"/>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20XX年期末占用资金余额</w:t>
            </w:r>
          </w:p>
        </w:tc>
        <w:tc>
          <w:tcPr>
            <w:tcW w:w="720" w:type="dxa"/>
            <w:tcBorders>
              <w:top w:val="single" w:sz="8" w:space="0" w:color="auto"/>
              <w:left w:val="nil"/>
              <w:bottom w:val="single" w:sz="4" w:space="0" w:color="auto"/>
              <w:right w:val="single" w:sz="4" w:space="0" w:color="auto"/>
            </w:tcBorders>
            <w:tcMar>
              <w:top w:w="15" w:type="dxa"/>
              <w:left w:w="15" w:type="dxa"/>
              <w:bottom w:w="0" w:type="dxa"/>
              <w:right w:w="15" w:type="dxa"/>
            </w:tcMar>
            <w:vAlign w:val="bottom"/>
          </w:tcPr>
          <w:p w14:paraId="2B7496F9" w14:textId="77777777" w:rsidR="00674F3E" w:rsidRDefault="00C45190">
            <w:pPr>
              <w:adjustRightInd w:val="0"/>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占用形成原因</w:t>
            </w:r>
          </w:p>
        </w:tc>
        <w:tc>
          <w:tcPr>
            <w:tcW w:w="1620" w:type="dxa"/>
            <w:tcBorders>
              <w:top w:val="single" w:sz="8" w:space="0" w:color="auto"/>
              <w:left w:val="nil"/>
              <w:bottom w:val="single" w:sz="4" w:space="0" w:color="auto"/>
              <w:right w:val="single" w:sz="8" w:space="0" w:color="auto"/>
            </w:tcBorders>
            <w:tcMar>
              <w:top w:w="15" w:type="dxa"/>
              <w:left w:w="15" w:type="dxa"/>
              <w:bottom w:w="0" w:type="dxa"/>
              <w:right w:w="15" w:type="dxa"/>
            </w:tcMar>
            <w:vAlign w:val="bottom"/>
          </w:tcPr>
          <w:p w14:paraId="32D0AA18" w14:textId="77777777" w:rsidR="00674F3E" w:rsidRDefault="00C45190">
            <w:pPr>
              <w:adjustRightInd w:val="0"/>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占用性质</w:t>
            </w:r>
          </w:p>
        </w:tc>
      </w:tr>
      <w:tr w:rsidR="00674F3E" w14:paraId="68EDCF23" w14:textId="77777777">
        <w:trPr>
          <w:cantSplit/>
          <w:trHeight w:val="285"/>
        </w:trPr>
        <w:tc>
          <w:tcPr>
            <w:tcW w:w="1815" w:type="dxa"/>
            <w:vMerge w:val="restart"/>
            <w:tcBorders>
              <w:top w:val="nil"/>
              <w:left w:val="single" w:sz="8" w:space="0" w:color="auto"/>
              <w:right w:val="single" w:sz="4" w:space="0" w:color="auto"/>
            </w:tcBorders>
            <w:tcMar>
              <w:top w:w="15" w:type="dxa"/>
              <w:left w:w="15" w:type="dxa"/>
              <w:bottom w:w="0" w:type="dxa"/>
              <w:right w:w="15" w:type="dxa"/>
            </w:tcMar>
          </w:tcPr>
          <w:p w14:paraId="2B36B9EC" w14:textId="77777777" w:rsidR="00674F3E" w:rsidRDefault="00C45190">
            <w:pPr>
              <w:adjustRightInd w:val="0"/>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现大股东及其附属企业</w:t>
            </w:r>
          </w:p>
        </w:tc>
        <w:tc>
          <w:tcPr>
            <w:tcW w:w="925" w:type="dxa"/>
            <w:tcBorders>
              <w:top w:val="nil"/>
              <w:left w:val="nil"/>
              <w:bottom w:val="single" w:sz="4" w:space="0" w:color="auto"/>
              <w:right w:val="single" w:sz="4" w:space="0" w:color="auto"/>
            </w:tcBorders>
            <w:tcMar>
              <w:top w:w="15" w:type="dxa"/>
              <w:left w:w="15" w:type="dxa"/>
              <w:bottom w:w="0" w:type="dxa"/>
              <w:right w:w="15" w:type="dxa"/>
            </w:tcMar>
            <w:vAlign w:val="bottom"/>
          </w:tcPr>
          <w:p w14:paraId="6D8769F3" w14:textId="77777777" w:rsidR="00674F3E" w:rsidRDefault="00674F3E">
            <w:pPr>
              <w:adjustRightInd w:val="0"/>
              <w:snapToGrid w:val="0"/>
              <w:rPr>
                <w:rFonts w:ascii="仿宋_GB2312" w:eastAsia="仿宋_GB2312" w:hAnsi="仿宋_GB2312" w:cs="仿宋_GB2312"/>
                <w:sz w:val="28"/>
                <w:szCs w:val="28"/>
              </w:rPr>
            </w:pPr>
          </w:p>
        </w:tc>
        <w:tc>
          <w:tcPr>
            <w:tcW w:w="1235" w:type="dxa"/>
            <w:tcBorders>
              <w:top w:val="nil"/>
              <w:left w:val="nil"/>
              <w:bottom w:val="single" w:sz="4" w:space="0" w:color="auto"/>
              <w:right w:val="single" w:sz="4" w:space="0" w:color="auto"/>
            </w:tcBorders>
            <w:tcMar>
              <w:top w:w="15" w:type="dxa"/>
              <w:left w:w="15" w:type="dxa"/>
              <w:bottom w:w="0" w:type="dxa"/>
              <w:right w:w="15" w:type="dxa"/>
            </w:tcMar>
            <w:vAlign w:val="bottom"/>
          </w:tcPr>
          <w:p w14:paraId="7EF87999" w14:textId="77777777" w:rsidR="00674F3E" w:rsidRDefault="00674F3E">
            <w:pPr>
              <w:adjustRightInd w:val="0"/>
              <w:snapToGrid w:val="0"/>
              <w:rPr>
                <w:rFonts w:ascii="仿宋_GB2312" w:eastAsia="仿宋_GB2312" w:hAnsi="仿宋_GB2312" w:cs="仿宋_GB2312"/>
                <w:sz w:val="28"/>
                <w:szCs w:val="28"/>
              </w:rPr>
            </w:pPr>
          </w:p>
        </w:tc>
        <w:tc>
          <w:tcPr>
            <w:tcW w:w="1080" w:type="dxa"/>
            <w:tcBorders>
              <w:top w:val="single" w:sz="4" w:space="0" w:color="auto"/>
              <w:left w:val="nil"/>
              <w:bottom w:val="single" w:sz="4" w:space="0" w:color="auto"/>
              <w:right w:val="single" w:sz="4" w:space="0" w:color="auto"/>
            </w:tcBorders>
            <w:vAlign w:val="bottom"/>
          </w:tcPr>
          <w:p w14:paraId="1D5DD932" w14:textId="77777777" w:rsidR="00674F3E" w:rsidRDefault="00674F3E">
            <w:pPr>
              <w:adjustRightInd w:val="0"/>
              <w:snapToGrid w:val="0"/>
              <w:rPr>
                <w:rFonts w:ascii="仿宋_GB2312" w:eastAsia="仿宋_GB2312" w:hAnsi="仿宋_GB2312" w:cs="仿宋_GB2312"/>
                <w:sz w:val="28"/>
                <w:szCs w:val="28"/>
              </w:rPr>
            </w:pPr>
          </w:p>
        </w:tc>
        <w:tc>
          <w:tcPr>
            <w:tcW w:w="1718"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34621B52" w14:textId="77777777" w:rsidR="00674F3E" w:rsidRDefault="00674F3E">
            <w:pPr>
              <w:adjustRightInd w:val="0"/>
              <w:snapToGrid w:val="0"/>
              <w:rPr>
                <w:rFonts w:ascii="仿宋_GB2312" w:eastAsia="仿宋_GB2312" w:hAnsi="仿宋_GB2312" w:cs="仿宋_GB2312"/>
                <w:sz w:val="28"/>
                <w:szCs w:val="28"/>
              </w:rPr>
            </w:pPr>
          </w:p>
        </w:tc>
        <w:tc>
          <w:tcPr>
            <w:tcW w:w="1460" w:type="dxa"/>
            <w:tcBorders>
              <w:top w:val="nil"/>
              <w:left w:val="nil"/>
              <w:bottom w:val="single" w:sz="4" w:space="0" w:color="auto"/>
              <w:right w:val="single" w:sz="4" w:space="0" w:color="auto"/>
            </w:tcBorders>
            <w:tcMar>
              <w:top w:w="15" w:type="dxa"/>
              <w:left w:w="15" w:type="dxa"/>
              <w:bottom w:w="0" w:type="dxa"/>
              <w:right w:w="15" w:type="dxa"/>
            </w:tcMar>
            <w:vAlign w:val="bottom"/>
          </w:tcPr>
          <w:p w14:paraId="32BEEF8F" w14:textId="77777777" w:rsidR="00674F3E" w:rsidRDefault="00674F3E">
            <w:pPr>
              <w:adjustRightInd w:val="0"/>
              <w:snapToGrid w:val="0"/>
              <w:rPr>
                <w:rFonts w:ascii="仿宋_GB2312" w:eastAsia="仿宋_GB2312" w:hAnsi="仿宋_GB2312" w:cs="仿宋_GB2312"/>
                <w:sz w:val="28"/>
                <w:szCs w:val="28"/>
              </w:rPr>
            </w:pPr>
          </w:p>
        </w:tc>
        <w:tc>
          <w:tcPr>
            <w:tcW w:w="1260" w:type="dxa"/>
            <w:tcBorders>
              <w:top w:val="single" w:sz="4" w:space="0" w:color="auto"/>
              <w:left w:val="nil"/>
              <w:bottom w:val="single" w:sz="4" w:space="0" w:color="auto"/>
              <w:right w:val="single" w:sz="4" w:space="0" w:color="auto"/>
            </w:tcBorders>
          </w:tcPr>
          <w:p w14:paraId="61F90176" w14:textId="77777777" w:rsidR="00674F3E" w:rsidRDefault="00674F3E">
            <w:pPr>
              <w:adjustRightInd w:val="0"/>
              <w:snapToGrid w:val="0"/>
              <w:rPr>
                <w:rFonts w:ascii="仿宋_GB2312" w:eastAsia="仿宋_GB2312" w:hAnsi="仿宋_GB2312" w:cs="仿宋_GB2312"/>
                <w:sz w:val="28"/>
                <w:szCs w:val="28"/>
              </w:rPr>
            </w:pPr>
          </w:p>
        </w:tc>
        <w:tc>
          <w:tcPr>
            <w:tcW w:w="12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28B9F4C5" w14:textId="77777777" w:rsidR="00674F3E" w:rsidRDefault="00674F3E">
            <w:pPr>
              <w:adjustRightInd w:val="0"/>
              <w:snapToGrid w:val="0"/>
              <w:rPr>
                <w:rFonts w:ascii="仿宋_GB2312" w:eastAsia="仿宋_GB2312" w:hAnsi="仿宋_GB2312" w:cs="仿宋_GB2312"/>
                <w:sz w:val="28"/>
                <w:szCs w:val="28"/>
              </w:rPr>
            </w:pPr>
          </w:p>
        </w:tc>
        <w:tc>
          <w:tcPr>
            <w:tcW w:w="9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00EFE86F" w14:textId="77777777" w:rsidR="00674F3E" w:rsidRDefault="00674F3E">
            <w:pPr>
              <w:adjustRightInd w:val="0"/>
              <w:snapToGrid w:val="0"/>
              <w:rPr>
                <w:rFonts w:ascii="仿宋_GB2312" w:eastAsia="仿宋_GB2312" w:hAnsi="仿宋_GB2312" w:cs="仿宋_GB2312"/>
                <w:sz w:val="28"/>
                <w:szCs w:val="28"/>
              </w:rPr>
            </w:pP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EB4AD04" w14:textId="77777777" w:rsidR="00674F3E" w:rsidRDefault="00674F3E">
            <w:pPr>
              <w:adjustRightInd w:val="0"/>
              <w:snapToGrid w:val="0"/>
              <w:rPr>
                <w:rFonts w:ascii="仿宋_GB2312" w:eastAsia="仿宋_GB2312" w:hAnsi="仿宋_GB2312" w:cs="仿宋_GB2312"/>
                <w:sz w:val="28"/>
                <w:szCs w:val="28"/>
              </w:rPr>
            </w:pPr>
          </w:p>
        </w:tc>
        <w:tc>
          <w:tcPr>
            <w:tcW w:w="1620" w:type="dxa"/>
            <w:tcBorders>
              <w:top w:val="nil"/>
              <w:left w:val="nil"/>
              <w:bottom w:val="single" w:sz="4" w:space="0" w:color="auto"/>
              <w:right w:val="single" w:sz="8" w:space="0" w:color="auto"/>
            </w:tcBorders>
            <w:noWrap/>
            <w:tcMar>
              <w:top w:w="15" w:type="dxa"/>
              <w:left w:w="15" w:type="dxa"/>
              <w:bottom w:w="0" w:type="dxa"/>
              <w:right w:w="15" w:type="dxa"/>
            </w:tcMar>
            <w:vAlign w:val="bottom"/>
          </w:tcPr>
          <w:p w14:paraId="445E18E4" w14:textId="77777777" w:rsidR="00674F3E" w:rsidRDefault="00C45190">
            <w:pPr>
              <w:adjustRightInd w:val="0"/>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非经营性占用</w:t>
            </w:r>
          </w:p>
        </w:tc>
      </w:tr>
      <w:tr w:rsidR="00674F3E" w14:paraId="194F449E" w14:textId="77777777">
        <w:trPr>
          <w:cantSplit/>
          <w:trHeight w:val="285"/>
        </w:trPr>
        <w:tc>
          <w:tcPr>
            <w:tcW w:w="1815" w:type="dxa"/>
            <w:vMerge/>
            <w:tcBorders>
              <w:left w:val="single" w:sz="8" w:space="0" w:color="auto"/>
              <w:bottom w:val="single" w:sz="4" w:space="0" w:color="auto"/>
              <w:right w:val="single" w:sz="4" w:space="0" w:color="auto"/>
            </w:tcBorders>
            <w:vAlign w:val="center"/>
          </w:tcPr>
          <w:p w14:paraId="06304DE1" w14:textId="77777777" w:rsidR="00674F3E" w:rsidRDefault="00674F3E">
            <w:pPr>
              <w:adjustRightInd w:val="0"/>
              <w:snapToGrid w:val="0"/>
              <w:rPr>
                <w:rFonts w:ascii="仿宋_GB2312" w:eastAsia="仿宋_GB2312" w:hAnsi="仿宋_GB2312" w:cs="仿宋_GB2312"/>
                <w:sz w:val="28"/>
                <w:szCs w:val="28"/>
              </w:rPr>
            </w:pPr>
          </w:p>
        </w:tc>
        <w:tc>
          <w:tcPr>
            <w:tcW w:w="925" w:type="dxa"/>
            <w:tcBorders>
              <w:top w:val="nil"/>
              <w:left w:val="nil"/>
              <w:bottom w:val="single" w:sz="4" w:space="0" w:color="auto"/>
              <w:right w:val="single" w:sz="4" w:space="0" w:color="auto"/>
            </w:tcBorders>
            <w:tcMar>
              <w:top w:w="15" w:type="dxa"/>
              <w:left w:w="15" w:type="dxa"/>
              <w:bottom w:w="0" w:type="dxa"/>
              <w:right w:w="15" w:type="dxa"/>
            </w:tcMar>
            <w:vAlign w:val="bottom"/>
          </w:tcPr>
          <w:p w14:paraId="06287441" w14:textId="77777777" w:rsidR="00674F3E" w:rsidRDefault="00674F3E">
            <w:pPr>
              <w:adjustRightInd w:val="0"/>
              <w:snapToGrid w:val="0"/>
              <w:rPr>
                <w:rFonts w:ascii="仿宋_GB2312" w:eastAsia="仿宋_GB2312" w:hAnsi="仿宋_GB2312" w:cs="仿宋_GB2312"/>
                <w:sz w:val="28"/>
                <w:szCs w:val="28"/>
              </w:rPr>
            </w:pPr>
          </w:p>
        </w:tc>
        <w:tc>
          <w:tcPr>
            <w:tcW w:w="1235" w:type="dxa"/>
            <w:tcBorders>
              <w:top w:val="nil"/>
              <w:left w:val="nil"/>
              <w:bottom w:val="single" w:sz="4" w:space="0" w:color="auto"/>
              <w:right w:val="single" w:sz="4" w:space="0" w:color="auto"/>
            </w:tcBorders>
            <w:tcMar>
              <w:top w:w="15" w:type="dxa"/>
              <w:left w:w="15" w:type="dxa"/>
              <w:bottom w:w="0" w:type="dxa"/>
              <w:right w:w="15" w:type="dxa"/>
            </w:tcMar>
            <w:vAlign w:val="bottom"/>
          </w:tcPr>
          <w:p w14:paraId="590087FA" w14:textId="77777777" w:rsidR="00674F3E" w:rsidRDefault="00674F3E">
            <w:pPr>
              <w:adjustRightInd w:val="0"/>
              <w:snapToGrid w:val="0"/>
              <w:rPr>
                <w:rFonts w:ascii="仿宋_GB2312" w:eastAsia="仿宋_GB2312" w:hAnsi="仿宋_GB2312" w:cs="仿宋_GB2312"/>
                <w:sz w:val="28"/>
                <w:szCs w:val="28"/>
              </w:rPr>
            </w:pPr>
          </w:p>
        </w:tc>
        <w:tc>
          <w:tcPr>
            <w:tcW w:w="1080" w:type="dxa"/>
            <w:tcBorders>
              <w:top w:val="single" w:sz="4" w:space="0" w:color="auto"/>
              <w:left w:val="nil"/>
              <w:bottom w:val="single" w:sz="4" w:space="0" w:color="auto"/>
              <w:right w:val="single" w:sz="4" w:space="0" w:color="auto"/>
            </w:tcBorders>
            <w:vAlign w:val="bottom"/>
          </w:tcPr>
          <w:p w14:paraId="046D5BAA" w14:textId="77777777" w:rsidR="00674F3E" w:rsidRDefault="00674F3E">
            <w:pPr>
              <w:adjustRightInd w:val="0"/>
              <w:snapToGrid w:val="0"/>
              <w:rPr>
                <w:rFonts w:ascii="仿宋_GB2312" w:eastAsia="仿宋_GB2312" w:hAnsi="仿宋_GB2312" w:cs="仿宋_GB2312"/>
                <w:sz w:val="28"/>
                <w:szCs w:val="28"/>
              </w:rPr>
            </w:pPr>
          </w:p>
        </w:tc>
        <w:tc>
          <w:tcPr>
            <w:tcW w:w="1718"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72623410" w14:textId="77777777" w:rsidR="00674F3E" w:rsidRDefault="00674F3E">
            <w:pPr>
              <w:adjustRightInd w:val="0"/>
              <w:snapToGrid w:val="0"/>
              <w:rPr>
                <w:rFonts w:ascii="仿宋_GB2312" w:eastAsia="仿宋_GB2312" w:hAnsi="仿宋_GB2312" w:cs="仿宋_GB2312"/>
                <w:sz w:val="28"/>
                <w:szCs w:val="28"/>
              </w:rPr>
            </w:pPr>
          </w:p>
        </w:tc>
        <w:tc>
          <w:tcPr>
            <w:tcW w:w="1460" w:type="dxa"/>
            <w:tcBorders>
              <w:top w:val="nil"/>
              <w:left w:val="nil"/>
              <w:bottom w:val="single" w:sz="4" w:space="0" w:color="auto"/>
              <w:right w:val="single" w:sz="4" w:space="0" w:color="auto"/>
            </w:tcBorders>
            <w:tcMar>
              <w:top w:w="15" w:type="dxa"/>
              <w:left w:w="15" w:type="dxa"/>
              <w:bottom w:w="0" w:type="dxa"/>
              <w:right w:w="15" w:type="dxa"/>
            </w:tcMar>
            <w:vAlign w:val="bottom"/>
          </w:tcPr>
          <w:p w14:paraId="3C744991" w14:textId="77777777" w:rsidR="00674F3E" w:rsidRDefault="00674F3E">
            <w:pPr>
              <w:adjustRightInd w:val="0"/>
              <w:snapToGrid w:val="0"/>
              <w:rPr>
                <w:rFonts w:ascii="仿宋_GB2312" w:eastAsia="仿宋_GB2312" w:hAnsi="仿宋_GB2312" w:cs="仿宋_GB2312"/>
                <w:sz w:val="28"/>
                <w:szCs w:val="28"/>
              </w:rPr>
            </w:pPr>
          </w:p>
        </w:tc>
        <w:tc>
          <w:tcPr>
            <w:tcW w:w="1260" w:type="dxa"/>
            <w:tcBorders>
              <w:top w:val="single" w:sz="4" w:space="0" w:color="auto"/>
              <w:left w:val="nil"/>
              <w:bottom w:val="single" w:sz="4" w:space="0" w:color="auto"/>
              <w:right w:val="single" w:sz="4" w:space="0" w:color="auto"/>
            </w:tcBorders>
          </w:tcPr>
          <w:p w14:paraId="54370DFA" w14:textId="77777777" w:rsidR="00674F3E" w:rsidRDefault="00674F3E">
            <w:pPr>
              <w:adjustRightInd w:val="0"/>
              <w:snapToGrid w:val="0"/>
              <w:rPr>
                <w:rFonts w:ascii="仿宋_GB2312" w:eastAsia="仿宋_GB2312" w:hAnsi="仿宋_GB2312" w:cs="仿宋_GB2312"/>
                <w:sz w:val="28"/>
                <w:szCs w:val="28"/>
              </w:rPr>
            </w:pPr>
          </w:p>
        </w:tc>
        <w:tc>
          <w:tcPr>
            <w:tcW w:w="12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5F20028A" w14:textId="77777777" w:rsidR="00674F3E" w:rsidRDefault="00674F3E">
            <w:pPr>
              <w:adjustRightInd w:val="0"/>
              <w:snapToGrid w:val="0"/>
              <w:rPr>
                <w:rFonts w:ascii="仿宋_GB2312" w:eastAsia="仿宋_GB2312" w:hAnsi="仿宋_GB2312" w:cs="仿宋_GB2312"/>
                <w:sz w:val="28"/>
                <w:szCs w:val="28"/>
              </w:rPr>
            </w:pPr>
          </w:p>
        </w:tc>
        <w:tc>
          <w:tcPr>
            <w:tcW w:w="9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6A0E565A" w14:textId="77777777" w:rsidR="00674F3E" w:rsidRDefault="00674F3E">
            <w:pPr>
              <w:adjustRightInd w:val="0"/>
              <w:snapToGrid w:val="0"/>
              <w:rPr>
                <w:rFonts w:ascii="仿宋_GB2312" w:eastAsia="仿宋_GB2312" w:hAnsi="仿宋_GB2312" w:cs="仿宋_GB2312"/>
                <w:sz w:val="28"/>
                <w:szCs w:val="28"/>
              </w:rPr>
            </w:pP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3139BF4" w14:textId="77777777" w:rsidR="00674F3E" w:rsidRDefault="00674F3E">
            <w:pPr>
              <w:adjustRightInd w:val="0"/>
              <w:snapToGrid w:val="0"/>
              <w:rPr>
                <w:rFonts w:ascii="仿宋_GB2312" w:eastAsia="仿宋_GB2312" w:hAnsi="仿宋_GB2312" w:cs="仿宋_GB2312"/>
                <w:sz w:val="28"/>
                <w:szCs w:val="28"/>
              </w:rPr>
            </w:pPr>
          </w:p>
        </w:tc>
        <w:tc>
          <w:tcPr>
            <w:tcW w:w="1620" w:type="dxa"/>
            <w:tcBorders>
              <w:top w:val="nil"/>
              <w:left w:val="nil"/>
              <w:bottom w:val="single" w:sz="4" w:space="0" w:color="auto"/>
              <w:right w:val="single" w:sz="8" w:space="0" w:color="auto"/>
            </w:tcBorders>
            <w:noWrap/>
            <w:tcMar>
              <w:top w:w="15" w:type="dxa"/>
              <w:left w:w="15" w:type="dxa"/>
              <w:bottom w:w="0" w:type="dxa"/>
              <w:right w:w="15" w:type="dxa"/>
            </w:tcMar>
            <w:vAlign w:val="bottom"/>
          </w:tcPr>
          <w:p w14:paraId="6252B0A3" w14:textId="77777777" w:rsidR="00674F3E" w:rsidRDefault="00C45190">
            <w:pPr>
              <w:adjustRightInd w:val="0"/>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非经营性占用</w:t>
            </w:r>
          </w:p>
        </w:tc>
      </w:tr>
      <w:tr w:rsidR="00674F3E" w14:paraId="2F022732" w14:textId="77777777">
        <w:trPr>
          <w:cantSplit/>
          <w:trHeight w:val="285"/>
        </w:trPr>
        <w:tc>
          <w:tcPr>
            <w:tcW w:w="1815" w:type="dxa"/>
            <w:tcBorders>
              <w:top w:val="single" w:sz="4" w:space="0" w:color="auto"/>
              <w:left w:val="single" w:sz="8" w:space="0" w:color="auto"/>
              <w:bottom w:val="single" w:sz="4" w:space="0" w:color="auto"/>
              <w:right w:val="single" w:sz="4" w:space="0" w:color="auto"/>
            </w:tcBorders>
            <w:tcMar>
              <w:top w:w="15" w:type="dxa"/>
              <w:left w:w="15" w:type="dxa"/>
              <w:bottom w:w="0" w:type="dxa"/>
              <w:right w:w="15" w:type="dxa"/>
            </w:tcMar>
            <w:vAlign w:val="center"/>
          </w:tcPr>
          <w:p w14:paraId="11082E5A" w14:textId="77777777" w:rsidR="00674F3E" w:rsidRDefault="00C45190">
            <w:pPr>
              <w:adjustRightInd w:val="0"/>
              <w:snapToGrid w:val="0"/>
              <w:jc w:val="center"/>
              <w:rPr>
                <w:rFonts w:ascii="仿宋_GB2312" w:eastAsia="仿宋_GB2312" w:hAnsi="仿宋_GB2312" w:cs="仿宋_GB2312"/>
                <w:sz w:val="28"/>
                <w:szCs w:val="28"/>
              </w:rPr>
            </w:pPr>
            <w:r>
              <w:rPr>
                <w:rFonts w:ascii="仿宋_GB2312" w:eastAsia="仿宋_GB2312" w:hAnsi="仿宋_GB2312" w:cs="仿宋_GB2312" w:hint="eastAsia"/>
                <w:b/>
                <w:bCs/>
                <w:sz w:val="28"/>
                <w:szCs w:val="28"/>
              </w:rPr>
              <w:t>小计</w:t>
            </w:r>
          </w:p>
        </w:tc>
        <w:tc>
          <w:tcPr>
            <w:tcW w:w="92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1E6FB15" w14:textId="77777777" w:rsidR="00674F3E" w:rsidRDefault="00C45190">
            <w:pPr>
              <w:adjustRightInd w:val="0"/>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p>
        </w:tc>
        <w:tc>
          <w:tcPr>
            <w:tcW w:w="123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53AF394" w14:textId="77777777" w:rsidR="00674F3E" w:rsidRDefault="00C45190">
            <w:pPr>
              <w:adjustRightInd w:val="0"/>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p>
        </w:tc>
        <w:tc>
          <w:tcPr>
            <w:tcW w:w="1080" w:type="dxa"/>
            <w:tcBorders>
              <w:top w:val="single" w:sz="4" w:space="0" w:color="auto"/>
              <w:left w:val="nil"/>
              <w:bottom w:val="single" w:sz="4" w:space="0" w:color="auto"/>
              <w:right w:val="single" w:sz="4" w:space="0" w:color="auto"/>
            </w:tcBorders>
            <w:vAlign w:val="bottom"/>
          </w:tcPr>
          <w:p w14:paraId="119F28EC" w14:textId="77777777" w:rsidR="00674F3E" w:rsidRDefault="00C45190">
            <w:pPr>
              <w:adjustRightInd w:val="0"/>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p>
        </w:tc>
        <w:tc>
          <w:tcPr>
            <w:tcW w:w="171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1F19A09" w14:textId="77777777" w:rsidR="00674F3E" w:rsidRDefault="00674F3E">
            <w:pPr>
              <w:adjustRightInd w:val="0"/>
              <w:snapToGrid w:val="0"/>
              <w:rPr>
                <w:rFonts w:ascii="仿宋_GB2312" w:eastAsia="仿宋_GB2312" w:hAnsi="仿宋_GB2312" w:cs="仿宋_GB2312"/>
                <w:sz w:val="28"/>
                <w:szCs w:val="28"/>
              </w:rPr>
            </w:pPr>
          </w:p>
        </w:tc>
        <w:tc>
          <w:tcPr>
            <w:tcW w:w="14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CAF1CDE" w14:textId="77777777" w:rsidR="00674F3E" w:rsidRDefault="00674F3E">
            <w:pPr>
              <w:adjustRightInd w:val="0"/>
              <w:snapToGrid w:val="0"/>
              <w:rPr>
                <w:rFonts w:ascii="仿宋_GB2312" w:eastAsia="仿宋_GB2312" w:hAnsi="仿宋_GB2312" w:cs="仿宋_GB2312"/>
                <w:sz w:val="28"/>
                <w:szCs w:val="28"/>
              </w:rPr>
            </w:pPr>
          </w:p>
        </w:tc>
        <w:tc>
          <w:tcPr>
            <w:tcW w:w="1260" w:type="dxa"/>
            <w:tcBorders>
              <w:top w:val="single" w:sz="4" w:space="0" w:color="auto"/>
              <w:left w:val="nil"/>
              <w:bottom w:val="single" w:sz="4" w:space="0" w:color="auto"/>
              <w:right w:val="single" w:sz="4" w:space="0" w:color="auto"/>
            </w:tcBorders>
          </w:tcPr>
          <w:p w14:paraId="74F34311" w14:textId="77777777" w:rsidR="00674F3E" w:rsidRDefault="00674F3E">
            <w:pPr>
              <w:adjustRightInd w:val="0"/>
              <w:snapToGrid w:val="0"/>
              <w:rPr>
                <w:rFonts w:ascii="仿宋_GB2312" w:eastAsia="仿宋_GB2312" w:hAnsi="仿宋_GB2312" w:cs="仿宋_GB2312"/>
                <w:sz w:val="28"/>
                <w:szCs w:val="28"/>
              </w:rPr>
            </w:pP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360DBE3" w14:textId="77777777" w:rsidR="00674F3E" w:rsidRDefault="00674F3E">
            <w:pPr>
              <w:adjustRightInd w:val="0"/>
              <w:snapToGrid w:val="0"/>
              <w:rPr>
                <w:rFonts w:ascii="仿宋_GB2312" w:eastAsia="仿宋_GB2312" w:hAnsi="仿宋_GB2312" w:cs="仿宋_GB2312"/>
                <w:sz w:val="28"/>
                <w:szCs w:val="28"/>
              </w:rPr>
            </w:pPr>
          </w:p>
        </w:tc>
        <w:tc>
          <w:tcPr>
            <w:tcW w:w="92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5E05EEB" w14:textId="77777777" w:rsidR="00674F3E" w:rsidRDefault="00674F3E">
            <w:pPr>
              <w:adjustRightInd w:val="0"/>
              <w:snapToGrid w:val="0"/>
              <w:rPr>
                <w:rFonts w:ascii="仿宋_GB2312" w:eastAsia="仿宋_GB2312" w:hAnsi="仿宋_GB2312" w:cs="仿宋_GB2312"/>
                <w:sz w:val="28"/>
                <w:szCs w:val="28"/>
              </w:rPr>
            </w:pP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BA633D7" w14:textId="77777777" w:rsidR="00674F3E" w:rsidRDefault="00C45190">
            <w:pPr>
              <w:adjustRightInd w:val="0"/>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p>
        </w:tc>
        <w:tc>
          <w:tcPr>
            <w:tcW w:w="1620" w:type="dxa"/>
            <w:tcBorders>
              <w:top w:val="nil"/>
              <w:left w:val="nil"/>
              <w:bottom w:val="single" w:sz="4" w:space="0" w:color="auto"/>
              <w:right w:val="single" w:sz="8" w:space="0" w:color="auto"/>
            </w:tcBorders>
            <w:noWrap/>
            <w:tcMar>
              <w:top w:w="15" w:type="dxa"/>
              <w:left w:w="15" w:type="dxa"/>
              <w:bottom w:w="0" w:type="dxa"/>
              <w:right w:w="15" w:type="dxa"/>
            </w:tcMar>
            <w:vAlign w:val="bottom"/>
          </w:tcPr>
          <w:p w14:paraId="221F8A1C" w14:textId="77777777" w:rsidR="00674F3E" w:rsidRDefault="00C45190">
            <w:pPr>
              <w:adjustRightInd w:val="0"/>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p>
        </w:tc>
      </w:tr>
      <w:tr w:rsidR="00674F3E" w14:paraId="650F0470" w14:textId="77777777">
        <w:trPr>
          <w:cantSplit/>
          <w:trHeight w:val="285"/>
        </w:trPr>
        <w:tc>
          <w:tcPr>
            <w:tcW w:w="1815" w:type="dxa"/>
            <w:vMerge w:val="restart"/>
            <w:tcBorders>
              <w:top w:val="nil"/>
              <w:left w:val="single" w:sz="8" w:space="0" w:color="auto"/>
              <w:right w:val="single" w:sz="4" w:space="0" w:color="auto"/>
            </w:tcBorders>
            <w:tcMar>
              <w:top w:w="15" w:type="dxa"/>
              <w:left w:w="15" w:type="dxa"/>
              <w:bottom w:w="0" w:type="dxa"/>
              <w:right w:w="15" w:type="dxa"/>
            </w:tcMar>
            <w:vAlign w:val="bottom"/>
          </w:tcPr>
          <w:p w14:paraId="00A66689" w14:textId="77777777" w:rsidR="00674F3E" w:rsidRDefault="00C45190">
            <w:pPr>
              <w:adjustRightInd w:val="0"/>
              <w:snapToGrid w:val="0"/>
              <w:rPr>
                <w:rFonts w:ascii="仿宋_GB2312" w:eastAsia="仿宋_GB2312" w:hAnsi="仿宋_GB2312" w:cs="仿宋_GB2312"/>
                <w:b/>
                <w:bCs/>
                <w:sz w:val="28"/>
                <w:szCs w:val="28"/>
              </w:rPr>
            </w:pPr>
            <w:r>
              <w:rPr>
                <w:rFonts w:ascii="仿宋_GB2312" w:eastAsia="仿宋_GB2312" w:hAnsi="仿宋_GB2312" w:cs="仿宋_GB2312" w:hint="eastAsia"/>
                <w:sz w:val="28"/>
                <w:szCs w:val="28"/>
              </w:rPr>
              <w:t>前大股东及其附属企业</w:t>
            </w:r>
          </w:p>
        </w:tc>
        <w:tc>
          <w:tcPr>
            <w:tcW w:w="925" w:type="dxa"/>
            <w:tcBorders>
              <w:top w:val="nil"/>
              <w:left w:val="nil"/>
              <w:bottom w:val="single" w:sz="4" w:space="0" w:color="auto"/>
              <w:right w:val="single" w:sz="4" w:space="0" w:color="auto"/>
            </w:tcBorders>
            <w:tcMar>
              <w:top w:w="15" w:type="dxa"/>
              <w:left w:w="15" w:type="dxa"/>
              <w:bottom w:w="0" w:type="dxa"/>
              <w:right w:w="15" w:type="dxa"/>
            </w:tcMar>
            <w:vAlign w:val="bottom"/>
          </w:tcPr>
          <w:p w14:paraId="0AB8402F" w14:textId="77777777" w:rsidR="00674F3E" w:rsidRDefault="00674F3E">
            <w:pPr>
              <w:adjustRightInd w:val="0"/>
              <w:snapToGrid w:val="0"/>
              <w:jc w:val="center"/>
              <w:rPr>
                <w:rFonts w:ascii="仿宋_GB2312" w:eastAsia="仿宋_GB2312" w:hAnsi="仿宋_GB2312" w:cs="仿宋_GB2312"/>
                <w:sz w:val="28"/>
                <w:szCs w:val="28"/>
              </w:rPr>
            </w:pPr>
          </w:p>
        </w:tc>
        <w:tc>
          <w:tcPr>
            <w:tcW w:w="1235" w:type="dxa"/>
            <w:tcBorders>
              <w:top w:val="nil"/>
              <w:left w:val="nil"/>
              <w:bottom w:val="single" w:sz="4" w:space="0" w:color="auto"/>
              <w:right w:val="single" w:sz="4" w:space="0" w:color="auto"/>
            </w:tcBorders>
            <w:tcMar>
              <w:top w:w="15" w:type="dxa"/>
              <w:left w:w="15" w:type="dxa"/>
              <w:bottom w:w="0" w:type="dxa"/>
              <w:right w:w="15" w:type="dxa"/>
            </w:tcMar>
            <w:vAlign w:val="bottom"/>
          </w:tcPr>
          <w:p w14:paraId="5982F735" w14:textId="77777777" w:rsidR="00674F3E" w:rsidRDefault="00674F3E">
            <w:pPr>
              <w:adjustRightInd w:val="0"/>
              <w:snapToGrid w:val="0"/>
              <w:jc w:val="center"/>
              <w:rPr>
                <w:rFonts w:ascii="仿宋_GB2312" w:eastAsia="仿宋_GB2312" w:hAnsi="仿宋_GB2312" w:cs="仿宋_GB2312"/>
                <w:sz w:val="28"/>
                <w:szCs w:val="28"/>
              </w:rPr>
            </w:pPr>
          </w:p>
        </w:tc>
        <w:tc>
          <w:tcPr>
            <w:tcW w:w="1080" w:type="dxa"/>
            <w:tcBorders>
              <w:top w:val="single" w:sz="4" w:space="0" w:color="auto"/>
              <w:left w:val="nil"/>
              <w:bottom w:val="single" w:sz="4" w:space="0" w:color="auto"/>
              <w:right w:val="single" w:sz="4" w:space="0" w:color="auto"/>
            </w:tcBorders>
            <w:vAlign w:val="bottom"/>
          </w:tcPr>
          <w:p w14:paraId="10529113" w14:textId="77777777" w:rsidR="00674F3E" w:rsidRDefault="00674F3E">
            <w:pPr>
              <w:adjustRightInd w:val="0"/>
              <w:snapToGrid w:val="0"/>
              <w:jc w:val="center"/>
              <w:rPr>
                <w:rFonts w:ascii="仿宋_GB2312" w:eastAsia="仿宋_GB2312" w:hAnsi="仿宋_GB2312" w:cs="仿宋_GB2312"/>
                <w:sz w:val="28"/>
                <w:szCs w:val="28"/>
              </w:rPr>
            </w:pPr>
          </w:p>
        </w:tc>
        <w:tc>
          <w:tcPr>
            <w:tcW w:w="1718"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4A943568" w14:textId="77777777" w:rsidR="00674F3E" w:rsidRDefault="00674F3E">
            <w:pPr>
              <w:adjustRightInd w:val="0"/>
              <w:snapToGrid w:val="0"/>
              <w:rPr>
                <w:rFonts w:ascii="仿宋_GB2312" w:eastAsia="仿宋_GB2312" w:hAnsi="仿宋_GB2312" w:cs="仿宋_GB2312"/>
                <w:sz w:val="28"/>
                <w:szCs w:val="28"/>
              </w:rPr>
            </w:pPr>
          </w:p>
        </w:tc>
        <w:tc>
          <w:tcPr>
            <w:tcW w:w="1460" w:type="dxa"/>
            <w:tcBorders>
              <w:top w:val="nil"/>
              <w:left w:val="nil"/>
              <w:bottom w:val="single" w:sz="4" w:space="0" w:color="auto"/>
              <w:right w:val="single" w:sz="4" w:space="0" w:color="auto"/>
            </w:tcBorders>
            <w:tcMar>
              <w:top w:w="15" w:type="dxa"/>
              <w:left w:w="15" w:type="dxa"/>
              <w:bottom w:w="0" w:type="dxa"/>
              <w:right w:w="15" w:type="dxa"/>
            </w:tcMar>
            <w:vAlign w:val="bottom"/>
          </w:tcPr>
          <w:p w14:paraId="32D1B6C4" w14:textId="77777777" w:rsidR="00674F3E" w:rsidRDefault="00674F3E">
            <w:pPr>
              <w:adjustRightInd w:val="0"/>
              <w:snapToGrid w:val="0"/>
              <w:rPr>
                <w:rFonts w:ascii="仿宋_GB2312" w:eastAsia="仿宋_GB2312" w:hAnsi="仿宋_GB2312" w:cs="仿宋_GB2312"/>
                <w:sz w:val="28"/>
                <w:szCs w:val="28"/>
              </w:rPr>
            </w:pPr>
          </w:p>
        </w:tc>
        <w:tc>
          <w:tcPr>
            <w:tcW w:w="1260" w:type="dxa"/>
            <w:tcBorders>
              <w:top w:val="single" w:sz="4" w:space="0" w:color="auto"/>
              <w:left w:val="nil"/>
              <w:bottom w:val="single" w:sz="4" w:space="0" w:color="auto"/>
              <w:right w:val="single" w:sz="4" w:space="0" w:color="auto"/>
            </w:tcBorders>
          </w:tcPr>
          <w:p w14:paraId="325D4AD4" w14:textId="77777777" w:rsidR="00674F3E" w:rsidRDefault="00674F3E">
            <w:pPr>
              <w:adjustRightInd w:val="0"/>
              <w:snapToGrid w:val="0"/>
              <w:rPr>
                <w:rFonts w:ascii="仿宋_GB2312" w:eastAsia="仿宋_GB2312" w:hAnsi="仿宋_GB2312" w:cs="仿宋_GB2312"/>
                <w:sz w:val="28"/>
                <w:szCs w:val="28"/>
              </w:rPr>
            </w:pPr>
          </w:p>
        </w:tc>
        <w:tc>
          <w:tcPr>
            <w:tcW w:w="12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400C87C0" w14:textId="77777777" w:rsidR="00674F3E" w:rsidRDefault="00674F3E">
            <w:pPr>
              <w:adjustRightInd w:val="0"/>
              <w:snapToGrid w:val="0"/>
              <w:rPr>
                <w:rFonts w:ascii="仿宋_GB2312" w:eastAsia="仿宋_GB2312" w:hAnsi="仿宋_GB2312" w:cs="仿宋_GB2312"/>
                <w:sz w:val="28"/>
                <w:szCs w:val="28"/>
              </w:rPr>
            </w:pPr>
          </w:p>
        </w:tc>
        <w:tc>
          <w:tcPr>
            <w:tcW w:w="9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3BC09755" w14:textId="77777777" w:rsidR="00674F3E" w:rsidRDefault="00674F3E">
            <w:pPr>
              <w:adjustRightInd w:val="0"/>
              <w:snapToGrid w:val="0"/>
              <w:rPr>
                <w:rFonts w:ascii="仿宋_GB2312" w:eastAsia="仿宋_GB2312" w:hAnsi="仿宋_GB2312" w:cs="仿宋_GB2312"/>
                <w:sz w:val="28"/>
                <w:szCs w:val="28"/>
              </w:rPr>
            </w:pP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bottom"/>
          </w:tcPr>
          <w:p w14:paraId="667A75C3" w14:textId="77777777" w:rsidR="00674F3E" w:rsidRDefault="00674F3E">
            <w:pPr>
              <w:adjustRightInd w:val="0"/>
              <w:snapToGrid w:val="0"/>
              <w:jc w:val="center"/>
              <w:rPr>
                <w:rFonts w:ascii="仿宋_GB2312" w:eastAsia="仿宋_GB2312" w:hAnsi="仿宋_GB2312" w:cs="仿宋_GB2312"/>
                <w:sz w:val="28"/>
                <w:szCs w:val="28"/>
              </w:rPr>
            </w:pPr>
          </w:p>
        </w:tc>
        <w:tc>
          <w:tcPr>
            <w:tcW w:w="1620" w:type="dxa"/>
            <w:tcBorders>
              <w:top w:val="nil"/>
              <w:left w:val="nil"/>
              <w:bottom w:val="single" w:sz="4" w:space="0" w:color="auto"/>
              <w:right w:val="single" w:sz="8" w:space="0" w:color="auto"/>
            </w:tcBorders>
            <w:tcMar>
              <w:top w:w="15" w:type="dxa"/>
              <w:left w:w="15" w:type="dxa"/>
              <w:bottom w:w="0" w:type="dxa"/>
              <w:right w:w="15" w:type="dxa"/>
            </w:tcMar>
          </w:tcPr>
          <w:p w14:paraId="0304AA89" w14:textId="77777777" w:rsidR="00674F3E" w:rsidRDefault="00C45190">
            <w:pPr>
              <w:adjustRightInd w:val="0"/>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非经营性占用</w:t>
            </w:r>
          </w:p>
        </w:tc>
      </w:tr>
      <w:tr w:rsidR="00674F3E" w14:paraId="03ED0829" w14:textId="77777777">
        <w:trPr>
          <w:cantSplit/>
          <w:trHeight w:val="285"/>
        </w:trPr>
        <w:tc>
          <w:tcPr>
            <w:tcW w:w="1815" w:type="dxa"/>
            <w:vMerge/>
            <w:tcBorders>
              <w:left w:val="single" w:sz="8" w:space="0" w:color="auto"/>
              <w:bottom w:val="single" w:sz="4" w:space="0" w:color="auto"/>
              <w:right w:val="single" w:sz="4" w:space="0" w:color="auto"/>
            </w:tcBorders>
            <w:tcMar>
              <w:top w:w="15" w:type="dxa"/>
              <w:left w:w="15" w:type="dxa"/>
              <w:bottom w:w="0" w:type="dxa"/>
              <w:right w:w="15" w:type="dxa"/>
            </w:tcMar>
            <w:vAlign w:val="bottom"/>
          </w:tcPr>
          <w:p w14:paraId="0C2A1F26" w14:textId="77777777" w:rsidR="00674F3E" w:rsidRDefault="00674F3E">
            <w:pPr>
              <w:adjustRightInd w:val="0"/>
              <w:snapToGrid w:val="0"/>
              <w:jc w:val="center"/>
              <w:rPr>
                <w:rFonts w:ascii="仿宋_GB2312" w:eastAsia="仿宋_GB2312" w:hAnsi="仿宋_GB2312" w:cs="仿宋_GB2312"/>
                <w:b/>
                <w:bCs/>
                <w:sz w:val="28"/>
                <w:szCs w:val="28"/>
              </w:rPr>
            </w:pPr>
          </w:p>
        </w:tc>
        <w:tc>
          <w:tcPr>
            <w:tcW w:w="925" w:type="dxa"/>
            <w:tcBorders>
              <w:top w:val="nil"/>
              <w:left w:val="nil"/>
              <w:bottom w:val="single" w:sz="4" w:space="0" w:color="auto"/>
              <w:right w:val="single" w:sz="4" w:space="0" w:color="auto"/>
            </w:tcBorders>
            <w:tcMar>
              <w:top w:w="15" w:type="dxa"/>
              <w:left w:w="15" w:type="dxa"/>
              <w:bottom w:w="0" w:type="dxa"/>
              <w:right w:w="15" w:type="dxa"/>
            </w:tcMar>
            <w:vAlign w:val="bottom"/>
          </w:tcPr>
          <w:p w14:paraId="46F9B2D8" w14:textId="77777777" w:rsidR="00674F3E" w:rsidRDefault="00674F3E">
            <w:pPr>
              <w:adjustRightInd w:val="0"/>
              <w:snapToGrid w:val="0"/>
              <w:jc w:val="center"/>
              <w:rPr>
                <w:rFonts w:ascii="仿宋_GB2312" w:eastAsia="仿宋_GB2312" w:hAnsi="仿宋_GB2312" w:cs="仿宋_GB2312"/>
                <w:sz w:val="28"/>
                <w:szCs w:val="28"/>
              </w:rPr>
            </w:pPr>
          </w:p>
        </w:tc>
        <w:tc>
          <w:tcPr>
            <w:tcW w:w="1235" w:type="dxa"/>
            <w:tcBorders>
              <w:top w:val="nil"/>
              <w:left w:val="nil"/>
              <w:bottom w:val="single" w:sz="4" w:space="0" w:color="auto"/>
              <w:right w:val="single" w:sz="4" w:space="0" w:color="auto"/>
            </w:tcBorders>
            <w:tcMar>
              <w:top w:w="15" w:type="dxa"/>
              <w:left w:w="15" w:type="dxa"/>
              <w:bottom w:w="0" w:type="dxa"/>
              <w:right w:w="15" w:type="dxa"/>
            </w:tcMar>
            <w:vAlign w:val="bottom"/>
          </w:tcPr>
          <w:p w14:paraId="744EF197" w14:textId="77777777" w:rsidR="00674F3E" w:rsidRDefault="00674F3E">
            <w:pPr>
              <w:adjustRightInd w:val="0"/>
              <w:snapToGrid w:val="0"/>
              <w:jc w:val="center"/>
              <w:rPr>
                <w:rFonts w:ascii="仿宋_GB2312" w:eastAsia="仿宋_GB2312" w:hAnsi="仿宋_GB2312" w:cs="仿宋_GB2312"/>
                <w:sz w:val="28"/>
                <w:szCs w:val="28"/>
              </w:rPr>
            </w:pPr>
          </w:p>
        </w:tc>
        <w:tc>
          <w:tcPr>
            <w:tcW w:w="1080" w:type="dxa"/>
            <w:tcBorders>
              <w:top w:val="single" w:sz="4" w:space="0" w:color="auto"/>
              <w:left w:val="nil"/>
              <w:bottom w:val="single" w:sz="4" w:space="0" w:color="auto"/>
              <w:right w:val="single" w:sz="4" w:space="0" w:color="auto"/>
            </w:tcBorders>
            <w:vAlign w:val="bottom"/>
          </w:tcPr>
          <w:p w14:paraId="139727FE" w14:textId="77777777" w:rsidR="00674F3E" w:rsidRDefault="00674F3E">
            <w:pPr>
              <w:adjustRightInd w:val="0"/>
              <w:snapToGrid w:val="0"/>
              <w:jc w:val="center"/>
              <w:rPr>
                <w:rFonts w:ascii="仿宋_GB2312" w:eastAsia="仿宋_GB2312" w:hAnsi="仿宋_GB2312" w:cs="仿宋_GB2312"/>
                <w:sz w:val="28"/>
                <w:szCs w:val="28"/>
              </w:rPr>
            </w:pPr>
          </w:p>
        </w:tc>
        <w:tc>
          <w:tcPr>
            <w:tcW w:w="1718"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28E5F1BF" w14:textId="77777777" w:rsidR="00674F3E" w:rsidRDefault="00674F3E">
            <w:pPr>
              <w:adjustRightInd w:val="0"/>
              <w:snapToGrid w:val="0"/>
              <w:rPr>
                <w:rFonts w:ascii="仿宋_GB2312" w:eastAsia="仿宋_GB2312" w:hAnsi="仿宋_GB2312" w:cs="仿宋_GB2312"/>
                <w:sz w:val="28"/>
                <w:szCs w:val="28"/>
              </w:rPr>
            </w:pPr>
          </w:p>
        </w:tc>
        <w:tc>
          <w:tcPr>
            <w:tcW w:w="1460" w:type="dxa"/>
            <w:tcBorders>
              <w:top w:val="nil"/>
              <w:left w:val="nil"/>
              <w:bottom w:val="single" w:sz="4" w:space="0" w:color="auto"/>
              <w:right w:val="single" w:sz="4" w:space="0" w:color="auto"/>
            </w:tcBorders>
            <w:tcMar>
              <w:top w:w="15" w:type="dxa"/>
              <w:left w:w="15" w:type="dxa"/>
              <w:bottom w:w="0" w:type="dxa"/>
              <w:right w:w="15" w:type="dxa"/>
            </w:tcMar>
            <w:vAlign w:val="bottom"/>
          </w:tcPr>
          <w:p w14:paraId="18780840" w14:textId="77777777" w:rsidR="00674F3E" w:rsidRDefault="00674F3E">
            <w:pPr>
              <w:adjustRightInd w:val="0"/>
              <w:snapToGrid w:val="0"/>
              <w:rPr>
                <w:rFonts w:ascii="仿宋_GB2312" w:eastAsia="仿宋_GB2312" w:hAnsi="仿宋_GB2312" w:cs="仿宋_GB2312"/>
                <w:sz w:val="28"/>
                <w:szCs w:val="28"/>
              </w:rPr>
            </w:pPr>
          </w:p>
        </w:tc>
        <w:tc>
          <w:tcPr>
            <w:tcW w:w="1260" w:type="dxa"/>
            <w:tcBorders>
              <w:top w:val="single" w:sz="4" w:space="0" w:color="auto"/>
              <w:left w:val="nil"/>
              <w:bottom w:val="single" w:sz="4" w:space="0" w:color="auto"/>
              <w:right w:val="single" w:sz="4" w:space="0" w:color="auto"/>
            </w:tcBorders>
          </w:tcPr>
          <w:p w14:paraId="4FE14D40" w14:textId="77777777" w:rsidR="00674F3E" w:rsidRDefault="00674F3E">
            <w:pPr>
              <w:adjustRightInd w:val="0"/>
              <w:snapToGrid w:val="0"/>
              <w:rPr>
                <w:rFonts w:ascii="仿宋_GB2312" w:eastAsia="仿宋_GB2312" w:hAnsi="仿宋_GB2312" w:cs="仿宋_GB2312"/>
                <w:sz w:val="28"/>
                <w:szCs w:val="28"/>
              </w:rPr>
            </w:pPr>
          </w:p>
        </w:tc>
        <w:tc>
          <w:tcPr>
            <w:tcW w:w="12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115D6D77" w14:textId="77777777" w:rsidR="00674F3E" w:rsidRDefault="00674F3E">
            <w:pPr>
              <w:adjustRightInd w:val="0"/>
              <w:snapToGrid w:val="0"/>
              <w:rPr>
                <w:rFonts w:ascii="仿宋_GB2312" w:eastAsia="仿宋_GB2312" w:hAnsi="仿宋_GB2312" w:cs="仿宋_GB2312"/>
                <w:sz w:val="28"/>
                <w:szCs w:val="28"/>
              </w:rPr>
            </w:pPr>
          </w:p>
        </w:tc>
        <w:tc>
          <w:tcPr>
            <w:tcW w:w="9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483D2035" w14:textId="77777777" w:rsidR="00674F3E" w:rsidRDefault="00674F3E">
            <w:pPr>
              <w:adjustRightInd w:val="0"/>
              <w:snapToGrid w:val="0"/>
              <w:rPr>
                <w:rFonts w:ascii="仿宋_GB2312" w:eastAsia="仿宋_GB2312" w:hAnsi="仿宋_GB2312" w:cs="仿宋_GB2312"/>
                <w:sz w:val="28"/>
                <w:szCs w:val="28"/>
              </w:rPr>
            </w:pP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bottom"/>
          </w:tcPr>
          <w:p w14:paraId="6C097103" w14:textId="77777777" w:rsidR="00674F3E" w:rsidRDefault="00674F3E">
            <w:pPr>
              <w:adjustRightInd w:val="0"/>
              <w:snapToGrid w:val="0"/>
              <w:jc w:val="center"/>
              <w:rPr>
                <w:rFonts w:ascii="仿宋_GB2312" w:eastAsia="仿宋_GB2312" w:hAnsi="仿宋_GB2312" w:cs="仿宋_GB2312"/>
                <w:sz w:val="28"/>
                <w:szCs w:val="28"/>
              </w:rPr>
            </w:pPr>
          </w:p>
        </w:tc>
        <w:tc>
          <w:tcPr>
            <w:tcW w:w="1620" w:type="dxa"/>
            <w:tcBorders>
              <w:top w:val="nil"/>
              <w:left w:val="nil"/>
              <w:bottom w:val="single" w:sz="4" w:space="0" w:color="auto"/>
              <w:right w:val="single" w:sz="8" w:space="0" w:color="auto"/>
            </w:tcBorders>
            <w:tcMar>
              <w:top w:w="15" w:type="dxa"/>
              <w:left w:w="15" w:type="dxa"/>
              <w:bottom w:w="0" w:type="dxa"/>
              <w:right w:w="15" w:type="dxa"/>
            </w:tcMar>
          </w:tcPr>
          <w:p w14:paraId="41415F2D" w14:textId="77777777" w:rsidR="00674F3E" w:rsidRDefault="00C45190">
            <w:pPr>
              <w:adjustRightInd w:val="0"/>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非经营性占用</w:t>
            </w:r>
          </w:p>
        </w:tc>
      </w:tr>
      <w:tr w:rsidR="00674F3E" w14:paraId="18991C70" w14:textId="77777777">
        <w:trPr>
          <w:cantSplit/>
          <w:trHeight w:val="285"/>
        </w:trPr>
        <w:tc>
          <w:tcPr>
            <w:tcW w:w="1815" w:type="dxa"/>
            <w:tcBorders>
              <w:top w:val="single" w:sz="4" w:space="0" w:color="auto"/>
              <w:left w:val="single" w:sz="8" w:space="0" w:color="auto"/>
              <w:bottom w:val="single" w:sz="4" w:space="0" w:color="auto"/>
              <w:right w:val="single" w:sz="4" w:space="0" w:color="auto"/>
            </w:tcBorders>
            <w:tcMar>
              <w:top w:w="15" w:type="dxa"/>
              <w:left w:w="15" w:type="dxa"/>
              <w:bottom w:w="0" w:type="dxa"/>
              <w:right w:w="15" w:type="dxa"/>
            </w:tcMar>
            <w:vAlign w:val="center"/>
          </w:tcPr>
          <w:p w14:paraId="375EB2F5" w14:textId="77777777" w:rsidR="00674F3E" w:rsidRDefault="00C45190">
            <w:pPr>
              <w:adjustRightInd w:val="0"/>
              <w:snapToGrid w:val="0"/>
              <w:jc w:val="center"/>
              <w:rPr>
                <w:rFonts w:ascii="仿宋_GB2312" w:eastAsia="仿宋_GB2312" w:hAnsi="仿宋_GB2312" w:cs="仿宋_GB2312"/>
                <w:sz w:val="28"/>
                <w:szCs w:val="28"/>
              </w:rPr>
            </w:pPr>
            <w:r>
              <w:rPr>
                <w:rFonts w:ascii="仿宋_GB2312" w:eastAsia="仿宋_GB2312" w:hAnsi="仿宋_GB2312" w:cs="仿宋_GB2312" w:hint="eastAsia"/>
                <w:b/>
                <w:bCs/>
                <w:sz w:val="28"/>
                <w:szCs w:val="28"/>
              </w:rPr>
              <w:t>小计</w:t>
            </w:r>
          </w:p>
        </w:tc>
        <w:tc>
          <w:tcPr>
            <w:tcW w:w="92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7044555" w14:textId="77777777" w:rsidR="00674F3E" w:rsidRDefault="00C45190">
            <w:pPr>
              <w:adjustRightInd w:val="0"/>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p>
        </w:tc>
        <w:tc>
          <w:tcPr>
            <w:tcW w:w="123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9E4B00A" w14:textId="77777777" w:rsidR="00674F3E" w:rsidRDefault="00C45190">
            <w:pPr>
              <w:adjustRightInd w:val="0"/>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p>
        </w:tc>
        <w:tc>
          <w:tcPr>
            <w:tcW w:w="1080" w:type="dxa"/>
            <w:tcBorders>
              <w:top w:val="single" w:sz="4" w:space="0" w:color="auto"/>
              <w:left w:val="nil"/>
              <w:bottom w:val="single" w:sz="4" w:space="0" w:color="auto"/>
              <w:right w:val="single" w:sz="4" w:space="0" w:color="auto"/>
            </w:tcBorders>
            <w:vAlign w:val="bottom"/>
          </w:tcPr>
          <w:p w14:paraId="2542212A" w14:textId="77777777" w:rsidR="00674F3E" w:rsidRDefault="00C45190">
            <w:pPr>
              <w:adjustRightInd w:val="0"/>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p>
        </w:tc>
        <w:tc>
          <w:tcPr>
            <w:tcW w:w="171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4FEFE34" w14:textId="77777777" w:rsidR="00674F3E" w:rsidRDefault="00674F3E">
            <w:pPr>
              <w:adjustRightInd w:val="0"/>
              <w:snapToGrid w:val="0"/>
              <w:rPr>
                <w:rFonts w:ascii="仿宋_GB2312" w:eastAsia="仿宋_GB2312" w:hAnsi="仿宋_GB2312" w:cs="仿宋_GB2312"/>
                <w:sz w:val="28"/>
                <w:szCs w:val="28"/>
              </w:rPr>
            </w:pPr>
          </w:p>
        </w:tc>
        <w:tc>
          <w:tcPr>
            <w:tcW w:w="14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56B08B3" w14:textId="77777777" w:rsidR="00674F3E" w:rsidRDefault="00674F3E">
            <w:pPr>
              <w:adjustRightInd w:val="0"/>
              <w:snapToGrid w:val="0"/>
              <w:rPr>
                <w:rFonts w:ascii="仿宋_GB2312" w:eastAsia="仿宋_GB2312" w:hAnsi="仿宋_GB2312" w:cs="仿宋_GB2312"/>
                <w:sz w:val="28"/>
                <w:szCs w:val="28"/>
              </w:rPr>
            </w:pPr>
          </w:p>
        </w:tc>
        <w:tc>
          <w:tcPr>
            <w:tcW w:w="1260" w:type="dxa"/>
            <w:tcBorders>
              <w:top w:val="single" w:sz="4" w:space="0" w:color="auto"/>
              <w:left w:val="nil"/>
              <w:bottom w:val="single" w:sz="4" w:space="0" w:color="auto"/>
              <w:right w:val="single" w:sz="4" w:space="0" w:color="auto"/>
            </w:tcBorders>
          </w:tcPr>
          <w:p w14:paraId="2639A5F4" w14:textId="77777777" w:rsidR="00674F3E" w:rsidRDefault="00674F3E">
            <w:pPr>
              <w:adjustRightInd w:val="0"/>
              <w:snapToGrid w:val="0"/>
              <w:rPr>
                <w:rFonts w:ascii="仿宋_GB2312" w:eastAsia="仿宋_GB2312" w:hAnsi="仿宋_GB2312" w:cs="仿宋_GB2312"/>
                <w:sz w:val="28"/>
                <w:szCs w:val="28"/>
              </w:rPr>
            </w:pP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CA03CEA" w14:textId="77777777" w:rsidR="00674F3E" w:rsidRDefault="00674F3E">
            <w:pPr>
              <w:adjustRightInd w:val="0"/>
              <w:snapToGrid w:val="0"/>
              <w:rPr>
                <w:rFonts w:ascii="仿宋_GB2312" w:eastAsia="仿宋_GB2312" w:hAnsi="仿宋_GB2312" w:cs="仿宋_GB2312"/>
                <w:sz w:val="28"/>
                <w:szCs w:val="28"/>
              </w:rPr>
            </w:pPr>
          </w:p>
        </w:tc>
        <w:tc>
          <w:tcPr>
            <w:tcW w:w="92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A4D841E" w14:textId="77777777" w:rsidR="00674F3E" w:rsidRDefault="00674F3E">
            <w:pPr>
              <w:adjustRightInd w:val="0"/>
              <w:snapToGrid w:val="0"/>
              <w:rPr>
                <w:rFonts w:ascii="仿宋_GB2312" w:eastAsia="仿宋_GB2312" w:hAnsi="仿宋_GB2312" w:cs="仿宋_GB2312"/>
                <w:sz w:val="28"/>
                <w:szCs w:val="28"/>
              </w:rPr>
            </w:pP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AD26C10" w14:textId="77777777" w:rsidR="00674F3E" w:rsidRDefault="00C45190">
            <w:pPr>
              <w:adjustRightInd w:val="0"/>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p>
        </w:tc>
        <w:tc>
          <w:tcPr>
            <w:tcW w:w="1620" w:type="dxa"/>
            <w:tcBorders>
              <w:top w:val="nil"/>
              <w:left w:val="nil"/>
              <w:bottom w:val="single" w:sz="4" w:space="0" w:color="auto"/>
              <w:right w:val="single" w:sz="8" w:space="0" w:color="auto"/>
            </w:tcBorders>
            <w:noWrap/>
            <w:tcMar>
              <w:top w:w="15" w:type="dxa"/>
              <w:left w:w="15" w:type="dxa"/>
              <w:bottom w:w="0" w:type="dxa"/>
              <w:right w:w="15" w:type="dxa"/>
            </w:tcMar>
            <w:vAlign w:val="bottom"/>
          </w:tcPr>
          <w:p w14:paraId="45884A59" w14:textId="77777777" w:rsidR="00674F3E" w:rsidRDefault="00C45190">
            <w:pPr>
              <w:adjustRightInd w:val="0"/>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p>
        </w:tc>
      </w:tr>
      <w:tr w:rsidR="00674F3E" w14:paraId="1574A461" w14:textId="77777777">
        <w:trPr>
          <w:trHeight w:val="285"/>
        </w:trPr>
        <w:tc>
          <w:tcPr>
            <w:tcW w:w="1815" w:type="dxa"/>
            <w:tcBorders>
              <w:top w:val="nil"/>
              <w:left w:val="single" w:sz="8" w:space="0" w:color="auto"/>
              <w:bottom w:val="single" w:sz="4" w:space="0" w:color="auto"/>
              <w:right w:val="single" w:sz="4" w:space="0" w:color="auto"/>
            </w:tcBorders>
            <w:tcMar>
              <w:top w:w="15" w:type="dxa"/>
              <w:left w:w="15" w:type="dxa"/>
              <w:bottom w:w="0" w:type="dxa"/>
              <w:right w:w="15" w:type="dxa"/>
            </w:tcMar>
            <w:vAlign w:val="bottom"/>
          </w:tcPr>
          <w:p w14:paraId="44E4C1F0" w14:textId="77777777" w:rsidR="00674F3E" w:rsidRDefault="00C45190">
            <w:pPr>
              <w:adjustRightInd w:val="0"/>
              <w:snapToGrid w:val="0"/>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总计</w:t>
            </w:r>
          </w:p>
        </w:tc>
        <w:tc>
          <w:tcPr>
            <w:tcW w:w="925" w:type="dxa"/>
            <w:tcBorders>
              <w:top w:val="nil"/>
              <w:left w:val="nil"/>
              <w:bottom w:val="single" w:sz="4" w:space="0" w:color="auto"/>
              <w:right w:val="single" w:sz="4" w:space="0" w:color="auto"/>
            </w:tcBorders>
            <w:tcMar>
              <w:top w:w="15" w:type="dxa"/>
              <w:left w:w="15" w:type="dxa"/>
              <w:bottom w:w="0" w:type="dxa"/>
              <w:right w:w="15" w:type="dxa"/>
            </w:tcMar>
            <w:vAlign w:val="bottom"/>
          </w:tcPr>
          <w:p w14:paraId="16F0F872" w14:textId="77777777" w:rsidR="00674F3E" w:rsidRDefault="00C45190">
            <w:pPr>
              <w:adjustRightInd w:val="0"/>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p>
        </w:tc>
        <w:tc>
          <w:tcPr>
            <w:tcW w:w="1235" w:type="dxa"/>
            <w:tcBorders>
              <w:top w:val="nil"/>
              <w:left w:val="nil"/>
              <w:bottom w:val="single" w:sz="4" w:space="0" w:color="auto"/>
              <w:right w:val="single" w:sz="4" w:space="0" w:color="auto"/>
            </w:tcBorders>
            <w:tcMar>
              <w:top w:w="15" w:type="dxa"/>
              <w:left w:w="15" w:type="dxa"/>
              <w:bottom w:w="0" w:type="dxa"/>
              <w:right w:w="15" w:type="dxa"/>
            </w:tcMar>
            <w:vAlign w:val="bottom"/>
          </w:tcPr>
          <w:p w14:paraId="3577E23D" w14:textId="77777777" w:rsidR="00674F3E" w:rsidRDefault="00C45190">
            <w:pPr>
              <w:adjustRightInd w:val="0"/>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p>
        </w:tc>
        <w:tc>
          <w:tcPr>
            <w:tcW w:w="1080" w:type="dxa"/>
            <w:tcBorders>
              <w:top w:val="single" w:sz="4" w:space="0" w:color="auto"/>
              <w:left w:val="nil"/>
              <w:bottom w:val="single" w:sz="4" w:space="0" w:color="auto"/>
              <w:right w:val="single" w:sz="4" w:space="0" w:color="auto"/>
            </w:tcBorders>
            <w:vAlign w:val="bottom"/>
          </w:tcPr>
          <w:p w14:paraId="532F1A2C" w14:textId="77777777" w:rsidR="00674F3E" w:rsidRDefault="00C45190">
            <w:pPr>
              <w:adjustRightInd w:val="0"/>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p>
        </w:tc>
        <w:tc>
          <w:tcPr>
            <w:tcW w:w="1718"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510BE5EC" w14:textId="77777777" w:rsidR="00674F3E" w:rsidRDefault="00674F3E">
            <w:pPr>
              <w:adjustRightInd w:val="0"/>
              <w:snapToGrid w:val="0"/>
              <w:rPr>
                <w:rFonts w:ascii="仿宋_GB2312" w:eastAsia="仿宋_GB2312" w:hAnsi="仿宋_GB2312" w:cs="仿宋_GB2312"/>
                <w:sz w:val="28"/>
                <w:szCs w:val="28"/>
              </w:rPr>
            </w:pPr>
          </w:p>
        </w:tc>
        <w:tc>
          <w:tcPr>
            <w:tcW w:w="1460" w:type="dxa"/>
            <w:tcBorders>
              <w:top w:val="nil"/>
              <w:left w:val="nil"/>
              <w:bottom w:val="single" w:sz="4" w:space="0" w:color="auto"/>
              <w:right w:val="single" w:sz="4" w:space="0" w:color="auto"/>
            </w:tcBorders>
            <w:tcMar>
              <w:top w:w="15" w:type="dxa"/>
              <w:left w:w="15" w:type="dxa"/>
              <w:bottom w:w="0" w:type="dxa"/>
              <w:right w:w="15" w:type="dxa"/>
            </w:tcMar>
            <w:vAlign w:val="bottom"/>
          </w:tcPr>
          <w:p w14:paraId="508063B4" w14:textId="77777777" w:rsidR="00674F3E" w:rsidRDefault="00674F3E">
            <w:pPr>
              <w:adjustRightInd w:val="0"/>
              <w:snapToGrid w:val="0"/>
              <w:rPr>
                <w:rFonts w:ascii="仿宋_GB2312" w:eastAsia="仿宋_GB2312" w:hAnsi="仿宋_GB2312" w:cs="仿宋_GB2312"/>
                <w:sz w:val="28"/>
                <w:szCs w:val="28"/>
              </w:rPr>
            </w:pPr>
          </w:p>
        </w:tc>
        <w:tc>
          <w:tcPr>
            <w:tcW w:w="1260" w:type="dxa"/>
            <w:tcBorders>
              <w:top w:val="single" w:sz="4" w:space="0" w:color="auto"/>
              <w:left w:val="nil"/>
              <w:bottom w:val="single" w:sz="4" w:space="0" w:color="auto"/>
              <w:right w:val="single" w:sz="4" w:space="0" w:color="auto"/>
            </w:tcBorders>
          </w:tcPr>
          <w:p w14:paraId="687DC97A" w14:textId="77777777" w:rsidR="00674F3E" w:rsidRDefault="00674F3E">
            <w:pPr>
              <w:adjustRightInd w:val="0"/>
              <w:snapToGrid w:val="0"/>
              <w:rPr>
                <w:rFonts w:ascii="仿宋_GB2312" w:eastAsia="仿宋_GB2312" w:hAnsi="仿宋_GB2312" w:cs="仿宋_GB2312"/>
                <w:sz w:val="28"/>
                <w:szCs w:val="28"/>
              </w:rPr>
            </w:pPr>
          </w:p>
        </w:tc>
        <w:tc>
          <w:tcPr>
            <w:tcW w:w="12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3CA74C66" w14:textId="77777777" w:rsidR="00674F3E" w:rsidRDefault="00674F3E">
            <w:pPr>
              <w:adjustRightInd w:val="0"/>
              <w:snapToGrid w:val="0"/>
              <w:rPr>
                <w:rFonts w:ascii="仿宋_GB2312" w:eastAsia="仿宋_GB2312" w:hAnsi="仿宋_GB2312" w:cs="仿宋_GB2312"/>
                <w:sz w:val="28"/>
                <w:szCs w:val="28"/>
              </w:rPr>
            </w:pPr>
          </w:p>
        </w:tc>
        <w:tc>
          <w:tcPr>
            <w:tcW w:w="9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792AC14A" w14:textId="77777777" w:rsidR="00674F3E" w:rsidRDefault="00674F3E">
            <w:pPr>
              <w:adjustRightInd w:val="0"/>
              <w:snapToGrid w:val="0"/>
              <w:rPr>
                <w:rFonts w:ascii="仿宋_GB2312" w:eastAsia="仿宋_GB2312" w:hAnsi="仿宋_GB2312" w:cs="仿宋_GB2312"/>
                <w:sz w:val="28"/>
                <w:szCs w:val="28"/>
              </w:rPr>
            </w:pP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bottom"/>
          </w:tcPr>
          <w:p w14:paraId="784624B9" w14:textId="77777777" w:rsidR="00674F3E" w:rsidRDefault="00C45190">
            <w:pPr>
              <w:adjustRightInd w:val="0"/>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p>
        </w:tc>
        <w:tc>
          <w:tcPr>
            <w:tcW w:w="1620" w:type="dxa"/>
            <w:tcBorders>
              <w:top w:val="nil"/>
              <w:left w:val="nil"/>
              <w:bottom w:val="single" w:sz="4" w:space="0" w:color="auto"/>
              <w:right w:val="single" w:sz="8" w:space="0" w:color="auto"/>
            </w:tcBorders>
            <w:tcMar>
              <w:top w:w="15" w:type="dxa"/>
              <w:left w:w="15" w:type="dxa"/>
              <w:bottom w:w="0" w:type="dxa"/>
              <w:right w:w="15" w:type="dxa"/>
            </w:tcMar>
            <w:vAlign w:val="bottom"/>
          </w:tcPr>
          <w:p w14:paraId="35FBBC54" w14:textId="77777777" w:rsidR="00674F3E" w:rsidRDefault="00C45190">
            <w:pPr>
              <w:adjustRightInd w:val="0"/>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p>
        </w:tc>
      </w:tr>
      <w:tr w:rsidR="00674F3E" w14:paraId="43976523" w14:textId="77777777">
        <w:trPr>
          <w:trHeight w:val="855"/>
        </w:trPr>
        <w:tc>
          <w:tcPr>
            <w:tcW w:w="1815" w:type="dxa"/>
            <w:tcBorders>
              <w:top w:val="single" w:sz="8" w:space="0" w:color="auto"/>
              <w:left w:val="single" w:sz="8" w:space="0" w:color="auto"/>
              <w:bottom w:val="single" w:sz="4" w:space="0" w:color="auto"/>
              <w:right w:val="single" w:sz="4" w:space="0" w:color="auto"/>
            </w:tcBorders>
            <w:tcMar>
              <w:top w:w="15" w:type="dxa"/>
              <w:left w:w="15" w:type="dxa"/>
              <w:bottom w:w="0" w:type="dxa"/>
              <w:right w:w="15" w:type="dxa"/>
            </w:tcMar>
            <w:vAlign w:val="bottom"/>
          </w:tcPr>
          <w:p w14:paraId="36D2EA1E" w14:textId="77777777" w:rsidR="00674F3E" w:rsidRDefault="00C45190">
            <w:pPr>
              <w:adjustRightInd w:val="0"/>
              <w:snapToGrid w:val="0"/>
              <w:rPr>
                <w:rFonts w:ascii="仿宋_GB2312" w:eastAsia="仿宋_GB2312" w:hAnsi="仿宋_GB2312" w:cs="仿宋_GB2312"/>
                <w:b/>
                <w:sz w:val="28"/>
                <w:szCs w:val="28"/>
              </w:rPr>
            </w:pPr>
            <w:r>
              <w:rPr>
                <w:rFonts w:ascii="仿宋_GB2312" w:eastAsia="仿宋_GB2312" w:hAnsi="仿宋_GB2312" w:cs="仿宋_GB2312" w:hint="eastAsia"/>
                <w:b/>
                <w:sz w:val="28"/>
                <w:szCs w:val="28"/>
              </w:rPr>
              <w:t>其它关联资金往来</w:t>
            </w:r>
          </w:p>
        </w:tc>
        <w:tc>
          <w:tcPr>
            <w:tcW w:w="925" w:type="dxa"/>
            <w:tcBorders>
              <w:top w:val="single" w:sz="8" w:space="0" w:color="auto"/>
              <w:left w:val="nil"/>
              <w:bottom w:val="single" w:sz="4" w:space="0" w:color="auto"/>
              <w:right w:val="single" w:sz="4" w:space="0" w:color="auto"/>
            </w:tcBorders>
            <w:tcMar>
              <w:top w:w="15" w:type="dxa"/>
              <w:left w:w="15" w:type="dxa"/>
              <w:bottom w:w="0" w:type="dxa"/>
              <w:right w:w="15" w:type="dxa"/>
            </w:tcMar>
            <w:vAlign w:val="bottom"/>
          </w:tcPr>
          <w:p w14:paraId="546C424F" w14:textId="77777777" w:rsidR="00674F3E" w:rsidRDefault="00C45190">
            <w:pPr>
              <w:adjustRightInd w:val="0"/>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资金往来方名</w:t>
            </w:r>
            <w:r>
              <w:rPr>
                <w:rFonts w:ascii="仿宋_GB2312" w:eastAsia="仿宋_GB2312" w:hAnsi="仿宋_GB2312" w:cs="仿宋_GB2312" w:hint="eastAsia"/>
                <w:sz w:val="28"/>
                <w:szCs w:val="28"/>
              </w:rPr>
              <w:lastRenderedPageBreak/>
              <w:t>称</w:t>
            </w:r>
          </w:p>
        </w:tc>
        <w:tc>
          <w:tcPr>
            <w:tcW w:w="1235" w:type="dxa"/>
            <w:tcBorders>
              <w:top w:val="single" w:sz="8" w:space="0" w:color="auto"/>
              <w:left w:val="nil"/>
              <w:bottom w:val="single" w:sz="4" w:space="0" w:color="auto"/>
              <w:right w:val="single" w:sz="4" w:space="0" w:color="auto"/>
            </w:tcBorders>
            <w:tcMar>
              <w:top w:w="15" w:type="dxa"/>
              <w:left w:w="15" w:type="dxa"/>
              <w:bottom w:w="0" w:type="dxa"/>
              <w:right w:w="15" w:type="dxa"/>
            </w:tcMar>
            <w:vAlign w:val="bottom"/>
          </w:tcPr>
          <w:p w14:paraId="5838C07E" w14:textId="77777777" w:rsidR="00674F3E" w:rsidRDefault="00C45190">
            <w:pPr>
              <w:adjustRightInd w:val="0"/>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往来方与上市公司</w:t>
            </w:r>
            <w:r>
              <w:rPr>
                <w:rFonts w:ascii="仿宋_GB2312" w:eastAsia="仿宋_GB2312" w:hAnsi="仿宋_GB2312" w:cs="仿宋_GB2312" w:hint="eastAsia"/>
                <w:sz w:val="28"/>
                <w:szCs w:val="28"/>
              </w:rPr>
              <w:lastRenderedPageBreak/>
              <w:t>的关联关系</w:t>
            </w:r>
          </w:p>
        </w:tc>
        <w:tc>
          <w:tcPr>
            <w:tcW w:w="1080" w:type="dxa"/>
            <w:tcBorders>
              <w:top w:val="single" w:sz="8" w:space="0" w:color="auto"/>
              <w:left w:val="nil"/>
              <w:bottom w:val="single" w:sz="4" w:space="0" w:color="auto"/>
              <w:right w:val="single" w:sz="4" w:space="0" w:color="auto"/>
            </w:tcBorders>
            <w:vAlign w:val="bottom"/>
          </w:tcPr>
          <w:p w14:paraId="143D7BEA" w14:textId="77777777" w:rsidR="00674F3E" w:rsidRDefault="00C45190">
            <w:pPr>
              <w:adjustRightInd w:val="0"/>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上市公司核算</w:t>
            </w:r>
            <w:r>
              <w:rPr>
                <w:rFonts w:ascii="仿宋_GB2312" w:eastAsia="仿宋_GB2312" w:hAnsi="仿宋_GB2312" w:cs="仿宋_GB2312" w:hint="eastAsia"/>
                <w:sz w:val="28"/>
                <w:szCs w:val="28"/>
              </w:rPr>
              <w:lastRenderedPageBreak/>
              <w:t>的会计科目</w:t>
            </w:r>
          </w:p>
        </w:tc>
        <w:tc>
          <w:tcPr>
            <w:tcW w:w="1718" w:type="dxa"/>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15C78731" w14:textId="77777777" w:rsidR="00674F3E" w:rsidRDefault="00C45190">
            <w:pPr>
              <w:adjustRightInd w:val="0"/>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20XX年期初往来资金余额</w:t>
            </w:r>
          </w:p>
        </w:tc>
        <w:tc>
          <w:tcPr>
            <w:tcW w:w="1460" w:type="dxa"/>
            <w:tcBorders>
              <w:top w:val="single" w:sz="8" w:space="0" w:color="auto"/>
              <w:left w:val="nil"/>
              <w:bottom w:val="single" w:sz="4" w:space="0" w:color="auto"/>
              <w:right w:val="single" w:sz="4" w:space="0" w:color="auto"/>
            </w:tcBorders>
            <w:tcMar>
              <w:top w:w="15" w:type="dxa"/>
              <w:left w:w="15" w:type="dxa"/>
              <w:bottom w:w="0" w:type="dxa"/>
              <w:right w:w="15" w:type="dxa"/>
            </w:tcMar>
            <w:vAlign w:val="bottom"/>
          </w:tcPr>
          <w:p w14:paraId="229A2BB5" w14:textId="77777777" w:rsidR="00674F3E" w:rsidRDefault="00C45190">
            <w:pPr>
              <w:adjustRightInd w:val="0"/>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20XX年度往来累计发</w:t>
            </w:r>
            <w:r>
              <w:rPr>
                <w:rFonts w:ascii="仿宋_GB2312" w:eastAsia="仿宋_GB2312" w:hAnsi="仿宋_GB2312" w:cs="仿宋_GB2312" w:hint="eastAsia"/>
                <w:sz w:val="28"/>
                <w:szCs w:val="28"/>
              </w:rPr>
              <w:lastRenderedPageBreak/>
              <w:t>生金额（不含利息）</w:t>
            </w:r>
          </w:p>
        </w:tc>
        <w:tc>
          <w:tcPr>
            <w:tcW w:w="1260" w:type="dxa"/>
            <w:tcBorders>
              <w:top w:val="single" w:sz="8" w:space="0" w:color="auto"/>
              <w:left w:val="nil"/>
              <w:bottom w:val="single" w:sz="4" w:space="0" w:color="auto"/>
              <w:right w:val="single" w:sz="4" w:space="0" w:color="auto"/>
            </w:tcBorders>
            <w:vAlign w:val="bottom"/>
          </w:tcPr>
          <w:p w14:paraId="0F8B8E7B" w14:textId="77777777" w:rsidR="00674F3E" w:rsidRDefault="00C45190">
            <w:pPr>
              <w:adjustRightInd w:val="0"/>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20XX年度往来资金</w:t>
            </w:r>
            <w:r>
              <w:rPr>
                <w:rFonts w:ascii="仿宋_GB2312" w:eastAsia="仿宋_GB2312" w:hAnsi="仿宋_GB2312" w:cs="仿宋_GB2312" w:hint="eastAsia"/>
                <w:sz w:val="28"/>
                <w:szCs w:val="28"/>
              </w:rPr>
              <w:lastRenderedPageBreak/>
              <w:t>的利息(如有)</w:t>
            </w:r>
          </w:p>
        </w:tc>
        <w:tc>
          <w:tcPr>
            <w:tcW w:w="1260" w:type="dxa"/>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77E5C259" w14:textId="77777777" w:rsidR="00674F3E" w:rsidRDefault="00C45190">
            <w:pPr>
              <w:adjustRightInd w:val="0"/>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20XX年度偿还累计</w:t>
            </w:r>
            <w:r>
              <w:rPr>
                <w:rFonts w:ascii="仿宋_GB2312" w:eastAsia="仿宋_GB2312" w:hAnsi="仿宋_GB2312" w:cs="仿宋_GB2312" w:hint="eastAsia"/>
                <w:sz w:val="28"/>
                <w:szCs w:val="28"/>
              </w:rPr>
              <w:lastRenderedPageBreak/>
              <w:t>发生金额</w:t>
            </w:r>
          </w:p>
        </w:tc>
        <w:tc>
          <w:tcPr>
            <w:tcW w:w="920" w:type="dxa"/>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445DBCFA" w14:textId="77777777" w:rsidR="00674F3E" w:rsidRDefault="00C45190">
            <w:pPr>
              <w:adjustRightInd w:val="0"/>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20XX年期末往</w:t>
            </w:r>
            <w:r>
              <w:rPr>
                <w:rFonts w:ascii="仿宋_GB2312" w:eastAsia="仿宋_GB2312" w:hAnsi="仿宋_GB2312" w:cs="仿宋_GB2312" w:hint="eastAsia"/>
                <w:sz w:val="28"/>
                <w:szCs w:val="28"/>
              </w:rPr>
              <w:lastRenderedPageBreak/>
              <w:t>来资金余额</w:t>
            </w:r>
          </w:p>
        </w:tc>
        <w:tc>
          <w:tcPr>
            <w:tcW w:w="720" w:type="dxa"/>
            <w:tcBorders>
              <w:top w:val="single" w:sz="8" w:space="0" w:color="auto"/>
              <w:left w:val="nil"/>
              <w:bottom w:val="single" w:sz="4" w:space="0" w:color="auto"/>
              <w:right w:val="single" w:sz="4" w:space="0" w:color="auto"/>
            </w:tcBorders>
            <w:tcMar>
              <w:top w:w="15" w:type="dxa"/>
              <w:left w:w="15" w:type="dxa"/>
              <w:bottom w:w="0" w:type="dxa"/>
              <w:right w:w="15" w:type="dxa"/>
            </w:tcMar>
            <w:vAlign w:val="bottom"/>
          </w:tcPr>
          <w:p w14:paraId="5B27AB58" w14:textId="77777777" w:rsidR="00674F3E" w:rsidRDefault="00C45190">
            <w:pPr>
              <w:adjustRightInd w:val="0"/>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往来形成</w:t>
            </w:r>
            <w:r>
              <w:rPr>
                <w:rFonts w:ascii="仿宋_GB2312" w:eastAsia="仿宋_GB2312" w:hAnsi="仿宋_GB2312" w:cs="仿宋_GB2312" w:hint="eastAsia"/>
                <w:sz w:val="28"/>
                <w:szCs w:val="28"/>
              </w:rPr>
              <w:lastRenderedPageBreak/>
              <w:t>原因</w:t>
            </w:r>
          </w:p>
        </w:tc>
        <w:tc>
          <w:tcPr>
            <w:tcW w:w="1620" w:type="dxa"/>
            <w:tcBorders>
              <w:top w:val="single" w:sz="8" w:space="0" w:color="auto"/>
              <w:left w:val="nil"/>
              <w:bottom w:val="single" w:sz="4" w:space="0" w:color="auto"/>
              <w:right w:val="single" w:sz="8" w:space="0" w:color="auto"/>
            </w:tcBorders>
            <w:tcMar>
              <w:top w:w="15" w:type="dxa"/>
              <w:left w:w="15" w:type="dxa"/>
              <w:bottom w:w="0" w:type="dxa"/>
              <w:right w:w="15" w:type="dxa"/>
            </w:tcMar>
            <w:vAlign w:val="bottom"/>
          </w:tcPr>
          <w:p w14:paraId="1BE537B9" w14:textId="77777777" w:rsidR="00674F3E" w:rsidRDefault="00C45190">
            <w:pPr>
              <w:adjustRightInd w:val="0"/>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往来性质</w:t>
            </w:r>
          </w:p>
        </w:tc>
      </w:tr>
      <w:tr w:rsidR="00674F3E" w14:paraId="6C05EBA4" w14:textId="77777777">
        <w:trPr>
          <w:cantSplit/>
          <w:trHeight w:val="285"/>
        </w:trPr>
        <w:tc>
          <w:tcPr>
            <w:tcW w:w="1815" w:type="dxa"/>
            <w:vMerge w:val="restart"/>
            <w:tcBorders>
              <w:top w:val="single" w:sz="4" w:space="0" w:color="auto"/>
              <w:left w:val="single" w:sz="8" w:space="0" w:color="auto"/>
              <w:bottom w:val="single" w:sz="4" w:space="0" w:color="auto"/>
              <w:right w:val="single" w:sz="4" w:space="0" w:color="auto"/>
            </w:tcBorders>
            <w:tcMar>
              <w:top w:w="15" w:type="dxa"/>
              <w:left w:w="15" w:type="dxa"/>
              <w:bottom w:w="0" w:type="dxa"/>
              <w:right w:w="15" w:type="dxa"/>
            </w:tcMar>
            <w:vAlign w:val="center"/>
          </w:tcPr>
          <w:p w14:paraId="220FBAA5" w14:textId="77777777" w:rsidR="00674F3E" w:rsidRDefault="00C45190">
            <w:pPr>
              <w:adjustRightInd w:val="0"/>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大股东及其附属企业</w:t>
            </w:r>
          </w:p>
        </w:tc>
        <w:tc>
          <w:tcPr>
            <w:tcW w:w="92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07817FE" w14:textId="77777777" w:rsidR="00674F3E" w:rsidRDefault="00674F3E">
            <w:pPr>
              <w:adjustRightInd w:val="0"/>
              <w:snapToGrid w:val="0"/>
              <w:rPr>
                <w:rFonts w:ascii="仿宋_GB2312" w:eastAsia="仿宋_GB2312" w:hAnsi="仿宋_GB2312" w:cs="仿宋_GB2312"/>
                <w:sz w:val="28"/>
                <w:szCs w:val="28"/>
              </w:rPr>
            </w:pPr>
          </w:p>
        </w:tc>
        <w:tc>
          <w:tcPr>
            <w:tcW w:w="123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A3D5320" w14:textId="77777777" w:rsidR="00674F3E" w:rsidRDefault="00674F3E">
            <w:pPr>
              <w:adjustRightInd w:val="0"/>
              <w:snapToGrid w:val="0"/>
              <w:rPr>
                <w:rFonts w:ascii="仿宋_GB2312" w:eastAsia="仿宋_GB2312" w:hAnsi="仿宋_GB2312" w:cs="仿宋_GB2312"/>
                <w:sz w:val="28"/>
                <w:szCs w:val="28"/>
              </w:rPr>
            </w:pPr>
          </w:p>
        </w:tc>
        <w:tc>
          <w:tcPr>
            <w:tcW w:w="1080" w:type="dxa"/>
            <w:tcBorders>
              <w:top w:val="single" w:sz="4" w:space="0" w:color="auto"/>
              <w:left w:val="nil"/>
              <w:bottom w:val="single" w:sz="4" w:space="0" w:color="auto"/>
              <w:right w:val="single" w:sz="4" w:space="0" w:color="auto"/>
            </w:tcBorders>
            <w:vAlign w:val="bottom"/>
          </w:tcPr>
          <w:p w14:paraId="0DAAC307" w14:textId="77777777" w:rsidR="00674F3E" w:rsidRDefault="00674F3E">
            <w:pPr>
              <w:adjustRightInd w:val="0"/>
              <w:snapToGrid w:val="0"/>
              <w:rPr>
                <w:rFonts w:ascii="仿宋_GB2312" w:eastAsia="仿宋_GB2312" w:hAnsi="仿宋_GB2312" w:cs="仿宋_GB2312"/>
                <w:sz w:val="28"/>
                <w:szCs w:val="28"/>
              </w:rPr>
            </w:pPr>
          </w:p>
        </w:tc>
        <w:tc>
          <w:tcPr>
            <w:tcW w:w="171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B089332" w14:textId="77777777" w:rsidR="00674F3E" w:rsidRDefault="00674F3E">
            <w:pPr>
              <w:adjustRightInd w:val="0"/>
              <w:snapToGrid w:val="0"/>
              <w:rPr>
                <w:rFonts w:ascii="仿宋_GB2312" w:eastAsia="仿宋_GB2312" w:hAnsi="仿宋_GB2312" w:cs="仿宋_GB2312"/>
                <w:sz w:val="28"/>
                <w:szCs w:val="28"/>
              </w:rPr>
            </w:pPr>
          </w:p>
        </w:tc>
        <w:tc>
          <w:tcPr>
            <w:tcW w:w="14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303D316" w14:textId="77777777" w:rsidR="00674F3E" w:rsidRDefault="00674F3E">
            <w:pPr>
              <w:adjustRightInd w:val="0"/>
              <w:snapToGrid w:val="0"/>
              <w:rPr>
                <w:rFonts w:ascii="仿宋_GB2312" w:eastAsia="仿宋_GB2312" w:hAnsi="仿宋_GB2312" w:cs="仿宋_GB2312"/>
                <w:sz w:val="28"/>
                <w:szCs w:val="28"/>
              </w:rPr>
            </w:pPr>
          </w:p>
        </w:tc>
        <w:tc>
          <w:tcPr>
            <w:tcW w:w="1260" w:type="dxa"/>
            <w:tcBorders>
              <w:top w:val="single" w:sz="4" w:space="0" w:color="auto"/>
              <w:left w:val="nil"/>
              <w:bottom w:val="single" w:sz="4" w:space="0" w:color="auto"/>
              <w:right w:val="single" w:sz="4" w:space="0" w:color="auto"/>
            </w:tcBorders>
          </w:tcPr>
          <w:p w14:paraId="04C5B874" w14:textId="77777777" w:rsidR="00674F3E" w:rsidRDefault="00674F3E">
            <w:pPr>
              <w:adjustRightInd w:val="0"/>
              <w:snapToGrid w:val="0"/>
              <w:rPr>
                <w:rFonts w:ascii="仿宋_GB2312" w:eastAsia="仿宋_GB2312" w:hAnsi="仿宋_GB2312" w:cs="仿宋_GB2312"/>
                <w:sz w:val="28"/>
                <w:szCs w:val="28"/>
              </w:rPr>
            </w:pP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041FC3B" w14:textId="77777777" w:rsidR="00674F3E" w:rsidRDefault="00674F3E">
            <w:pPr>
              <w:adjustRightInd w:val="0"/>
              <w:snapToGrid w:val="0"/>
              <w:rPr>
                <w:rFonts w:ascii="仿宋_GB2312" w:eastAsia="仿宋_GB2312" w:hAnsi="仿宋_GB2312" w:cs="仿宋_GB2312"/>
                <w:sz w:val="28"/>
                <w:szCs w:val="28"/>
              </w:rPr>
            </w:pPr>
          </w:p>
        </w:tc>
        <w:tc>
          <w:tcPr>
            <w:tcW w:w="92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E761ED9" w14:textId="77777777" w:rsidR="00674F3E" w:rsidRDefault="00674F3E">
            <w:pPr>
              <w:adjustRightInd w:val="0"/>
              <w:snapToGrid w:val="0"/>
              <w:rPr>
                <w:rFonts w:ascii="仿宋_GB2312" w:eastAsia="仿宋_GB2312" w:hAnsi="仿宋_GB2312" w:cs="仿宋_GB2312"/>
                <w:sz w:val="28"/>
                <w:szCs w:val="28"/>
              </w:rPr>
            </w:pP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48A6C9C" w14:textId="77777777" w:rsidR="00674F3E" w:rsidRDefault="00674F3E">
            <w:pPr>
              <w:adjustRightInd w:val="0"/>
              <w:snapToGrid w:val="0"/>
              <w:rPr>
                <w:rFonts w:ascii="仿宋_GB2312" w:eastAsia="仿宋_GB2312" w:hAnsi="仿宋_GB2312" w:cs="仿宋_GB2312"/>
                <w:sz w:val="28"/>
                <w:szCs w:val="28"/>
              </w:rPr>
            </w:pPr>
          </w:p>
        </w:tc>
        <w:tc>
          <w:tcPr>
            <w:tcW w:w="1620" w:type="dxa"/>
            <w:tcBorders>
              <w:top w:val="nil"/>
              <w:left w:val="nil"/>
              <w:bottom w:val="single" w:sz="4" w:space="0" w:color="auto"/>
              <w:right w:val="single" w:sz="8" w:space="0" w:color="auto"/>
            </w:tcBorders>
            <w:noWrap/>
            <w:tcMar>
              <w:top w:w="15" w:type="dxa"/>
              <w:left w:w="15" w:type="dxa"/>
              <w:bottom w:w="0" w:type="dxa"/>
              <w:right w:w="15" w:type="dxa"/>
            </w:tcMar>
            <w:vAlign w:val="bottom"/>
          </w:tcPr>
          <w:p w14:paraId="0D75673B" w14:textId="77777777" w:rsidR="00674F3E" w:rsidRDefault="00C45190">
            <w:pPr>
              <w:adjustRightInd w:val="0"/>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经营性往来</w:t>
            </w:r>
          </w:p>
        </w:tc>
      </w:tr>
      <w:tr w:rsidR="00674F3E" w14:paraId="4009A610" w14:textId="77777777">
        <w:trPr>
          <w:cantSplit/>
          <w:trHeight w:val="285"/>
        </w:trPr>
        <w:tc>
          <w:tcPr>
            <w:tcW w:w="1815" w:type="dxa"/>
            <w:vMerge/>
            <w:tcBorders>
              <w:left w:val="single" w:sz="8" w:space="0" w:color="auto"/>
              <w:bottom w:val="single" w:sz="4" w:space="0" w:color="auto"/>
              <w:right w:val="single" w:sz="4" w:space="0" w:color="auto"/>
            </w:tcBorders>
            <w:tcMar>
              <w:top w:w="15" w:type="dxa"/>
              <w:left w:w="15" w:type="dxa"/>
              <w:bottom w:w="0" w:type="dxa"/>
              <w:right w:w="15" w:type="dxa"/>
            </w:tcMar>
            <w:vAlign w:val="center"/>
          </w:tcPr>
          <w:p w14:paraId="3A2DEF09" w14:textId="77777777" w:rsidR="00674F3E" w:rsidRDefault="00674F3E">
            <w:pPr>
              <w:adjustRightInd w:val="0"/>
              <w:snapToGrid w:val="0"/>
              <w:rPr>
                <w:rFonts w:ascii="仿宋_GB2312" w:eastAsia="仿宋_GB2312" w:hAnsi="仿宋_GB2312" w:cs="仿宋_GB2312"/>
                <w:sz w:val="28"/>
                <w:szCs w:val="28"/>
              </w:rPr>
            </w:pPr>
          </w:p>
        </w:tc>
        <w:tc>
          <w:tcPr>
            <w:tcW w:w="92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F37FADF" w14:textId="77777777" w:rsidR="00674F3E" w:rsidRDefault="00674F3E">
            <w:pPr>
              <w:adjustRightInd w:val="0"/>
              <w:snapToGrid w:val="0"/>
              <w:rPr>
                <w:rFonts w:ascii="仿宋_GB2312" w:eastAsia="仿宋_GB2312" w:hAnsi="仿宋_GB2312" w:cs="仿宋_GB2312"/>
                <w:sz w:val="28"/>
                <w:szCs w:val="28"/>
              </w:rPr>
            </w:pPr>
          </w:p>
        </w:tc>
        <w:tc>
          <w:tcPr>
            <w:tcW w:w="123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1A0053D" w14:textId="77777777" w:rsidR="00674F3E" w:rsidRDefault="00674F3E">
            <w:pPr>
              <w:adjustRightInd w:val="0"/>
              <w:snapToGrid w:val="0"/>
              <w:rPr>
                <w:rFonts w:ascii="仿宋_GB2312" w:eastAsia="仿宋_GB2312" w:hAnsi="仿宋_GB2312" w:cs="仿宋_GB2312"/>
                <w:sz w:val="28"/>
                <w:szCs w:val="28"/>
              </w:rPr>
            </w:pPr>
          </w:p>
        </w:tc>
        <w:tc>
          <w:tcPr>
            <w:tcW w:w="1080" w:type="dxa"/>
            <w:tcBorders>
              <w:top w:val="single" w:sz="4" w:space="0" w:color="auto"/>
              <w:left w:val="nil"/>
              <w:bottom w:val="single" w:sz="4" w:space="0" w:color="auto"/>
              <w:right w:val="single" w:sz="4" w:space="0" w:color="auto"/>
            </w:tcBorders>
            <w:vAlign w:val="bottom"/>
          </w:tcPr>
          <w:p w14:paraId="22F5F943" w14:textId="77777777" w:rsidR="00674F3E" w:rsidRDefault="00674F3E">
            <w:pPr>
              <w:adjustRightInd w:val="0"/>
              <w:snapToGrid w:val="0"/>
              <w:rPr>
                <w:rFonts w:ascii="仿宋_GB2312" w:eastAsia="仿宋_GB2312" w:hAnsi="仿宋_GB2312" w:cs="仿宋_GB2312"/>
                <w:sz w:val="28"/>
                <w:szCs w:val="28"/>
              </w:rPr>
            </w:pPr>
          </w:p>
        </w:tc>
        <w:tc>
          <w:tcPr>
            <w:tcW w:w="171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1683BCE" w14:textId="77777777" w:rsidR="00674F3E" w:rsidRDefault="00674F3E">
            <w:pPr>
              <w:adjustRightInd w:val="0"/>
              <w:snapToGrid w:val="0"/>
              <w:rPr>
                <w:rFonts w:ascii="仿宋_GB2312" w:eastAsia="仿宋_GB2312" w:hAnsi="仿宋_GB2312" w:cs="仿宋_GB2312"/>
                <w:sz w:val="28"/>
                <w:szCs w:val="28"/>
              </w:rPr>
            </w:pPr>
          </w:p>
        </w:tc>
        <w:tc>
          <w:tcPr>
            <w:tcW w:w="14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6CB3E15" w14:textId="77777777" w:rsidR="00674F3E" w:rsidRDefault="00674F3E">
            <w:pPr>
              <w:adjustRightInd w:val="0"/>
              <w:snapToGrid w:val="0"/>
              <w:rPr>
                <w:rFonts w:ascii="仿宋_GB2312" w:eastAsia="仿宋_GB2312" w:hAnsi="仿宋_GB2312" w:cs="仿宋_GB2312"/>
                <w:sz w:val="28"/>
                <w:szCs w:val="28"/>
              </w:rPr>
            </w:pPr>
          </w:p>
        </w:tc>
        <w:tc>
          <w:tcPr>
            <w:tcW w:w="1260" w:type="dxa"/>
            <w:tcBorders>
              <w:top w:val="single" w:sz="4" w:space="0" w:color="auto"/>
              <w:left w:val="nil"/>
              <w:bottom w:val="single" w:sz="4" w:space="0" w:color="auto"/>
              <w:right w:val="single" w:sz="4" w:space="0" w:color="auto"/>
            </w:tcBorders>
          </w:tcPr>
          <w:p w14:paraId="5E1962D9" w14:textId="77777777" w:rsidR="00674F3E" w:rsidRDefault="00674F3E">
            <w:pPr>
              <w:adjustRightInd w:val="0"/>
              <w:snapToGrid w:val="0"/>
              <w:rPr>
                <w:rFonts w:ascii="仿宋_GB2312" w:eastAsia="仿宋_GB2312" w:hAnsi="仿宋_GB2312" w:cs="仿宋_GB2312"/>
                <w:sz w:val="28"/>
                <w:szCs w:val="28"/>
              </w:rPr>
            </w:pP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EF21A04" w14:textId="77777777" w:rsidR="00674F3E" w:rsidRDefault="00674F3E">
            <w:pPr>
              <w:adjustRightInd w:val="0"/>
              <w:snapToGrid w:val="0"/>
              <w:rPr>
                <w:rFonts w:ascii="仿宋_GB2312" w:eastAsia="仿宋_GB2312" w:hAnsi="仿宋_GB2312" w:cs="仿宋_GB2312"/>
                <w:sz w:val="28"/>
                <w:szCs w:val="28"/>
              </w:rPr>
            </w:pPr>
          </w:p>
        </w:tc>
        <w:tc>
          <w:tcPr>
            <w:tcW w:w="92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8DCD69A" w14:textId="77777777" w:rsidR="00674F3E" w:rsidRDefault="00674F3E">
            <w:pPr>
              <w:adjustRightInd w:val="0"/>
              <w:snapToGrid w:val="0"/>
              <w:rPr>
                <w:rFonts w:ascii="仿宋_GB2312" w:eastAsia="仿宋_GB2312" w:hAnsi="仿宋_GB2312" w:cs="仿宋_GB2312"/>
                <w:sz w:val="28"/>
                <w:szCs w:val="28"/>
              </w:rPr>
            </w:pP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B21D944" w14:textId="77777777" w:rsidR="00674F3E" w:rsidRDefault="00674F3E">
            <w:pPr>
              <w:adjustRightInd w:val="0"/>
              <w:snapToGrid w:val="0"/>
              <w:rPr>
                <w:rFonts w:ascii="仿宋_GB2312" w:eastAsia="仿宋_GB2312" w:hAnsi="仿宋_GB2312" w:cs="仿宋_GB2312"/>
                <w:sz w:val="28"/>
                <w:szCs w:val="28"/>
              </w:rPr>
            </w:pPr>
          </w:p>
        </w:tc>
        <w:tc>
          <w:tcPr>
            <w:tcW w:w="1620" w:type="dxa"/>
            <w:tcBorders>
              <w:top w:val="nil"/>
              <w:left w:val="nil"/>
              <w:bottom w:val="single" w:sz="4" w:space="0" w:color="auto"/>
              <w:right w:val="single" w:sz="8" w:space="0" w:color="auto"/>
            </w:tcBorders>
            <w:noWrap/>
            <w:tcMar>
              <w:top w:w="15" w:type="dxa"/>
              <w:left w:w="15" w:type="dxa"/>
              <w:bottom w:w="0" w:type="dxa"/>
              <w:right w:w="15" w:type="dxa"/>
            </w:tcMar>
            <w:vAlign w:val="bottom"/>
          </w:tcPr>
          <w:p w14:paraId="6C98E157" w14:textId="77777777" w:rsidR="00674F3E" w:rsidRDefault="00C45190">
            <w:pPr>
              <w:adjustRightInd w:val="0"/>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经营性往来</w:t>
            </w:r>
          </w:p>
        </w:tc>
      </w:tr>
      <w:tr w:rsidR="00674F3E" w14:paraId="5379DFBF" w14:textId="77777777">
        <w:trPr>
          <w:cantSplit/>
          <w:trHeight w:val="285"/>
        </w:trPr>
        <w:tc>
          <w:tcPr>
            <w:tcW w:w="1815" w:type="dxa"/>
            <w:vMerge w:val="restart"/>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4D349D89" w14:textId="77777777" w:rsidR="00674F3E" w:rsidRDefault="00C45190">
            <w:pPr>
              <w:adjustRightInd w:val="0"/>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上市公司的子公司及其附属企业</w:t>
            </w:r>
          </w:p>
        </w:tc>
        <w:tc>
          <w:tcPr>
            <w:tcW w:w="92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68C75EB" w14:textId="77777777" w:rsidR="00674F3E" w:rsidRDefault="00674F3E">
            <w:pPr>
              <w:adjustRightInd w:val="0"/>
              <w:snapToGrid w:val="0"/>
              <w:rPr>
                <w:rFonts w:ascii="仿宋_GB2312" w:eastAsia="仿宋_GB2312" w:hAnsi="仿宋_GB2312" w:cs="仿宋_GB2312"/>
                <w:sz w:val="28"/>
                <w:szCs w:val="28"/>
              </w:rPr>
            </w:pPr>
          </w:p>
        </w:tc>
        <w:tc>
          <w:tcPr>
            <w:tcW w:w="123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594C0D2" w14:textId="77777777" w:rsidR="00674F3E" w:rsidRDefault="00674F3E">
            <w:pPr>
              <w:adjustRightInd w:val="0"/>
              <w:snapToGrid w:val="0"/>
              <w:rPr>
                <w:rFonts w:ascii="仿宋_GB2312" w:eastAsia="仿宋_GB2312" w:hAnsi="仿宋_GB2312" w:cs="仿宋_GB2312"/>
                <w:sz w:val="28"/>
                <w:szCs w:val="28"/>
              </w:rPr>
            </w:pPr>
          </w:p>
        </w:tc>
        <w:tc>
          <w:tcPr>
            <w:tcW w:w="1080" w:type="dxa"/>
            <w:tcBorders>
              <w:top w:val="single" w:sz="4" w:space="0" w:color="auto"/>
              <w:left w:val="nil"/>
              <w:bottom w:val="single" w:sz="4" w:space="0" w:color="auto"/>
              <w:right w:val="single" w:sz="4" w:space="0" w:color="auto"/>
            </w:tcBorders>
            <w:vAlign w:val="bottom"/>
          </w:tcPr>
          <w:p w14:paraId="36B5E2ED" w14:textId="77777777" w:rsidR="00674F3E" w:rsidRDefault="00674F3E">
            <w:pPr>
              <w:adjustRightInd w:val="0"/>
              <w:snapToGrid w:val="0"/>
              <w:rPr>
                <w:rFonts w:ascii="仿宋_GB2312" w:eastAsia="仿宋_GB2312" w:hAnsi="仿宋_GB2312" w:cs="仿宋_GB2312"/>
                <w:sz w:val="28"/>
                <w:szCs w:val="28"/>
              </w:rPr>
            </w:pPr>
          </w:p>
        </w:tc>
        <w:tc>
          <w:tcPr>
            <w:tcW w:w="171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ACF5F22" w14:textId="77777777" w:rsidR="00674F3E" w:rsidRDefault="00674F3E">
            <w:pPr>
              <w:adjustRightInd w:val="0"/>
              <w:snapToGrid w:val="0"/>
              <w:rPr>
                <w:rFonts w:ascii="仿宋_GB2312" w:eastAsia="仿宋_GB2312" w:hAnsi="仿宋_GB2312" w:cs="仿宋_GB2312"/>
                <w:sz w:val="28"/>
                <w:szCs w:val="28"/>
              </w:rPr>
            </w:pPr>
          </w:p>
        </w:tc>
        <w:tc>
          <w:tcPr>
            <w:tcW w:w="14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0818EAC" w14:textId="77777777" w:rsidR="00674F3E" w:rsidRDefault="00674F3E">
            <w:pPr>
              <w:adjustRightInd w:val="0"/>
              <w:snapToGrid w:val="0"/>
              <w:rPr>
                <w:rFonts w:ascii="仿宋_GB2312" w:eastAsia="仿宋_GB2312" w:hAnsi="仿宋_GB2312" w:cs="仿宋_GB2312"/>
                <w:sz w:val="28"/>
                <w:szCs w:val="28"/>
              </w:rPr>
            </w:pPr>
          </w:p>
        </w:tc>
        <w:tc>
          <w:tcPr>
            <w:tcW w:w="1260" w:type="dxa"/>
            <w:tcBorders>
              <w:top w:val="single" w:sz="4" w:space="0" w:color="auto"/>
              <w:left w:val="nil"/>
              <w:bottom w:val="single" w:sz="4" w:space="0" w:color="auto"/>
              <w:right w:val="single" w:sz="4" w:space="0" w:color="auto"/>
            </w:tcBorders>
          </w:tcPr>
          <w:p w14:paraId="054AFE95" w14:textId="77777777" w:rsidR="00674F3E" w:rsidRDefault="00674F3E">
            <w:pPr>
              <w:adjustRightInd w:val="0"/>
              <w:snapToGrid w:val="0"/>
              <w:rPr>
                <w:rFonts w:ascii="仿宋_GB2312" w:eastAsia="仿宋_GB2312" w:hAnsi="仿宋_GB2312" w:cs="仿宋_GB2312"/>
                <w:sz w:val="28"/>
                <w:szCs w:val="28"/>
              </w:rPr>
            </w:pP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915400C" w14:textId="77777777" w:rsidR="00674F3E" w:rsidRDefault="00674F3E">
            <w:pPr>
              <w:adjustRightInd w:val="0"/>
              <w:snapToGrid w:val="0"/>
              <w:rPr>
                <w:rFonts w:ascii="仿宋_GB2312" w:eastAsia="仿宋_GB2312" w:hAnsi="仿宋_GB2312" w:cs="仿宋_GB2312"/>
                <w:sz w:val="28"/>
                <w:szCs w:val="28"/>
              </w:rPr>
            </w:pPr>
          </w:p>
        </w:tc>
        <w:tc>
          <w:tcPr>
            <w:tcW w:w="92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F46C7E3" w14:textId="77777777" w:rsidR="00674F3E" w:rsidRDefault="00674F3E">
            <w:pPr>
              <w:adjustRightInd w:val="0"/>
              <w:snapToGrid w:val="0"/>
              <w:rPr>
                <w:rFonts w:ascii="仿宋_GB2312" w:eastAsia="仿宋_GB2312" w:hAnsi="仿宋_GB2312" w:cs="仿宋_GB2312"/>
                <w:sz w:val="28"/>
                <w:szCs w:val="28"/>
              </w:rPr>
            </w:pP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96F1A81" w14:textId="77777777" w:rsidR="00674F3E" w:rsidRDefault="00674F3E">
            <w:pPr>
              <w:adjustRightInd w:val="0"/>
              <w:snapToGrid w:val="0"/>
              <w:rPr>
                <w:rFonts w:ascii="仿宋_GB2312" w:eastAsia="仿宋_GB2312" w:hAnsi="仿宋_GB2312" w:cs="仿宋_GB2312"/>
                <w:sz w:val="28"/>
                <w:szCs w:val="28"/>
              </w:rPr>
            </w:pPr>
          </w:p>
        </w:tc>
        <w:tc>
          <w:tcPr>
            <w:tcW w:w="1620" w:type="dxa"/>
            <w:tcBorders>
              <w:top w:val="nil"/>
              <w:left w:val="nil"/>
              <w:bottom w:val="single" w:sz="4" w:space="0" w:color="auto"/>
              <w:right w:val="single" w:sz="8" w:space="0" w:color="auto"/>
            </w:tcBorders>
            <w:noWrap/>
            <w:tcMar>
              <w:top w:w="15" w:type="dxa"/>
              <w:left w:w="15" w:type="dxa"/>
              <w:bottom w:w="0" w:type="dxa"/>
              <w:right w:w="15" w:type="dxa"/>
            </w:tcMar>
            <w:vAlign w:val="bottom"/>
          </w:tcPr>
          <w:p w14:paraId="4658B08D" w14:textId="77777777" w:rsidR="00674F3E" w:rsidRDefault="00C45190">
            <w:pPr>
              <w:adjustRightInd w:val="0"/>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非经营性往来</w:t>
            </w:r>
          </w:p>
        </w:tc>
      </w:tr>
      <w:tr w:rsidR="00674F3E" w14:paraId="2462E81D" w14:textId="77777777">
        <w:trPr>
          <w:cantSplit/>
          <w:trHeight w:val="285"/>
        </w:trPr>
        <w:tc>
          <w:tcPr>
            <w:tcW w:w="1815" w:type="dxa"/>
            <w:vMerge/>
            <w:tcBorders>
              <w:top w:val="nil"/>
              <w:left w:val="single" w:sz="8" w:space="0" w:color="auto"/>
              <w:bottom w:val="single" w:sz="4" w:space="0" w:color="auto"/>
              <w:right w:val="single" w:sz="4" w:space="0" w:color="auto"/>
            </w:tcBorders>
            <w:vAlign w:val="center"/>
          </w:tcPr>
          <w:p w14:paraId="05898A04" w14:textId="77777777" w:rsidR="00674F3E" w:rsidRDefault="00674F3E">
            <w:pPr>
              <w:adjustRightInd w:val="0"/>
              <w:snapToGrid w:val="0"/>
              <w:rPr>
                <w:rFonts w:ascii="仿宋_GB2312" w:eastAsia="仿宋_GB2312" w:hAnsi="仿宋_GB2312" w:cs="仿宋_GB2312"/>
                <w:sz w:val="28"/>
                <w:szCs w:val="28"/>
              </w:rPr>
            </w:pPr>
          </w:p>
        </w:tc>
        <w:tc>
          <w:tcPr>
            <w:tcW w:w="92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88076F3" w14:textId="77777777" w:rsidR="00674F3E" w:rsidRDefault="00674F3E">
            <w:pPr>
              <w:adjustRightInd w:val="0"/>
              <w:snapToGrid w:val="0"/>
              <w:rPr>
                <w:rFonts w:ascii="仿宋_GB2312" w:eastAsia="仿宋_GB2312" w:hAnsi="仿宋_GB2312" w:cs="仿宋_GB2312"/>
                <w:sz w:val="28"/>
                <w:szCs w:val="28"/>
              </w:rPr>
            </w:pPr>
          </w:p>
        </w:tc>
        <w:tc>
          <w:tcPr>
            <w:tcW w:w="123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360044C" w14:textId="77777777" w:rsidR="00674F3E" w:rsidRDefault="00674F3E">
            <w:pPr>
              <w:adjustRightInd w:val="0"/>
              <w:snapToGrid w:val="0"/>
              <w:rPr>
                <w:rFonts w:ascii="仿宋_GB2312" w:eastAsia="仿宋_GB2312" w:hAnsi="仿宋_GB2312" w:cs="仿宋_GB2312"/>
                <w:sz w:val="28"/>
                <w:szCs w:val="28"/>
              </w:rPr>
            </w:pPr>
          </w:p>
        </w:tc>
        <w:tc>
          <w:tcPr>
            <w:tcW w:w="1080" w:type="dxa"/>
            <w:tcBorders>
              <w:top w:val="single" w:sz="4" w:space="0" w:color="auto"/>
              <w:left w:val="nil"/>
              <w:bottom w:val="single" w:sz="4" w:space="0" w:color="auto"/>
              <w:right w:val="single" w:sz="4" w:space="0" w:color="auto"/>
            </w:tcBorders>
            <w:vAlign w:val="bottom"/>
          </w:tcPr>
          <w:p w14:paraId="55919E0A" w14:textId="77777777" w:rsidR="00674F3E" w:rsidRDefault="00674F3E">
            <w:pPr>
              <w:adjustRightInd w:val="0"/>
              <w:snapToGrid w:val="0"/>
              <w:rPr>
                <w:rFonts w:ascii="仿宋_GB2312" w:eastAsia="仿宋_GB2312" w:hAnsi="仿宋_GB2312" w:cs="仿宋_GB2312"/>
                <w:sz w:val="28"/>
                <w:szCs w:val="28"/>
              </w:rPr>
            </w:pPr>
          </w:p>
        </w:tc>
        <w:tc>
          <w:tcPr>
            <w:tcW w:w="171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E68DBF2" w14:textId="77777777" w:rsidR="00674F3E" w:rsidRDefault="00674F3E">
            <w:pPr>
              <w:adjustRightInd w:val="0"/>
              <w:snapToGrid w:val="0"/>
              <w:rPr>
                <w:rFonts w:ascii="仿宋_GB2312" w:eastAsia="仿宋_GB2312" w:hAnsi="仿宋_GB2312" w:cs="仿宋_GB2312"/>
                <w:sz w:val="28"/>
                <w:szCs w:val="28"/>
              </w:rPr>
            </w:pPr>
          </w:p>
        </w:tc>
        <w:tc>
          <w:tcPr>
            <w:tcW w:w="14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7CAA57D" w14:textId="77777777" w:rsidR="00674F3E" w:rsidRDefault="00674F3E">
            <w:pPr>
              <w:adjustRightInd w:val="0"/>
              <w:snapToGrid w:val="0"/>
              <w:rPr>
                <w:rFonts w:ascii="仿宋_GB2312" w:eastAsia="仿宋_GB2312" w:hAnsi="仿宋_GB2312" w:cs="仿宋_GB2312"/>
                <w:sz w:val="28"/>
                <w:szCs w:val="28"/>
              </w:rPr>
            </w:pPr>
          </w:p>
        </w:tc>
        <w:tc>
          <w:tcPr>
            <w:tcW w:w="1260" w:type="dxa"/>
            <w:tcBorders>
              <w:top w:val="single" w:sz="4" w:space="0" w:color="auto"/>
              <w:left w:val="nil"/>
              <w:bottom w:val="single" w:sz="4" w:space="0" w:color="auto"/>
              <w:right w:val="single" w:sz="4" w:space="0" w:color="auto"/>
            </w:tcBorders>
          </w:tcPr>
          <w:p w14:paraId="243B6655" w14:textId="77777777" w:rsidR="00674F3E" w:rsidRDefault="00674F3E">
            <w:pPr>
              <w:adjustRightInd w:val="0"/>
              <w:snapToGrid w:val="0"/>
              <w:rPr>
                <w:rFonts w:ascii="仿宋_GB2312" w:eastAsia="仿宋_GB2312" w:hAnsi="仿宋_GB2312" w:cs="仿宋_GB2312"/>
                <w:sz w:val="28"/>
                <w:szCs w:val="28"/>
              </w:rPr>
            </w:pP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5D18E04" w14:textId="77777777" w:rsidR="00674F3E" w:rsidRDefault="00674F3E">
            <w:pPr>
              <w:adjustRightInd w:val="0"/>
              <w:snapToGrid w:val="0"/>
              <w:rPr>
                <w:rFonts w:ascii="仿宋_GB2312" w:eastAsia="仿宋_GB2312" w:hAnsi="仿宋_GB2312" w:cs="仿宋_GB2312"/>
                <w:sz w:val="28"/>
                <w:szCs w:val="28"/>
              </w:rPr>
            </w:pPr>
          </w:p>
        </w:tc>
        <w:tc>
          <w:tcPr>
            <w:tcW w:w="92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341FFB4" w14:textId="77777777" w:rsidR="00674F3E" w:rsidRDefault="00674F3E">
            <w:pPr>
              <w:adjustRightInd w:val="0"/>
              <w:snapToGrid w:val="0"/>
              <w:rPr>
                <w:rFonts w:ascii="仿宋_GB2312" w:eastAsia="仿宋_GB2312" w:hAnsi="仿宋_GB2312" w:cs="仿宋_GB2312"/>
                <w:sz w:val="28"/>
                <w:szCs w:val="28"/>
              </w:rPr>
            </w:pP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5FB6479" w14:textId="77777777" w:rsidR="00674F3E" w:rsidRDefault="00674F3E">
            <w:pPr>
              <w:adjustRightInd w:val="0"/>
              <w:snapToGrid w:val="0"/>
              <w:rPr>
                <w:rFonts w:ascii="仿宋_GB2312" w:eastAsia="仿宋_GB2312" w:hAnsi="仿宋_GB2312" w:cs="仿宋_GB2312"/>
                <w:sz w:val="28"/>
                <w:szCs w:val="28"/>
              </w:rPr>
            </w:pPr>
          </w:p>
        </w:tc>
        <w:tc>
          <w:tcPr>
            <w:tcW w:w="1620" w:type="dxa"/>
            <w:tcBorders>
              <w:top w:val="nil"/>
              <w:left w:val="nil"/>
              <w:bottom w:val="single" w:sz="4" w:space="0" w:color="auto"/>
              <w:right w:val="single" w:sz="8" w:space="0" w:color="auto"/>
            </w:tcBorders>
            <w:noWrap/>
            <w:tcMar>
              <w:top w:w="15" w:type="dxa"/>
              <w:left w:w="15" w:type="dxa"/>
              <w:bottom w:w="0" w:type="dxa"/>
              <w:right w:w="15" w:type="dxa"/>
            </w:tcMar>
            <w:vAlign w:val="bottom"/>
          </w:tcPr>
          <w:p w14:paraId="084A45C2" w14:textId="77777777" w:rsidR="00674F3E" w:rsidRDefault="00C45190">
            <w:pPr>
              <w:adjustRightInd w:val="0"/>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非经营性往来</w:t>
            </w:r>
          </w:p>
        </w:tc>
      </w:tr>
      <w:tr w:rsidR="00674F3E" w14:paraId="251FE346" w14:textId="77777777">
        <w:trPr>
          <w:cantSplit/>
          <w:trHeight w:val="285"/>
        </w:trPr>
        <w:tc>
          <w:tcPr>
            <w:tcW w:w="1815" w:type="dxa"/>
            <w:vMerge/>
            <w:tcBorders>
              <w:top w:val="nil"/>
              <w:left w:val="single" w:sz="8" w:space="0" w:color="auto"/>
              <w:bottom w:val="single" w:sz="4" w:space="0" w:color="auto"/>
              <w:right w:val="single" w:sz="4" w:space="0" w:color="auto"/>
            </w:tcBorders>
            <w:vAlign w:val="center"/>
          </w:tcPr>
          <w:p w14:paraId="016F62B3" w14:textId="77777777" w:rsidR="00674F3E" w:rsidRDefault="00674F3E">
            <w:pPr>
              <w:adjustRightInd w:val="0"/>
              <w:snapToGrid w:val="0"/>
              <w:rPr>
                <w:rFonts w:ascii="仿宋_GB2312" w:eastAsia="仿宋_GB2312" w:hAnsi="仿宋_GB2312" w:cs="仿宋_GB2312"/>
                <w:sz w:val="28"/>
                <w:szCs w:val="28"/>
              </w:rPr>
            </w:pPr>
          </w:p>
        </w:tc>
        <w:tc>
          <w:tcPr>
            <w:tcW w:w="92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92A2F6A" w14:textId="77777777" w:rsidR="00674F3E" w:rsidRDefault="00674F3E">
            <w:pPr>
              <w:adjustRightInd w:val="0"/>
              <w:snapToGrid w:val="0"/>
              <w:rPr>
                <w:rFonts w:ascii="仿宋_GB2312" w:eastAsia="仿宋_GB2312" w:hAnsi="仿宋_GB2312" w:cs="仿宋_GB2312"/>
                <w:sz w:val="28"/>
                <w:szCs w:val="28"/>
              </w:rPr>
            </w:pPr>
          </w:p>
        </w:tc>
        <w:tc>
          <w:tcPr>
            <w:tcW w:w="123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269CCCD" w14:textId="77777777" w:rsidR="00674F3E" w:rsidRDefault="00674F3E">
            <w:pPr>
              <w:adjustRightInd w:val="0"/>
              <w:snapToGrid w:val="0"/>
              <w:rPr>
                <w:rFonts w:ascii="仿宋_GB2312" w:eastAsia="仿宋_GB2312" w:hAnsi="仿宋_GB2312" w:cs="仿宋_GB2312"/>
                <w:sz w:val="28"/>
                <w:szCs w:val="28"/>
              </w:rPr>
            </w:pPr>
          </w:p>
        </w:tc>
        <w:tc>
          <w:tcPr>
            <w:tcW w:w="1080" w:type="dxa"/>
            <w:tcBorders>
              <w:top w:val="single" w:sz="4" w:space="0" w:color="auto"/>
              <w:left w:val="nil"/>
              <w:bottom w:val="single" w:sz="4" w:space="0" w:color="auto"/>
              <w:right w:val="single" w:sz="4" w:space="0" w:color="auto"/>
            </w:tcBorders>
            <w:vAlign w:val="bottom"/>
          </w:tcPr>
          <w:p w14:paraId="3FE2AAE7" w14:textId="77777777" w:rsidR="00674F3E" w:rsidRDefault="00674F3E">
            <w:pPr>
              <w:adjustRightInd w:val="0"/>
              <w:snapToGrid w:val="0"/>
              <w:rPr>
                <w:rFonts w:ascii="仿宋_GB2312" w:eastAsia="仿宋_GB2312" w:hAnsi="仿宋_GB2312" w:cs="仿宋_GB2312"/>
                <w:sz w:val="28"/>
                <w:szCs w:val="28"/>
              </w:rPr>
            </w:pPr>
          </w:p>
        </w:tc>
        <w:tc>
          <w:tcPr>
            <w:tcW w:w="171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5C33A94" w14:textId="77777777" w:rsidR="00674F3E" w:rsidRDefault="00674F3E">
            <w:pPr>
              <w:adjustRightInd w:val="0"/>
              <w:snapToGrid w:val="0"/>
              <w:rPr>
                <w:rFonts w:ascii="仿宋_GB2312" w:eastAsia="仿宋_GB2312" w:hAnsi="仿宋_GB2312" w:cs="仿宋_GB2312"/>
                <w:sz w:val="28"/>
                <w:szCs w:val="28"/>
              </w:rPr>
            </w:pPr>
          </w:p>
        </w:tc>
        <w:tc>
          <w:tcPr>
            <w:tcW w:w="14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DAB37B9" w14:textId="77777777" w:rsidR="00674F3E" w:rsidRDefault="00674F3E">
            <w:pPr>
              <w:adjustRightInd w:val="0"/>
              <w:snapToGrid w:val="0"/>
              <w:rPr>
                <w:rFonts w:ascii="仿宋_GB2312" w:eastAsia="仿宋_GB2312" w:hAnsi="仿宋_GB2312" w:cs="仿宋_GB2312"/>
                <w:sz w:val="28"/>
                <w:szCs w:val="28"/>
              </w:rPr>
            </w:pPr>
          </w:p>
        </w:tc>
        <w:tc>
          <w:tcPr>
            <w:tcW w:w="1260" w:type="dxa"/>
            <w:tcBorders>
              <w:top w:val="single" w:sz="4" w:space="0" w:color="auto"/>
              <w:left w:val="nil"/>
              <w:bottom w:val="single" w:sz="4" w:space="0" w:color="auto"/>
              <w:right w:val="single" w:sz="4" w:space="0" w:color="auto"/>
            </w:tcBorders>
          </w:tcPr>
          <w:p w14:paraId="0C85AD12" w14:textId="77777777" w:rsidR="00674F3E" w:rsidRDefault="00674F3E">
            <w:pPr>
              <w:adjustRightInd w:val="0"/>
              <w:snapToGrid w:val="0"/>
              <w:rPr>
                <w:rFonts w:ascii="仿宋_GB2312" w:eastAsia="仿宋_GB2312" w:hAnsi="仿宋_GB2312" w:cs="仿宋_GB2312"/>
                <w:sz w:val="28"/>
                <w:szCs w:val="28"/>
              </w:rPr>
            </w:pP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F4D3E7D" w14:textId="77777777" w:rsidR="00674F3E" w:rsidRDefault="00674F3E">
            <w:pPr>
              <w:adjustRightInd w:val="0"/>
              <w:snapToGrid w:val="0"/>
              <w:rPr>
                <w:rFonts w:ascii="仿宋_GB2312" w:eastAsia="仿宋_GB2312" w:hAnsi="仿宋_GB2312" w:cs="仿宋_GB2312"/>
                <w:sz w:val="28"/>
                <w:szCs w:val="28"/>
              </w:rPr>
            </w:pPr>
          </w:p>
        </w:tc>
        <w:tc>
          <w:tcPr>
            <w:tcW w:w="92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1632F08" w14:textId="77777777" w:rsidR="00674F3E" w:rsidRDefault="00674F3E">
            <w:pPr>
              <w:adjustRightInd w:val="0"/>
              <w:snapToGrid w:val="0"/>
              <w:rPr>
                <w:rFonts w:ascii="仿宋_GB2312" w:eastAsia="仿宋_GB2312" w:hAnsi="仿宋_GB2312" w:cs="仿宋_GB2312"/>
                <w:sz w:val="28"/>
                <w:szCs w:val="28"/>
              </w:rPr>
            </w:pP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51015DA" w14:textId="77777777" w:rsidR="00674F3E" w:rsidRDefault="00674F3E">
            <w:pPr>
              <w:adjustRightInd w:val="0"/>
              <w:snapToGrid w:val="0"/>
              <w:rPr>
                <w:rFonts w:ascii="仿宋_GB2312" w:eastAsia="仿宋_GB2312" w:hAnsi="仿宋_GB2312" w:cs="仿宋_GB2312"/>
                <w:sz w:val="28"/>
                <w:szCs w:val="28"/>
              </w:rPr>
            </w:pPr>
          </w:p>
        </w:tc>
        <w:tc>
          <w:tcPr>
            <w:tcW w:w="1620" w:type="dxa"/>
            <w:tcBorders>
              <w:top w:val="nil"/>
              <w:left w:val="nil"/>
              <w:bottom w:val="single" w:sz="4" w:space="0" w:color="auto"/>
              <w:right w:val="single" w:sz="8" w:space="0" w:color="auto"/>
            </w:tcBorders>
            <w:noWrap/>
            <w:tcMar>
              <w:top w:w="15" w:type="dxa"/>
              <w:left w:w="15" w:type="dxa"/>
              <w:bottom w:w="0" w:type="dxa"/>
              <w:right w:w="15" w:type="dxa"/>
            </w:tcMar>
            <w:vAlign w:val="bottom"/>
          </w:tcPr>
          <w:p w14:paraId="35234521" w14:textId="77777777" w:rsidR="00674F3E" w:rsidRDefault="00C45190">
            <w:pPr>
              <w:adjustRightInd w:val="0"/>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非经营性往来</w:t>
            </w:r>
          </w:p>
        </w:tc>
      </w:tr>
      <w:tr w:rsidR="00674F3E" w14:paraId="72F0AE34" w14:textId="77777777">
        <w:trPr>
          <w:cantSplit/>
          <w:trHeight w:val="285"/>
        </w:trPr>
        <w:tc>
          <w:tcPr>
            <w:tcW w:w="1815" w:type="dxa"/>
            <w:vMerge w:val="restart"/>
            <w:tcBorders>
              <w:top w:val="nil"/>
              <w:left w:val="single" w:sz="8" w:space="0" w:color="auto"/>
              <w:bottom w:val="single" w:sz="4" w:space="0" w:color="auto"/>
              <w:right w:val="single" w:sz="4" w:space="0" w:color="auto"/>
            </w:tcBorders>
            <w:tcMar>
              <w:top w:w="15" w:type="dxa"/>
              <w:left w:w="15" w:type="dxa"/>
              <w:bottom w:w="0" w:type="dxa"/>
              <w:right w:w="15" w:type="dxa"/>
            </w:tcMar>
          </w:tcPr>
          <w:p w14:paraId="535EB791" w14:textId="77777777" w:rsidR="00674F3E" w:rsidRDefault="00C45190">
            <w:pPr>
              <w:adjustRightInd w:val="0"/>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关联自然人</w:t>
            </w:r>
          </w:p>
        </w:tc>
        <w:tc>
          <w:tcPr>
            <w:tcW w:w="92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3B505EC" w14:textId="77777777" w:rsidR="00674F3E" w:rsidRDefault="00674F3E">
            <w:pPr>
              <w:adjustRightInd w:val="0"/>
              <w:snapToGrid w:val="0"/>
              <w:rPr>
                <w:rFonts w:ascii="仿宋_GB2312" w:eastAsia="仿宋_GB2312" w:hAnsi="仿宋_GB2312" w:cs="仿宋_GB2312"/>
                <w:sz w:val="28"/>
                <w:szCs w:val="28"/>
              </w:rPr>
            </w:pPr>
          </w:p>
        </w:tc>
        <w:tc>
          <w:tcPr>
            <w:tcW w:w="123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2B11D2F" w14:textId="77777777" w:rsidR="00674F3E" w:rsidRDefault="00674F3E">
            <w:pPr>
              <w:adjustRightInd w:val="0"/>
              <w:snapToGrid w:val="0"/>
              <w:rPr>
                <w:rFonts w:ascii="仿宋_GB2312" w:eastAsia="仿宋_GB2312" w:hAnsi="仿宋_GB2312" w:cs="仿宋_GB2312"/>
                <w:sz w:val="28"/>
                <w:szCs w:val="28"/>
              </w:rPr>
            </w:pPr>
          </w:p>
        </w:tc>
        <w:tc>
          <w:tcPr>
            <w:tcW w:w="1080" w:type="dxa"/>
            <w:tcBorders>
              <w:top w:val="single" w:sz="4" w:space="0" w:color="auto"/>
              <w:left w:val="nil"/>
              <w:bottom w:val="single" w:sz="4" w:space="0" w:color="auto"/>
              <w:right w:val="single" w:sz="4" w:space="0" w:color="auto"/>
            </w:tcBorders>
            <w:vAlign w:val="bottom"/>
          </w:tcPr>
          <w:p w14:paraId="5FB93DA8" w14:textId="77777777" w:rsidR="00674F3E" w:rsidRDefault="00674F3E">
            <w:pPr>
              <w:adjustRightInd w:val="0"/>
              <w:snapToGrid w:val="0"/>
              <w:rPr>
                <w:rFonts w:ascii="仿宋_GB2312" w:eastAsia="仿宋_GB2312" w:hAnsi="仿宋_GB2312" w:cs="仿宋_GB2312"/>
                <w:sz w:val="28"/>
                <w:szCs w:val="28"/>
              </w:rPr>
            </w:pPr>
          </w:p>
        </w:tc>
        <w:tc>
          <w:tcPr>
            <w:tcW w:w="171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07F4EF7" w14:textId="77777777" w:rsidR="00674F3E" w:rsidRDefault="00674F3E">
            <w:pPr>
              <w:adjustRightInd w:val="0"/>
              <w:snapToGrid w:val="0"/>
              <w:rPr>
                <w:rFonts w:ascii="仿宋_GB2312" w:eastAsia="仿宋_GB2312" w:hAnsi="仿宋_GB2312" w:cs="仿宋_GB2312"/>
                <w:sz w:val="28"/>
                <w:szCs w:val="28"/>
              </w:rPr>
            </w:pPr>
          </w:p>
        </w:tc>
        <w:tc>
          <w:tcPr>
            <w:tcW w:w="14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F055105" w14:textId="77777777" w:rsidR="00674F3E" w:rsidRDefault="00674F3E">
            <w:pPr>
              <w:adjustRightInd w:val="0"/>
              <w:snapToGrid w:val="0"/>
              <w:rPr>
                <w:rFonts w:ascii="仿宋_GB2312" w:eastAsia="仿宋_GB2312" w:hAnsi="仿宋_GB2312" w:cs="仿宋_GB2312"/>
                <w:sz w:val="28"/>
                <w:szCs w:val="28"/>
              </w:rPr>
            </w:pPr>
          </w:p>
        </w:tc>
        <w:tc>
          <w:tcPr>
            <w:tcW w:w="1260" w:type="dxa"/>
            <w:tcBorders>
              <w:top w:val="single" w:sz="4" w:space="0" w:color="auto"/>
              <w:left w:val="nil"/>
              <w:bottom w:val="single" w:sz="4" w:space="0" w:color="auto"/>
              <w:right w:val="single" w:sz="4" w:space="0" w:color="auto"/>
            </w:tcBorders>
          </w:tcPr>
          <w:p w14:paraId="5A01E6E2" w14:textId="77777777" w:rsidR="00674F3E" w:rsidRDefault="00674F3E">
            <w:pPr>
              <w:adjustRightInd w:val="0"/>
              <w:snapToGrid w:val="0"/>
              <w:rPr>
                <w:rFonts w:ascii="仿宋_GB2312" w:eastAsia="仿宋_GB2312" w:hAnsi="仿宋_GB2312" w:cs="仿宋_GB2312"/>
                <w:sz w:val="28"/>
                <w:szCs w:val="28"/>
              </w:rPr>
            </w:pP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603638A" w14:textId="77777777" w:rsidR="00674F3E" w:rsidRDefault="00674F3E">
            <w:pPr>
              <w:adjustRightInd w:val="0"/>
              <w:snapToGrid w:val="0"/>
              <w:rPr>
                <w:rFonts w:ascii="仿宋_GB2312" w:eastAsia="仿宋_GB2312" w:hAnsi="仿宋_GB2312" w:cs="仿宋_GB2312"/>
                <w:sz w:val="28"/>
                <w:szCs w:val="28"/>
              </w:rPr>
            </w:pPr>
          </w:p>
        </w:tc>
        <w:tc>
          <w:tcPr>
            <w:tcW w:w="92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B0E6D24" w14:textId="77777777" w:rsidR="00674F3E" w:rsidRDefault="00674F3E">
            <w:pPr>
              <w:adjustRightInd w:val="0"/>
              <w:snapToGrid w:val="0"/>
              <w:rPr>
                <w:rFonts w:ascii="仿宋_GB2312" w:eastAsia="仿宋_GB2312" w:hAnsi="仿宋_GB2312" w:cs="仿宋_GB2312"/>
                <w:sz w:val="28"/>
                <w:szCs w:val="28"/>
              </w:rPr>
            </w:pP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37DC6E9" w14:textId="77777777" w:rsidR="00674F3E" w:rsidRDefault="00674F3E">
            <w:pPr>
              <w:adjustRightInd w:val="0"/>
              <w:snapToGrid w:val="0"/>
              <w:rPr>
                <w:rFonts w:ascii="仿宋_GB2312" w:eastAsia="仿宋_GB2312" w:hAnsi="仿宋_GB2312" w:cs="仿宋_GB2312"/>
                <w:sz w:val="28"/>
                <w:szCs w:val="28"/>
              </w:rPr>
            </w:pPr>
          </w:p>
        </w:tc>
        <w:tc>
          <w:tcPr>
            <w:tcW w:w="1620" w:type="dxa"/>
            <w:tcBorders>
              <w:top w:val="nil"/>
              <w:left w:val="nil"/>
              <w:bottom w:val="single" w:sz="4" w:space="0" w:color="auto"/>
              <w:right w:val="single" w:sz="8" w:space="0" w:color="auto"/>
            </w:tcBorders>
            <w:noWrap/>
            <w:tcMar>
              <w:top w:w="15" w:type="dxa"/>
              <w:left w:w="15" w:type="dxa"/>
              <w:bottom w:w="0" w:type="dxa"/>
              <w:right w:w="15" w:type="dxa"/>
            </w:tcMar>
            <w:vAlign w:val="bottom"/>
          </w:tcPr>
          <w:p w14:paraId="5B44A166" w14:textId="77777777" w:rsidR="00674F3E" w:rsidRDefault="00C45190">
            <w:pPr>
              <w:adjustRightInd w:val="0"/>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非经营性往来</w:t>
            </w:r>
          </w:p>
        </w:tc>
      </w:tr>
      <w:tr w:rsidR="00674F3E" w14:paraId="412CFD05" w14:textId="77777777">
        <w:trPr>
          <w:cantSplit/>
          <w:trHeight w:val="285"/>
        </w:trPr>
        <w:tc>
          <w:tcPr>
            <w:tcW w:w="1815" w:type="dxa"/>
            <w:vMerge/>
            <w:tcBorders>
              <w:top w:val="nil"/>
              <w:left w:val="single" w:sz="8" w:space="0" w:color="auto"/>
              <w:bottom w:val="single" w:sz="4" w:space="0" w:color="auto"/>
              <w:right w:val="single" w:sz="4" w:space="0" w:color="auto"/>
            </w:tcBorders>
            <w:vAlign w:val="center"/>
          </w:tcPr>
          <w:p w14:paraId="1657ED2A" w14:textId="77777777" w:rsidR="00674F3E" w:rsidRDefault="00674F3E">
            <w:pPr>
              <w:adjustRightInd w:val="0"/>
              <w:snapToGrid w:val="0"/>
              <w:rPr>
                <w:rFonts w:ascii="仿宋_GB2312" w:eastAsia="仿宋_GB2312" w:hAnsi="仿宋_GB2312" w:cs="仿宋_GB2312"/>
                <w:sz w:val="28"/>
                <w:szCs w:val="28"/>
              </w:rPr>
            </w:pPr>
          </w:p>
        </w:tc>
        <w:tc>
          <w:tcPr>
            <w:tcW w:w="92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63229DE" w14:textId="77777777" w:rsidR="00674F3E" w:rsidRDefault="00674F3E">
            <w:pPr>
              <w:adjustRightInd w:val="0"/>
              <w:snapToGrid w:val="0"/>
              <w:rPr>
                <w:rFonts w:ascii="仿宋_GB2312" w:eastAsia="仿宋_GB2312" w:hAnsi="仿宋_GB2312" w:cs="仿宋_GB2312"/>
                <w:sz w:val="28"/>
                <w:szCs w:val="28"/>
              </w:rPr>
            </w:pPr>
          </w:p>
        </w:tc>
        <w:tc>
          <w:tcPr>
            <w:tcW w:w="123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D7CF9AD" w14:textId="77777777" w:rsidR="00674F3E" w:rsidRDefault="00674F3E">
            <w:pPr>
              <w:adjustRightInd w:val="0"/>
              <w:snapToGrid w:val="0"/>
              <w:rPr>
                <w:rFonts w:ascii="仿宋_GB2312" w:eastAsia="仿宋_GB2312" w:hAnsi="仿宋_GB2312" w:cs="仿宋_GB2312"/>
                <w:sz w:val="28"/>
                <w:szCs w:val="28"/>
              </w:rPr>
            </w:pPr>
          </w:p>
        </w:tc>
        <w:tc>
          <w:tcPr>
            <w:tcW w:w="1080" w:type="dxa"/>
            <w:tcBorders>
              <w:top w:val="single" w:sz="4" w:space="0" w:color="auto"/>
              <w:left w:val="nil"/>
              <w:bottom w:val="single" w:sz="4" w:space="0" w:color="auto"/>
              <w:right w:val="single" w:sz="4" w:space="0" w:color="auto"/>
            </w:tcBorders>
            <w:vAlign w:val="bottom"/>
          </w:tcPr>
          <w:p w14:paraId="0E831507" w14:textId="77777777" w:rsidR="00674F3E" w:rsidRDefault="00674F3E">
            <w:pPr>
              <w:adjustRightInd w:val="0"/>
              <w:snapToGrid w:val="0"/>
              <w:rPr>
                <w:rFonts w:ascii="仿宋_GB2312" w:eastAsia="仿宋_GB2312" w:hAnsi="仿宋_GB2312" w:cs="仿宋_GB2312"/>
                <w:sz w:val="28"/>
                <w:szCs w:val="28"/>
              </w:rPr>
            </w:pPr>
          </w:p>
        </w:tc>
        <w:tc>
          <w:tcPr>
            <w:tcW w:w="171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5CA6357" w14:textId="77777777" w:rsidR="00674F3E" w:rsidRDefault="00674F3E">
            <w:pPr>
              <w:adjustRightInd w:val="0"/>
              <w:snapToGrid w:val="0"/>
              <w:rPr>
                <w:rFonts w:ascii="仿宋_GB2312" w:eastAsia="仿宋_GB2312" w:hAnsi="仿宋_GB2312" w:cs="仿宋_GB2312"/>
                <w:sz w:val="28"/>
                <w:szCs w:val="28"/>
              </w:rPr>
            </w:pPr>
          </w:p>
        </w:tc>
        <w:tc>
          <w:tcPr>
            <w:tcW w:w="14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051EA7A" w14:textId="77777777" w:rsidR="00674F3E" w:rsidRDefault="00674F3E">
            <w:pPr>
              <w:adjustRightInd w:val="0"/>
              <w:snapToGrid w:val="0"/>
              <w:rPr>
                <w:rFonts w:ascii="仿宋_GB2312" w:eastAsia="仿宋_GB2312" w:hAnsi="仿宋_GB2312" w:cs="仿宋_GB2312"/>
                <w:sz w:val="28"/>
                <w:szCs w:val="28"/>
              </w:rPr>
            </w:pPr>
          </w:p>
        </w:tc>
        <w:tc>
          <w:tcPr>
            <w:tcW w:w="1260" w:type="dxa"/>
            <w:tcBorders>
              <w:top w:val="single" w:sz="4" w:space="0" w:color="auto"/>
              <w:left w:val="nil"/>
              <w:bottom w:val="single" w:sz="4" w:space="0" w:color="auto"/>
              <w:right w:val="single" w:sz="4" w:space="0" w:color="auto"/>
            </w:tcBorders>
          </w:tcPr>
          <w:p w14:paraId="719D3D68" w14:textId="77777777" w:rsidR="00674F3E" w:rsidRDefault="00674F3E">
            <w:pPr>
              <w:adjustRightInd w:val="0"/>
              <w:snapToGrid w:val="0"/>
              <w:rPr>
                <w:rFonts w:ascii="仿宋_GB2312" w:eastAsia="仿宋_GB2312" w:hAnsi="仿宋_GB2312" w:cs="仿宋_GB2312"/>
                <w:sz w:val="28"/>
                <w:szCs w:val="28"/>
              </w:rPr>
            </w:pP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849BEFC" w14:textId="77777777" w:rsidR="00674F3E" w:rsidRDefault="00674F3E">
            <w:pPr>
              <w:adjustRightInd w:val="0"/>
              <w:snapToGrid w:val="0"/>
              <w:rPr>
                <w:rFonts w:ascii="仿宋_GB2312" w:eastAsia="仿宋_GB2312" w:hAnsi="仿宋_GB2312" w:cs="仿宋_GB2312"/>
                <w:sz w:val="28"/>
                <w:szCs w:val="28"/>
              </w:rPr>
            </w:pPr>
          </w:p>
        </w:tc>
        <w:tc>
          <w:tcPr>
            <w:tcW w:w="92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0309B4C" w14:textId="77777777" w:rsidR="00674F3E" w:rsidRDefault="00674F3E">
            <w:pPr>
              <w:adjustRightInd w:val="0"/>
              <w:snapToGrid w:val="0"/>
              <w:rPr>
                <w:rFonts w:ascii="仿宋_GB2312" w:eastAsia="仿宋_GB2312" w:hAnsi="仿宋_GB2312" w:cs="仿宋_GB2312"/>
                <w:sz w:val="28"/>
                <w:szCs w:val="28"/>
              </w:rPr>
            </w:pP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3C26C9A" w14:textId="77777777" w:rsidR="00674F3E" w:rsidRDefault="00674F3E">
            <w:pPr>
              <w:adjustRightInd w:val="0"/>
              <w:snapToGrid w:val="0"/>
              <w:rPr>
                <w:rFonts w:ascii="仿宋_GB2312" w:eastAsia="仿宋_GB2312" w:hAnsi="仿宋_GB2312" w:cs="仿宋_GB2312"/>
                <w:sz w:val="28"/>
                <w:szCs w:val="28"/>
              </w:rPr>
            </w:pPr>
          </w:p>
        </w:tc>
        <w:tc>
          <w:tcPr>
            <w:tcW w:w="1620" w:type="dxa"/>
            <w:tcBorders>
              <w:top w:val="nil"/>
              <w:left w:val="nil"/>
              <w:bottom w:val="single" w:sz="4" w:space="0" w:color="auto"/>
              <w:right w:val="single" w:sz="8" w:space="0" w:color="auto"/>
            </w:tcBorders>
            <w:noWrap/>
            <w:tcMar>
              <w:top w:w="15" w:type="dxa"/>
              <w:left w:w="15" w:type="dxa"/>
              <w:bottom w:w="0" w:type="dxa"/>
              <w:right w:w="15" w:type="dxa"/>
            </w:tcMar>
            <w:vAlign w:val="bottom"/>
          </w:tcPr>
          <w:p w14:paraId="34CD406A" w14:textId="77777777" w:rsidR="00674F3E" w:rsidRDefault="00C45190">
            <w:pPr>
              <w:adjustRightInd w:val="0"/>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非经营性往来</w:t>
            </w:r>
          </w:p>
        </w:tc>
      </w:tr>
      <w:tr w:rsidR="00674F3E" w14:paraId="584FBA7B" w14:textId="77777777">
        <w:trPr>
          <w:cantSplit/>
          <w:trHeight w:val="285"/>
        </w:trPr>
        <w:tc>
          <w:tcPr>
            <w:tcW w:w="1815" w:type="dxa"/>
            <w:vMerge w:val="restart"/>
            <w:tcBorders>
              <w:top w:val="nil"/>
              <w:left w:val="single" w:sz="8" w:space="0" w:color="auto"/>
              <w:bottom w:val="single" w:sz="4" w:space="0" w:color="auto"/>
              <w:right w:val="single" w:sz="4" w:space="0" w:color="auto"/>
            </w:tcBorders>
            <w:tcMar>
              <w:top w:w="15" w:type="dxa"/>
              <w:left w:w="15" w:type="dxa"/>
              <w:bottom w:w="0" w:type="dxa"/>
              <w:right w:w="15" w:type="dxa"/>
            </w:tcMar>
          </w:tcPr>
          <w:p w14:paraId="75F392D6" w14:textId="77777777" w:rsidR="00674F3E" w:rsidRDefault="00C45190">
            <w:pPr>
              <w:adjustRightInd w:val="0"/>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其他关联方及其附属企业</w:t>
            </w:r>
          </w:p>
        </w:tc>
        <w:tc>
          <w:tcPr>
            <w:tcW w:w="92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C551CC5" w14:textId="77777777" w:rsidR="00674F3E" w:rsidRDefault="00674F3E">
            <w:pPr>
              <w:adjustRightInd w:val="0"/>
              <w:snapToGrid w:val="0"/>
              <w:rPr>
                <w:rFonts w:ascii="仿宋_GB2312" w:eastAsia="仿宋_GB2312" w:hAnsi="仿宋_GB2312" w:cs="仿宋_GB2312"/>
                <w:sz w:val="28"/>
                <w:szCs w:val="28"/>
              </w:rPr>
            </w:pPr>
          </w:p>
        </w:tc>
        <w:tc>
          <w:tcPr>
            <w:tcW w:w="123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83D8351" w14:textId="77777777" w:rsidR="00674F3E" w:rsidRDefault="00674F3E">
            <w:pPr>
              <w:adjustRightInd w:val="0"/>
              <w:snapToGrid w:val="0"/>
              <w:rPr>
                <w:rFonts w:ascii="仿宋_GB2312" w:eastAsia="仿宋_GB2312" w:hAnsi="仿宋_GB2312" w:cs="仿宋_GB2312"/>
                <w:sz w:val="28"/>
                <w:szCs w:val="28"/>
              </w:rPr>
            </w:pPr>
          </w:p>
        </w:tc>
        <w:tc>
          <w:tcPr>
            <w:tcW w:w="1080" w:type="dxa"/>
            <w:tcBorders>
              <w:top w:val="single" w:sz="4" w:space="0" w:color="auto"/>
              <w:left w:val="nil"/>
              <w:bottom w:val="single" w:sz="4" w:space="0" w:color="auto"/>
              <w:right w:val="single" w:sz="4" w:space="0" w:color="auto"/>
            </w:tcBorders>
            <w:vAlign w:val="bottom"/>
          </w:tcPr>
          <w:p w14:paraId="3AE3746C" w14:textId="77777777" w:rsidR="00674F3E" w:rsidRDefault="00674F3E">
            <w:pPr>
              <w:adjustRightInd w:val="0"/>
              <w:snapToGrid w:val="0"/>
              <w:rPr>
                <w:rFonts w:ascii="仿宋_GB2312" w:eastAsia="仿宋_GB2312" w:hAnsi="仿宋_GB2312" w:cs="仿宋_GB2312"/>
                <w:sz w:val="28"/>
                <w:szCs w:val="28"/>
              </w:rPr>
            </w:pPr>
          </w:p>
        </w:tc>
        <w:tc>
          <w:tcPr>
            <w:tcW w:w="171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2F61D57" w14:textId="77777777" w:rsidR="00674F3E" w:rsidRDefault="00674F3E">
            <w:pPr>
              <w:adjustRightInd w:val="0"/>
              <w:snapToGrid w:val="0"/>
              <w:rPr>
                <w:rFonts w:ascii="仿宋_GB2312" w:eastAsia="仿宋_GB2312" w:hAnsi="仿宋_GB2312" w:cs="仿宋_GB2312"/>
                <w:sz w:val="28"/>
                <w:szCs w:val="28"/>
              </w:rPr>
            </w:pPr>
          </w:p>
        </w:tc>
        <w:tc>
          <w:tcPr>
            <w:tcW w:w="14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6D05EBB" w14:textId="77777777" w:rsidR="00674F3E" w:rsidRDefault="00674F3E">
            <w:pPr>
              <w:adjustRightInd w:val="0"/>
              <w:snapToGrid w:val="0"/>
              <w:rPr>
                <w:rFonts w:ascii="仿宋_GB2312" w:eastAsia="仿宋_GB2312" w:hAnsi="仿宋_GB2312" w:cs="仿宋_GB2312"/>
                <w:sz w:val="28"/>
                <w:szCs w:val="28"/>
              </w:rPr>
            </w:pPr>
          </w:p>
        </w:tc>
        <w:tc>
          <w:tcPr>
            <w:tcW w:w="1260" w:type="dxa"/>
            <w:tcBorders>
              <w:top w:val="single" w:sz="4" w:space="0" w:color="auto"/>
              <w:left w:val="nil"/>
              <w:bottom w:val="single" w:sz="4" w:space="0" w:color="auto"/>
              <w:right w:val="single" w:sz="4" w:space="0" w:color="auto"/>
            </w:tcBorders>
          </w:tcPr>
          <w:p w14:paraId="32CF1AC1" w14:textId="77777777" w:rsidR="00674F3E" w:rsidRDefault="00674F3E">
            <w:pPr>
              <w:adjustRightInd w:val="0"/>
              <w:snapToGrid w:val="0"/>
              <w:rPr>
                <w:rFonts w:ascii="仿宋_GB2312" w:eastAsia="仿宋_GB2312" w:hAnsi="仿宋_GB2312" w:cs="仿宋_GB2312"/>
                <w:sz w:val="28"/>
                <w:szCs w:val="28"/>
              </w:rPr>
            </w:pP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E422A77" w14:textId="77777777" w:rsidR="00674F3E" w:rsidRDefault="00674F3E">
            <w:pPr>
              <w:adjustRightInd w:val="0"/>
              <w:snapToGrid w:val="0"/>
              <w:rPr>
                <w:rFonts w:ascii="仿宋_GB2312" w:eastAsia="仿宋_GB2312" w:hAnsi="仿宋_GB2312" w:cs="仿宋_GB2312"/>
                <w:sz w:val="28"/>
                <w:szCs w:val="28"/>
              </w:rPr>
            </w:pPr>
          </w:p>
        </w:tc>
        <w:tc>
          <w:tcPr>
            <w:tcW w:w="92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B63F497" w14:textId="77777777" w:rsidR="00674F3E" w:rsidRDefault="00674F3E">
            <w:pPr>
              <w:adjustRightInd w:val="0"/>
              <w:snapToGrid w:val="0"/>
              <w:rPr>
                <w:rFonts w:ascii="仿宋_GB2312" w:eastAsia="仿宋_GB2312" w:hAnsi="仿宋_GB2312" w:cs="仿宋_GB2312"/>
                <w:sz w:val="28"/>
                <w:szCs w:val="28"/>
              </w:rPr>
            </w:pP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4AB2B22" w14:textId="77777777" w:rsidR="00674F3E" w:rsidRDefault="00674F3E">
            <w:pPr>
              <w:adjustRightInd w:val="0"/>
              <w:snapToGrid w:val="0"/>
              <w:rPr>
                <w:rFonts w:ascii="仿宋_GB2312" w:eastAsia="仿宋_GB2312" w:hAnsi="仿宋_GB2312" w:cs="仿宋_GB2312"/>
                <w:sz w:val="28"/>
                <w:szCs w:val="28"/>
              </w:rPr>
            </w:pPr>
          </w:p>
        </w:tc>
        <w:tc>
          <w:tcPr>
            <w:tcW w:w="1620" w:type="dxa"/>
            <w:tcBorders>
              <w:top w:val="nil"/>
              <w:left w:val="nil"/>
              <w:bottom w:val="single" w:sz="4" w:space="0" w:color="auto"/>
              <w:right w:val="single" w:sz="8" w:space="0" w:color="auto"/>
            </w:tcBorders>
            <w:noWrap/>
            <w:tcMar>
              <w:top w:w="15" w:type="dxa"/>
              <w:left w:w="15" w:type="dxa"/>
              <w:bottom w:w="0" w:type="dxa"/>
              <w:right w:w="15" w:type="dxa"/>
            </w:tcMar>
            <w:vAlign w:val="bottom"/>
          </w:tcPr>
          <w:p w14:paraId="55A28EDE" w14:textId="77777777" w:rsidR="00674F3E" w:rsidRDefault="00C45190">
            <w:pPr>
              <w:adjustRightInd w:val="0"/>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非经营性往来</w:t>
            </w:r>
          </w:p>
        </w:tc>
      </w:tr>
      <w:tr w:rsidR="00674F3E" w14:paraId="290E2E5C" w14:textId="77777777">
        <w:trPr>
          <w:cantSplit/>
          <w:trHeight w:val="285"/>
        </w:trPr>
        <w:tc>
          <w:tcPr>
            <w:tcW w:w="1815" w:type="dxa"/>
            <w:vMerge/>
            <w:tcBorders>
              <w:top w:val="nil"/>
              <w:left w:val="single" w:sz="8" w:space="0" w:color="auto"/>
              <w:bottom w:val="single" w:sz="4" w:space="0" w:color="auto"/>
              <w:right w:val="single" w:sz="4" w:space="0" w:color="auto"/>
            </w:tcBorders>
            <w:vAlign w:val="center"/>
          </w:tcPr>
          <w:p w14:paraId="05B1E6BD" w14:textId="77777777" w:rsidR="00674F3E" w:rsidRDefault="00674F3E">
            <w:pPr>
              <w:adjustRightInd w:val="0"/>
              <w:snapToGrid w:val="0"/>
              <w:rPr>
                <w:rFonts w:ascii="仿宋_GB2312" w:eastAsia="仿宋_GB2312" w:hAnsi="仿宋_GB2312" w:cs="仿宋_GB2312"/>
                <w:sz w:val="28"/>
                <w:szCs w:val="28"/>
              </w:rPr>
            </w:pPr>
          </w:p>
        </w:tc>
        <w:tc>
          <w:tcPr>
            <w:tcW w:w="92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4EDA346" w14:textId="77777777" w:rsidR="00674F3E" w:rsidRDefault="00674F3E">
            <w:pPr>
              <w:adjustRightInd w:val="0"/>
              <w:snapToGrid w:val="0"/>
              <w:rPr>
                <w:rFonts w:ascii="仿宋_GB2312" w:eastAsia="仿宋_GB2312" w:hAnsi="仿宋_GB2312" w:cs="仿宋_GB2312"/>
                <w:sz w:val="28"/>
                <w:szCs w:val="28"/>
              </w:rPr>
            </w:pPr>
          </w:p>
        </w:tc>
        <w:tc>
          <w:tcPr>
            <w:tcW w:w="123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B9D7A42" w14:textId="77777777" w:rsidR="00674F3E" w:rsidRDefault="00674F3E">
            <w:pPr>
              <w:adjustRightInd w:val="0"/>
              <w:snapToGrid w:val="0"/>
              <w:rPr>
                <w:rFonts w:ascii="仿宋_GB2312" w:eastAsia="仿宋_GB2312" w:hAnsi="仿宋_GB2312" w:cs="仿宋_GB2312"/>
                <w:sz w:val="28"/>
                <w:szCs w:val="28"/>
              </w:rPr>
            </w:pPr>
          </w:p>
        </w:tc>
        <w:tc>
          <w:tcPr>
            <w:tcW w:w="1080" w:type="dxa"/>
            <w:tcBorders>
              <w:top w:val="single" w:sz="4" w:space="0" w:color="auto"/>
              <w:left w:val="nil"/>
              <w:bottom w:val="single" w:sz="4" w:space="0" w:color="auto"/>
              <w:right w:val="single" w:sz="4" w:space="0" w:color="auto"/>
            </w:tcBorders>
            <w:vAlign w:val="bottom"/>
          </w:tcPr>
          <w:p w14:paraId="63684144" w14:textId="77777777" w:rsidR="00674F3E" w:rsidRDefault="00674F3E">
            <w:pPr>
              <w:adjustRightInd w:val="0"/>
              <w:snapToGrid w:val="0"/>
              <w:rPr>
                <w:rFonts w:ascii="仿宋_GB2312" w:eastAsia="仿宋_GB2312" w:hAnsi="仿宋_GB2312" w:cs="仿宋_GB2312"/>
                <w:sz w:val="28"/>
                <w:szCs w:val="28"/>
              </w:rPr>
            </w:pPr>
          </w:p>
        </w:tc>
        <w:tc>
          <w:tcPr>
            <w:tcW w:w="171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19CC152" w14:textId="77777777" w:rsidR="00674F3E" w:rsidRDefault="00674F3E">
            <w:pPr>
              <w:adjustRightInd w:val="0"/>
              <w:snapToGrid w:val="0"/>
              <w:rPr>
                <w:rFonts w:ascii="仿宋_GB2312" w:eastAsia="仿宋_GB2312" w:hAnsi="仿宋_GB2312" w:cs="仿宋_GB2312"/>
                <w:sz w:val="28"/>
                <w:szCs w:val="28"/>
              </w:rPr>
            </w:pPr>
          </w:p>
        </w:tc>
        <w:tc>
          <w:tcPr>
            <w:tcW w:w="14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5B124AE" w14:textId="77777777" w:rsidR="00674F3E" w:rsidRDefault="00674F3E">
            <w:pPr>
              <w:adjustRightInd w:val="0"/>
              <w:snapToGrid w:val="0"/>
              <w:rPr>
                <w:rFonts w:ascii="仿宋_GB2312" w:eastAsia="仿宋_GB2312" w:hAnsi="仿宋_GB2312" w:cs="仿宋_GB2312"/>
                <w:sz w:val="28"/>
                <w:szCs w:val="28"/>
              </w:rPr>
            </w:pPr>
          </w:p>
        </w:tc>
        <w:tc>
          <w:tcPr>
            <w:tcW w:w="1260" w:type="dxa"/>
            <w:tcBorders>
              <w:top w:val="single" w:sz="4" w:space="0" w:color="auto"/>
              <w:left w:val="nil"/>
              <w:bottom w:val="single" w:sz="4" w:space="0" w:color="auto"/>
              <w:right w:val="single" w:sz="4" w:space="0" w:color="auto"/>
            </w:tcBorders>
          </w:tcPr>
          <w:p w14:paraId="57D90266" w14:textId="77777777" w:rsidR="00674F3E" w:rsidRDefault="00674F3E">
            <w:pPr>
              <w:adjustRightInd w:val="0"/>
              <w:snapToGrid w:val="0"/>
              <w:rPr>
                <w:rFonts w:ascii="仿宋_GB2312" w:eastAsia="仿宋_GB2312" w:hAnsi="仿宋_GB2312" w:cs="仿宋_GB2312"/>
                <w:sz w:val="28"/>
                <w:szCs w:val="28"/>
              </w:rPr>
            </w:pP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B3DDF11" w14:textId="77777777" w:rsidR="00674F3E" w:rsidRDefault="00674F3E">
            <w:pPr>
              <w:adjustRightInd w:val="0"/>
              <w:snapToGrid w:val="0"/>
              <w:rPr>
                <w:rFonts w:ascii="仿宋_GB2312" w:eastAsia="仿宋_GB2312" w:hAnsi="仿宋_GB2312" w:cs="仿宋_GB2312"/>
                <w:sz w:val="28"/>
                <w:szCs w:val="28"/>
              </w:rPr>
            </w:pPr>
          </w:p>
        </w:tc>
        <w:tc>
          <w:tcPr>
            <w:tcW w:w="92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A36B1D" w14:textId="77777777" w:rsidR="00674F3E" w:rsidRDefault="00674F3E">
            <w:pPr>
              <w:adjustRightInd w:val="0"/>
              <w:snapToGrid w:val="0"/>
              <w:rPr>
                <w:rFonts w:ascii="仿宋_GB2312" w:eastAsia="仿宋_GB2312" w:hAnsi="仿宋_GB2312" w:cs="仿宋_GB2312"/>
                <w:sz w:val="28"/>
                <w:szCs w:val="28"/>
              </w:rPr>
            </w:pP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B510C81" w14:textId="77777777" w:rsidR="00674F3E" w:rsidRDefault="00674F3E">
            <w:pPr>
              <w:adjustRightInd w:val="0"/>
              <w:snapToGrid w:val="0"/>
              <w:rPr>
                <w:rFonts w:ascii="仿宋_GB2312" w:eastAsia="仿宋_GB2312" w:hAnsi="仿宋_GB2312" w:cs="仿宋_GB2312"/>
                <w:sz w:val="28"/>
                <w:szCs w:val="28"/>
              </w:rPr>
            </w:pPr>
          </w:p>
        </w:tc>
        <w:tc>
          <w:tcPr>
            <w:tcW w:w="1620" w:type="dxa"/>
            <w:tcBorders>
              <w:top w:val="nil"/>
              <w:left w:val="nil"/>
              <w:bottom w:val="single" w:sz="4" w:space="0" w:color="auto"/>
              <w:right w:val="single" w:sz="8" w:space="0" w:color="auto"/>
            </w:tcBorders>
            <w:noWrap/>
            <w:tcMar>
              <w:top w:w="15" w:type="dxa"/>
              <w:left w:w="15" w:type="dxa"/>
              <w:bottom w:w="0" w:type="dxa"/>
              <w:right w:w="15" w:type="dxa"/>
            </w:tcMar>
            <w:vAlign w:val="bottom"/>
          </w:tcPr>
          <w:p w14:paraId="7F5989F3" w14:textId="77777777" w:rsidR="00674F3E" w:rsidRDefault="00C45190">
            <w:pPr>
              <w:adjustRightInd w:val="0"/>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非经营性往来</w:t>
            </w:r>
          </w:p>
        </w:tc>
      </w:tr>
      <w:tr w:rsidR="00674F3E" w14:paraId="05C20AD3" w14:textId="77777777">
        <w:trPr>
          <w:trHeight w:val="300"/>
        </w:trPr>
        <w:tc>
          <w:tcPr>
            <w:tcW w:w="1815" w:type="dxa"/>
            <w:tcBorders>
              <w:top w:val="nil"/>
              <w:left w:val="single" w:sz="8" w:space="0" w:color="auto"/>
              <w:bottom w:val="single" w:sz="8" w:space="0" w:color="auto"/>
              <w:right w:val="single" w:sz="4" w:space="0" w:color="auto"/>
            </w:tcBorders>
            <w:tcMar>
              <w:top w:w="15" w:type="dxa"/>
              <w:left w:w="15" w:type="dxa"/>
              <w:bottom w:w="0" w:type="dxa"/>
              <w:right w:w="15" w:type="dxa"/>
            </w:tcMar>
            <w:vAlign w:val="bottom"/>
          </w:tcPr>
          <w:p w14:paraId="2015354C" w14:textId="77777777" w:rsidR="00674F3E" w:rsidRDefault="00C45190">
            <w:pPr>
              <w:adjustRightInd w:val="0"/>
              <w:snapToGrid w:val="0"/>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总计</w:t>
            </w:r>
          </w:p>
        </w:tc>
        <w:tc>
          <w:tcPr>
            <w:tcW w:w="925" w:type="dxa"/>
            <w:tcBorders>
              <w:top w:val="nil"/>
              <w:left w:val="nil"/>
              <w:bottom w:val="single" w:sz="8" w:space="0" w:color="auto"/>
              <w:right w:val="single" w:sz="4" w:space="0" w:color="auto"/>
            </w:tcBorders>
            <w:tcMar>
              <w:top w:w="15" w:type="dxa"/>
              <w:left w:w="15" w:type="dxa"/>
              <w:bottom w:w="0" w:type="dxa"/>
              <w:right w:w="15" w:type="dxa"/>
            </w:tcMar>
            <w:vAlign w:val="bottom"/>
          </w:tcPr>
          <w:p w14:paraId="68AA6F16" w14:textId="77777777" w:rsidR="00674F3E" w:rsidRDefault="00C45190">
            <w:pPr>
              <w:adjustRightInd w:val="0"/>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p>
        </w:tc>
        <w:tc>
          <w:tcPr>
            <w:tcW w:w="1235" w:type="dxa"/>
            <w:tcBorders>
              <w:top w:val="nil"/>
              <w:left w:val="nil"/>
              <w:bottom w:val="single" w:sz="8" w:space="0" w:color="auto"/>
              <w:right w:val="single" w:sz="4" w:space="0" w:color="auto"/>
            </w:tcBorders>
            <w:tcMar>
              <w:top w:w="15" w:type="dxa"/>
              <w:left w:w="15" w:type="dxa"/>
              <w:bottom w:w="0" w:type="dxa"/>
              <w:right w:w="15" w:type="dxa"/>
            </w:tcMar>
            <w:vAlign w:val="bottom"/>
          </w:tcPr>
          <w:p w14:paraId="6D748DF5" w14:textId="77777777" w:rsidR="00674F3E" w:rsidRDefault="00C45190">
            <w:pPr>
              <w:adjustRightInd w:val="0"/>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p>
        </w:tc>
        <w:tc>
          <w:tcPr>
            <w:tcW w:w="1080" w:type="dxa"/>
            <w:tcBorders>
              <w:top w:val="single" w:sz="4" w:space="0" w:color="auto"/>
              <w:left w:val="nil"/>
              <w:bottom w:val="single" w:sz="8" w:space="0" w:color="auto"/>
              <w:right w:val="single" w:sz="4" w:space="0" w:color="auto"/>
            </w:tcBorders>
            <w:vAlign w:val="bottom"/>
          </w:tcPr>
          <w:p w14:paraId="2B76F095" w14:textId="77777777" w:rsidR="00674F3E" w:rsidRDefault="00C45190">
            <w:pPr>
              <w:adjustRightInd w:val="0"/>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p>
        </w:tc>
        <w:tc>
          <w:tcPr>
            <w:tcW w:w="1718" w:type="dxa"/>
            <w:tcBorders>
              <w:top w:val="nil"/>
              <w:left w:val="single" w:sz="4" w:space="0" w:color="auto"/>
              <w:bottom w:val="single" w:sz="8" w:space="0" w:color="auto"/>
              <w:right w:val="single" w:sz="4" w:space="0" w:color="auto"/>
            </w:tcBorders>
            <w:tcMar>
              <w:top w:w="15" w:type="dxa"/>
              <w:left w:w="15" w:type="dxa"/>
              <w:bottom w:w="0" w:type="dxa"/>
              <w:right w:w="15" w:type="dxa"/>
            </w:tcMar>
            <w:vAlign w:val="bottom"/>
          </w:tcPr>
          <w:p w14:paraId="0CF85248" w14:textId="77777777" w:rsidR="00674F3E" w:rsidRDefault="00674F3E">
            <w:pPr>
              <w:adjustRightInd w:val="0"/>
              <w:snapToGrid w:val="0"/>
              <w:rPr>
                <w:rFonts w:ascii="仿宋_GB2312" w:eastAsia="仿宋_GB2312" w:hAnsi="仿宋_GB2312" w:cs="仿宋_GB2312"/>
                <w:sz w:val="28"/>
                <w:szCs w:val="28"/>
              </w:rPr>
            </w:pPr>
          </w:p>
        </w:tc>
        <w:tc>
          <w:tcPr>
            <w:tcW w:w="1460" w:type="dxa"/>
            <w:tcBorders>
              <w:top w:val="nil"/>
              <w:left w:val="nil"/>
              <w:bottom w:val="single" w:sz="8" w:space="0" w:color="auto"/>
              <w:right w:val="single" w:sz="4" w:space="0" w:color="auto"/>
            </w:tcBorders>
            <w:tcMar>
              <w:top w:w="15" w:type="dxa"/>
              <w:left w:w="15" w:type="dxa"/>
              <w:bottom w:w="0" w:type="dxa"/>
              <w:right w:w="15" w:type="dxa"/>
            </w:tcMar>
            <w:vAlign w:val="bottom"/>
          </w:tcPr>
          <w:p w14:paraId="2D7958F1" w14:textId="77777777" w:rsidR="00674F3E" w:rsidRDefault="00674F3E">
            <w:pPr>
              <w:adjustRightInd w:val="0"/>
              <w:snapToGrid w:val="0"/>
              <w:rPr>
                <w:rFonts w:ascii="仿宋_GB2312" w:eastAsia="仿宋_GB2312" w:hAnsi="仿宋_GB2312" w:cs="仿宋_GB2312"/>
                <w:sz w:val="28"/>
                <w:szCs w:val="28"/>
              </w:rPr>
            </w:pPr>
          </w:p>
        </w:tc>
        <w:tc>
          <w:tcPr>
            <w:tcW w:w="1260" w:type="dxa"/>
            <w:tcBorders>
              <w:top w:val="single" w:sz="4" w:space="0" w:color="auto"/>
              <w:left w:val="nil"/>
              <w:bottom w:val="single" w:sz="8" w:space="0" w:color="auto"/>
              <w:right w:val="single" w:sz="4" w:space="0" w:color="auto"/>
            </w:tcBorders>
          </w:tcPr>
          <w:p w14:paraId="2355E5A7" w14:textId="77777777" w:rsidR="00674F3E" w:rsidRDefault="00674F3E">
            <w:pPr>
              <w:adjustRightInd w:val="0"/>
              <w:snapToGrid w:val="0"/>
              <w:rPr>
                <w:rFonts w:ascii="仿宋_GB2312" w:eastAsia="仿宋_GB2312" w:hAnsi="仿宋_GB2312" w:cs="仿宋_GB2312"/>
                <w:sz w:val="28"/>
                <w:szCs w:val="28"/>
              </w:rPr>
            </w:pPr>
          </w:p>
        </w:tc>
        <w:tc>
          <w:tcPr>
            <w:tcW w:w="1260" w:type="dxa"/>
            <w:tcBorders>
              <w:top w:val="nil"/>
              <w:left w:val="single" w:sz="4" w:space="0" w:color="auto"/>
              <w:bottom w:val="single" w:sz="8" w:space="0" w:color="auto"/>
              <w:right w:val="single" w:sz="4" w:space="0" w:color="auto"/>
            </w:tcBorders>
            <w:tcMar>
              <w:top w:w="15" w:type="dxa"/>
              <w:left w:w="15" w:type="dxa"/>
              <w:bottom w:w="0" w:type="dxa"/>
              <w:right w:w="15" w:type="dxa"/>
            </w:tcMar>
            <w:vAlign w:val="bottom"/>
          </w:tcPr>
          <w:p w14:paraId="3157F1D0" w14:textId="77777777" w:rsidR="00674F3E" w:rsidRDefault="00674F3E">
            <w:pPr>
              <w:adjustRightInd w:val="0"/>
              <w:snapToGrid w:val="0"/>
              <w:rPr>
                <w:rFonts w:ascii="仿宋_GB2312" w:eastAsia="仿宋_GB2312" w:hAnsi="仿宋_GB2312" w:cs="仿宋_GB2312"/>
                <w:sz w:val="28"/>
                <w:szCs w:val="28"/>
              </w:rPr>
            </w:pPr>
          </w:p>
        </w:tc>
        <w:tc>
          <w:tcPr>
            <w:tcW w:w="920" w:type="dxa"/>
            <w:tcBorders>
              <w:top w:val="nil"/>
              <w:left w:val="single" w:sz="4" w:space="0" w:color="auto"/>
              <w:bottom w:val="single" w:sz="8" w:space="0" w:color="auto"/>
              <w:right w:val="single" w:sz="4" w:space="0" w:color="auto"/>
            </w:tcBorders>
            <w:tcMar>
              <w:top w:w="15" w:type="dxa"/>
              <w:left w:w="15" w:type="dxa"/>
              <w:bottom w:w="0" w:type="dxa"/>
              <w:right w:w="15" w:type="dxa"/>
            </w:tcMar>
            <w:vAlign w:val="bottom"/>
          </w:tcPr>
          <w:p w14:paraId="15E4909B" w14:textId="77777777" w:rsidR="00674F3E" w:rsidRDefault="00674F3E">
            <w:pPr>
              <w:adjustRightInd w:val="0"/>
              <w:snapToGrid w:val="0"/>
              <w:rPr>
                <w:rFonts w:ascii="仿宋_GB2312" w:eastAsia="仿宋_GB2312" w:hAnsi="仿宋_GB2312" w:cs="仿宋_GB2312"/>
                <w:sz w:val="28"/>
                <w:szCs w:val="28"/>
              </w:rPr>
            </w:pPr>
          </w:p>
        </w:tc>
        <w:tc>
          <w:tcPr>
            <w:tcW w:w="720" w:type="dxa"/>
            <w:tcBorders>
              <w:top w:val="nil"/>
              <w:left w:val="nil"/>
              <w:bottom w:val="single" w:sz="8" w:space="0" w:color="auto"/>
              <w:right w:val="single" w:sz="4" w:space="0" w:color="auto"/>
            </w:tcBorders>
            <w:tcMar>
              <w:top w:w="15" w:type="dxa"/>
              <w:left w:w="15" w:type="dxa"/>
              <w:bottom w:w="0" w:type="dxa"/>
              <w:right w:w="15" w:type="dxa"/>
            </w:tcMar>
            <w:vAlign w:val="bottom"/>
          </w:tcPr>
          <w:p w14:paraId="7C8C4E31" w14:textId="77777777" w:rsidR="00674F3E" w:rsidRDefault="00C45190">
            <w:pPr>
              <w:adjustRightInd w:val="0"/>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p>
        </w:tc>
        <w:tc>
          <w:tcPr>
            <w:tcW w:w="1620" w:type="dxa"/>
            <w:tcBorders>
              <w:top w:val="nil"/>
              <w:left w:val="nil"/>
              <w:bottom w:val="single" w:sz="8" w:space="0" w:color="auto"/>
              <w:right w:val="single" w:sz="8" w:space="0" w:color="auto"/>
            </w:tcBorders>
            <w:tcMar>
              <w:top w:w="15" w:type="dxa"/>
              <w:left w:w="15" w:type="dxa"/>
              <w:bottom w:w="0" w:type="dxa"/>
              <w:right w:w="15" w:type="dxa"/>
            </w:tcMar>
            <w:vAlign w:val="bottom"/>
          </w:tcPr>
          <w:p w14:paraId="2DA09D5F" w14:textId="77777777" w:rsidR="00674F3E" w:rsidRDefault="00C45190">
            <w:pPr>
              <w:adjustRightInd w:val="0"/>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p>
        </w:tc>
      </w:tr>
    </w:tbl>
    <w:p w14:paraId="0025F4CF" w14:textId="77777777" w:rsidR="00674F3E" w:rsidRDefault="00674F3E">
      <w:pPr>
        <w:spacing w:line="560" w:lineRule="exact"/>
        <w:ind w:firstLine="560"/>
        <w:rPr>
          <w:rFonts w:ascii="仿宋_GB2312" w:eastAsia="仿宋_GB2312" w:hAnsi="仿宋_GB2312" w:cs="仿宋_GB2312"/>
          <w:sz w:val="28"/>
          <w:szCs w:val="28"/>
        </w:rPr>
        <w:sectPr w:rsidR="00674F3E">
          <w:footerReference w:type="even" r:id="rId8"/>
          <w:footerReference w:type="default" r:id="rId9"/>
          <w:pgSz w:w="16838" w:h="11906" w:orient="landscape"/>
          <w:pgMar w:top="1134" w:right="1440" w:bottom="1797" w:left="1440" w:header="851" w:footer="992" w:gutter="0"/>
          <w:cols w:space="425"/>
          <w:docGrid w:type="linesAndChars" w:linePitch="312"/>
        </w:sectPr>
      </w:pPr>
    </w:p>
    <w:p w14:paraId="4B2D467F" w14:textId="77777777" w:rsidR="00674F3E" w:rsidRDefault="00C45190">
      <w:pPr>
        <w:widowControl/>
        <w:spacing w:line="560" w:lineRule="exact"/>
        <w:jc w:val="left"/>
        <w:rPr>
          <w:rFonts w:ascii="仿宋_GB2312" w:eastAsia="仿宋_GB2312" w:hAnsi="仿宋_GB2312" w:cs="仿宋_GB2312"/>
          <w:bCs/>
          <w:kern w:val="0"/>
          <w:sz w:val="28"/>
          <w:szCs w:val="28"/>
        </w:rPr>
      </w:pPr>
      <w:r>
        <w:rPr>
          <w:rFonts w:ascii="仿宋_GB2312" w:eastAsia="仿宋_GB2312" w:hAnsi="仿宋_GB2312" w:cs="仿宋_GB2312" w:hint="eastAsia"/>
          <w:sz w:val="28"/>
          <w:szCs w:val="28"/>
        </w:rPr>
        <w:lastRenderedPageBreak/>
        <w:t>附件3：</w:t>
      </w:r>
    </w:p>
    <w:p w14:paraId="22F650CE" w14:textId="77777777" w:rsidR="00674F3E" w:rsidRDefault="00C45190">
      <w:pPr>
        <w:pStyle w:val="2"/>
        <w:jc w:val="center"/>
        <w:rPr>
          <w:rFonts w:ascii="仿宋_GB2312" w:eastAsia="仿宋_GB2312" w:hAnsi="仿宋_GB2312" w:cs="仿宋_GB2312" w:hint="default"/>
          <w:bCs w:val="0"/>
          <w:sz w:val="28"/>
          <w:szCs w:val="28"/>
        </w:rPr>
      </w:pPr>
      <w:bookmarkStart w:id="2" w:name="_Toc47105072"/>
      <w:r>
        <w:rPr>
          <w:rFonts w:ascii="仿宋_GB2312" w:eastAsia="仿宋_GB2312" w:hAnsi="仿宋_GB2312" w:cs="仿宋_GB2312"/>
          <w:bCs w:val="0"/>
          <w:sz w:val="28"/>
          <w:szCs w:val="28"/>
        </w:rPr>
        <w:t>现金分红网络投票要求</w:t>
      </w:r>
      <w:bookmarkEnd w:id="2"/>
    </w:p>
    <w:p w14:paraId="5E86A874" w14:textId="77777777" w:rsidR="00674F3E" w:rsidRDefault="00C45190">
      <w:pPr>
        <w:widowControl/>
        <w:spacing w:line="600" w:lineRule="exact"/>
        <w:ind w:firstLine="482"/>
        <w:jc w:val="left"/>
        <w:rPr>
          <w:rFonts w:ascii="仿宋_GB2312" w:eastAsia="仿宋_GB2312" w:hAnsi="仿宋_GB2312" w:cs="仿宋_GB2312"/>
          <w:b/>
          <w:kern w:val="0"/>
          <w:sz w:val="28"/>
          <w:szCs w:val="28"/>
          <w:shd w:val="clear" w:color="auto" w:fill="FFFFFF"/>
        </w:rPr>
      </w:pPr>
      <w:r>
        <w:rPr>
          <w:rFonts w:ascii="仿宋_GB2312" w:eastAsia="仿宋_GB2312" w:hAnsi="仿宋_GB2312" w:cs="仿宋_GB2312" w:hint="eastAsia"/>
          <w:b/>
          <w:kern w:val="0"/>
          <w:sz w:val="28"/>
          <w:szCs w:val="28"/>
          <w:shd w:val="clear" w:color="auto" w:fill="FFFFFF"/>
        </w:rPr>
        <w:t>1.网络投票分区段披露事宜</w:t>
      </w:r>
    </w:p>
    <w:p w14:paraId="6EF95E21" w14:textId="77777777" w:rsidR="00674F3E" w:rsidRDefault="00C45190">
      <w:pPr>
        <w:widowControl/>
        <w:spacing w:line="600" w:lineRule="exact"/>
        <w:ind w:firstLine="4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shd w:val="clear" w:color="auto" w:fill="FFFFFF"/>
        </w:rPr>
        <w:t>根据《上市公司自律监管指引第1号——规范运作》，上市公司在特殊情况下无法按照既定的现金分红政策或者最低现金分红比例确定当年利润分配方案的，或者年度报告期内盈利且累计未分配利润为正，未进行现金分红或者拟分配的现金红利总额与当年归属于上市公司股东的净利润之比低于30%的，将利润分配议案提交股东大会审议时，要为投资者提供网络投票的便利条件。公司在股东大会决议中要以下述表格形式披露各区段的同意、反对和弃权票数（现场投票数和网络投票数合并计算）以及占该区段出席股东大会有表决权股份总数的比例（详见下表）。</w:t>
      </w:r>
    </w:p>
    <w:tbl>
      <w:tblPr>
        <w:tblW w:w="0" w:type="auto"/>
        <w:tblInd w:w="93" w:type="dxa"/>
        <w:tblLook w:val="04A0" w:firstRow="1" w:lastRow="0" w:firstColumn="1" w:lastColumn="0" w:noHBand="0" w:noVBand="1"/>
      </w:tblPr>
      <w:tblGrid>
        <w:gridCol w:w="2774"/>
        <w:gridCol w:w="794"/>
        <w:gridCol w:w="1091"/>
        <w:gridCol w:w="794"/>
        <w:gridCol w:w="1091"/>
        <w:gridCol w:w="794"/>
        <w:gridCol w:w="1091"/>
      </w:tblGrid>
      <w:tr w:rsidR="00674F3E" w14:paraId="13E63B5E" w14:textId="77777777">
        <w:trPr>
          <w:trHeight w:val="20"/>
        </w:trPr>
        <w:tc>
          <w:tcPr>
            <w:tcW w:w="0" w:type="auto"/>
            <w:tcBorders>
              <w:top w:val="single" w:sz="8" w:space="0" w:color="auto"/>
              <w:left w:val="single" w:sz="8" w:space="0" w:color="auto"/>
              <w:bottom w:val="single" w:sz="8" w:space="0" w:color="auto"/>
              <w:right w:val="single" w:sz="8" w:space="0" w:color="auto"/>
            </w:tcBorders>
            <w:shd w:val="clear" w:color="000000" w:fill="FFFFFF"/>
            <w:vAlign w:val="center"/>
          </w:tcPr>
          <w:p w14:paraId="6F9CF8B8" w14:textId="77777777" w:rsidR="00674F3E" w:rsidRDefault="00C45190">
            <w:pPr>
              <w:widowControl/>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投票区段</w:t>
            </w:r>
          </w:p>
        </w:tc>
        <w:tc>
          <w:tcPr>
            <w:tcW w:w="0" w:type="auto"/>
            <w:tcBorders>
              <w:top w:val="single" w:sz="8" w:space="0" w:color="auto"/>
              <w:left w:val="nil"/>
              <w:bottom w:val="single" w:sz="8" w:space="0" w:color="auto"/>
              <w:right w:val="single" w:sz="8" w:space="0" w:color="auto"/>
            </w:tcBorders>
            <w:shd w:val="clear" w:color="000000" w:fill="FFFFFF"/>
            <w:vAlign w:val="center"/>
          </w:tcPr>
          <w:p w14:paraId="73FE97DD" w14:textId="77777777" w:rsidR="00674F3E" w:rsidRDefault="00C45190">
            <w:pPr>
              <w:widowControl/>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同意票数</w:t>
            </w:r>
          </w:p>
        </w:tc>
        <w:tc>
          <w:tcPr>
            <w:tcW w:w="0" w:type="auto"/>
            <w:tcBorders>
              <w:top w:val="single" w:sz="8" w:space="0" w:color="auto"/>
              <w:left w:val="nil"/>
              <w:bottom w:val="single" w:sz="8" w:space="0" w:color="auto"/>
              <w:right w:val="single" w:sz="8" w:space="0" w:color="auto"/>
            </w:tcBorders>
            <w:shd w:val="clear" w:color="000000" w:fill="FFFFFF"/>
            <w:vAlign w:val="center"/>
          </w:tcPr>
          <w:p w14:paraId="0914DE38" w14:textId="77777777" w:rsidR="00674F3E" w:rsidRDefault="00C45190">
            <w:pPr>
              <w:widowControl/>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该区段同意比例</w:t>
            </w:r>
          </w:p>
        </w:tc>
        <w:tc>
          <w:tcPr>
            <w:tcW w:w="0" w:type="auto"/>
            <w:tcBorders>
              <w:top w:val="single" w:sz="8" w:space="0" w:color="auto"/>
              <w:left w:val="nil"/>
              <w:bottom w:val="single" w:sz="8" w:space="0" w:color="auto"/>
              <w:right w:val="single" w:sz="8" w:space="0" w:color="auto"/>
            </w:tcBorders>
            <w:shd w:val="clear" w:color="000000" w:fill="FFFFFF"/>
            <w:vAlign w:val="center"/>
          </w:tcPr>
          <w:p w14:paraId="009DB13C" w14:textId="77777777" w:rsidR="00674F3E" w:rsidRDefault="00C45190">
            <w:pPr>
              <w:widowControl/>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反对票数</w:t>
            </w:r>
          </w:p>
        </w:tc>
        <w:tc>
          <w:tcPr>
            <w:tcW w:w="0" w:type="auto"/>
            <w:tcBorders>
              <w:top w:val="single" w:sz="8" w:space="0" w:color="auto"/>
              <w:left w:val="nil"/>
              <w:bottom w:val="single" w:sz="8" w:space="0" w:color="auto"/>
              <w:right w:val="single" w:sz="8" w:space="0" w:color="auto"/>
            </w:tcBorders>
            <w:shd w:val="clear" w:color="000000" w:fill="FFFFFF"/>
            <w:vAlign w:val="center"/>
          </w:tcPr>
          <w:p w14:paraId="3CA508B0" w14:textId="77777777" w:rsidR="00674F3E" w:rsidRDefault="00C45190">
            <w:pPr>
              <w:widowControl/>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该区段反对比例</w:t>
            </w:r>
          </w:p>
        </w:tc>
        <w:tc>
          <w:tcPr>
            <w:tcW w:w="0" w:type="auto"/>
            <w:tcBorders>
              <w:top w:val="single" w:sz="8" w:space="0" w:color="auto"/>
              <w:left w:val="nil"/>
              <w:bottom w:val="single" w:sz="8" w:space="0" w:color="auto"/>
              <w:right w:val="single" w:sz="8" w:space="0" w:color="auto"/>
            </w:tcBorders>
            <w:shd w:val="clear" w:color="000000" w:fill="FFFFFF"/>
            <w:vAlign w:val="center"/>
          </w:tcPr>
          <w:p w14:paraId="224B2321" w14:textId="77777777" w:rsidR="00674F3E" w:rsidRDefault="00C45190">
            <w:pPr>
              <w:widowControl/>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弃权票数</w:t>
            </w:r>
          </w:p>
        </w:tc>
        <w:tc>
          <w:tcPr>
            <w:tcW w:w="0" w:type="auto"/>
            <w:tcBorders>
              <w:top w:val="single" w:sz="8" w:space="0" w:color="auto"/>
              <w:left w:val="nil"/>
              <w:bottom w:val="single" w:sz="8" w:space="0" w:color="auto"/>
              <w:right w:val="single" w:sz="8" w:space="0" w:color="auto"/>
            </w:tcBorders>
            <w:shd w:val="clear" w:color="000000" w:fill="FFFFFF"/>
            <w:vAlign w:val="center"/>
          </w:tcPr>
          <w:p w14:paraId="378F6A1A" w14:textId="77777777" w:rsidR="00674F3E" w:rsidRDefault="00C45190">
            <w:pPr>
              <w:widowControl/>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该区段弃权比例</w:t>
            </w:r>
          </w:p>
        </w:tc>
      </w:tr>
      <w:tr w:rsidR="00674F3E" w14:paraId="308AA776" w14:textId="77777777">
        <w:trPr>
          <w:trHeight w:val="20"/>
        </w:trPr>
        <w:tc>
          <w:tcPr>
            <w:tcW w:w="0" w:type="auto"/>
            <w:tcBorders>
              <w:top w:val="nil"/>
              <w:left w:val="single" w:sz="8" w:space="0" w:color="auto"/>
              <w:bottom w:val="single" w:sz="8" w:space="0" w:color="auto"/>
              <w:right w:val="single" w:sz="8" w:space="0" w:color="auto"/>
            </w:tcBorders>
            <w:shd w:val="clear" w:color="000000" w:fill="FFFFFF"/>
            <w:vAlign w:val="center"/>
          </w:tcPr>
          <w:p w14:paraId="0280496A" w14:textId="77777777" w:rsidR="00674F3E" w:rsidRDefault="00C45190">
            <w:pPr>
              <w:widowControl/>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持股1%以下</w:t>
            </w:r>
          </w:p>
        </w:tc>
        <w:tc>
          <w:tcPr>
            <w:tcW w:w="0" w:type="auto"/>
            <w:tcBorders>
              <w:top w:val="nil"/>
              <w:left w:val="nil"/>
              <w:bottom w:val="single" w:sz="8" w:space="0" w:color="auto"/>
              <w:right w:val="single" w:sz="8" w:space="0" w:color="auto"/>
            </w:tcBorders>
            <w:shd w:val="clear" w:color="000000" w:fill="FFFFFF"/>
            <w:vAlign w:val="center"/>
          </w:tcPr>
          <w:p w14:paraId="0E8D06D5" w14:textId="77777777" w:rsidR="00674F3E" w:rsidRDefault="00674F3E">
            <w:pPr>
              <w:widowControl/>
              <w:jc w:val="left"/>
              <w:rPr>
                <w:rFonts w:ascii="仿宋_GB2312" w:eastAsia="仿宋_GB2312" w:hAnsi="仿宋_GB2312" w:cs="仿宋_GB2312"/>
                <w:kern w:val="0"/>
                <w:sz w:val="28"/>
                <w:szCs w:val="28"/>
              </w:rPr>
            </w:pPr>
          </w:p>
        </w:tc>
        <w:tc>
          <w:tcPr>
            <w:tcW w:w="0" w:type="auto"/>
            <w:tcBorders>
              <w:top w:val="nil"/>
              <w:left w:val="nil"/>
              <w:bottom w:val="single" w:sz="8" w:space="0" w:color="auto"/>
              <w:right w:val="single" w:sz="8" w:space="0" w:color="auto"/>
            </w:tcBorders>
            <w:shd w:val="clear" w:color="000000" w:fill="FFFFFF"/>
            <w:vAlign w:val="center"/>
          </w:tcPr>
          <w:p w14:paraId="534BCA02" w14:textId="77777777" w:rsidR="00674F3E" w:rsidRDefault="00674F3E">
            <w:pPr>
              <w:widowControl/>
              <w:jc w:val="left"/>
              <w:rPr>
                <w:rFonts w:ascii="仿宋_GB2312" w:eastAsia="仿宋_GB2312" w:hAnsi="仿宋_GB2312" w:cs="仿宋_GB2312"/>
                <w:kern w:val="0"/>
                <w:sz w:val="28"/>
                <w:szCs w:val="28"/>
              </w:rPr>
            </w:pPr>
          </w:p>
        </w:tc>
        <w:tc>
          <w:tcPr>
            <w:tcW w:w="0" w:type="auto"/>
            <w:tcBorders>
              <w:top w:val="nil"/>
              <w:left w:val="nil"/>
              <w:bottom w:val="single" w:sz="8" w:space="0" w:color="auto"/>
              <w:right w:val="single" w:sz="8" w:space="0" w:color="auto"/>
            </w:tcBorders>
            <w:shd w:val="clear" w:color="000000" w:fill="FFFFFF"/>
            <w:vAlign w:val="center"/>
          </w:tcPr>
          <w:p w14:paraId="1D919B26" w14:textId="77777777" w:rsidR="00674F3E" w:rsidRDefault="00674F3E">
            <w:pPr>
              <w:widowControl/>
              <w:jc w:val="left"/>
              <w:rPr>
                <w:rFonts w:ascii="仿宋_GB2312" w:eastAsia="仿宋_GB2312" w:hAnsi="仿宋_GB2312" w:cs="仿宋_GB2312"/>
                <w:kern w:val="0"/>
                <w:sz w:val="28"/>
                <w:szCs w:val="28"/>
              </w:rPr>
            </w:pPr>
          </w:p>
        </w:tc>
        <w:tc>
          <w:tcPr>
            <w:tcW w:w="0" w:type="auto"/>
            <w:tcBorders>
              <w:top w:val="nil"/>
              <w:left w:val="nil"/>
              <w:bottom w:val="single" w:sz="8" w:space="0" w:color="auto"/>
              <w:right w:val="single" w:sz="8" w:space="0" w:color="auto"/>
            </w:tcBorders>
            <w:shd w:val="clear" w:color="000000" w:fill="FFFFFF"/>
            <w:vAlign w:val="center"/>
          </w:tcPr>
          <w:p w14:paraId="75F9D446" w14:textId="77777777" w:rsidR="00674F3E" w:rsidRDefault="00674F3E">
            <w:pPr>
              <w:widowControl/>
              <w:jc w:val="left"/>
              <w:rPr>
                <w:rFonts w:ascii="仿宋_GB2312" w:eastAsia="仿宋_GB2312" w:hAnsi="仿宋_GB2312" w:cs="仿宋_GB2312"/>
                <w:kern w:val="0"/>
                <w:sz w:val="28"/>
                <w:szCs w:val="28"/>
              </w:rPr>
            </w:pPr>
          </w:p>
        </w:tc>
        <w:tc>
          <w:tcPr>
            <w:tcW w:w="0" w:type="auto"/>
            <w:tcBorders>
              <w:top w:val="nil"/>
              <w:left w:val="nil"/>
              <w:bottom w:val="single" w:sz="8" w:space="0" w:color="auto"/>
              <w:right w:val="single" w:sz="8" w:space="0" w:color="auto"/>
            </w:tcBorders>
            <w:shd w:val="clear" w:color="000000" w:fill="FFFFFF"/>
            <w:vAlign w:val="center"/>
          </w:tcPr>
          <w:p w14:paraId="0C51689C" w14:textId="77777777" w:rsidR="00674F3E" w:rsidRDefault="00674F3E">
            <w:pPr>
              <w:widowControl/>
              <w:jc w:val="left"/>
              <w:rPr>
                <w:rFonts w:ascii="仿宋_GB2312" w:eastAsia="仿宋_GB2312" w:hAnsi="仿宋_GB2312" w:cs="仿宋_GB2312"/>
                <w:kern w:val="0"/>
                <w:sz w:val="28"/>
                <w:szCs w:val="28"/>
              </w:rPr>
            </w:pPr>
          </w:p>
        </w:tc>
        <w:tc>
          <w:tcPr>
            <w:tcW w:w="0" w:type="auto"/>
            <w:tcBorders>
              <w:top w:val="nil"/>
              <w:left w:val="nil"/>
              <w:bottom w:val="single" w:sz="8" w:space="0" w:color="auto"/>
              <w:right w:val="single" w:sz="8" w:space="0" w:color="auto"/>
            </w:tcBorders>
            <w:shd w:val="clear" w:color="000000" w:fill="FFFFFF"/>
            <w:vAlign w:val="center"/>
          </w:tcPr>
          <w:p w14:paraId="2A26E0CB" w14:textId="77777777" w:rsidR="00674F3E" w:rsidRDefault="00674F3E">
            <w:pPr>
              <w:widowControl/>
              <w:jc w:val="left"/>
              <w:rPr>
                <w:rFonts w:ascii="仿宋_GB2312" w:eastAsia="仿宋_GB2312" w:hAnsi="仿宋_GB2312" w:cs="仿宋_GB2312"/>
                <w:kern w:val="0"/>
                <w:sz w:val="28"/>
                <w:szCs w:val="28"/>
              </w:rPr>
            </w:pPr>
          </w:p>
        </w:tc>
      </w:tr>
      <w:tr w:rsidR="00674F3E" w14:paraId="0D2BE8B6" w14:textId="77777777">
        <w:trPr>
          <w:trHeight w:val="20"/>
        </w:trPr>
        <w:tc>
          <w:tcPr>
            <w:tcW w:w="0" w:type="auto"/>
            <w:tcBorders>
              <w:top w:val="nil"/>
              <w:left w:val="single" w:sz="8" w:space="0" w:color="auto"/>
              <w:bottom w:val="single" w:sz="8" w:space="0" w:color="auto"/>
              <w:right w:val="single" w:sz="8" w:space="0" w:color="auto"/>
            </w:tcBorders>
            <w:shd w:val="clear" w:color="000000" w:fill="FFFFFF"/>
            <w:vAlign w:val="center"/>
          </w:tcPr>
          <w:p w14:paraId="524719EE" w14:textId="77777777" w:rsidR="00674F3E" w:rsidRDefault="00C45190">
            <w:pPr>
              <w:widowControl/>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持股1%以下且持股市值50万元以上（含50万）</w:t>
            </w:r>
          </w:p>
        </w:tc>
        <w:tc>
          <w:tcPr>
            <w:tcW w:w="0" w:type="auto"/>
            <w:tcBorders>
              <w:top w:val="nil"/>
              <w:left w:val="nil"/>
              <w:bottom w:val="single" w:sz="8" w:space="0" w:color="auto"/>
              <w:right w:val="single" w:sz="8" w:space="0" w:color="auto"/>
            </w:tcBorders>
            <w:shd w:val="clear" w:color="000000" w:fill="FFFFFF"/>
            <w:vAlign w:val="center"/>
          </w:tcPr>
          <w:p w14:paraId="0CBAA4EB" w14:textId="77777777" w:rsidR="00674F3E" w:rsidRDefault="00674F3E">
            <w:pPr>
              <w:widowControl/>
              <w:jc w:val="left"/>
              <w:rPr>
                <w:rFonts w:ascii="仿宋_GB2312" w:eastAsia="仿宋_GB2312" w:hAnsi="仿宋_GB2312" w:cs="仿宋_GB2312"/>
                <w:kern w:val="0"/>
                <w:sz w:val="28"/>
                <w:szCs w:val="28"/>
              </w:rPr>
            </w:pPr>
          </w:p>
        </w:tc>
        <w:tc>
          <w:tcPr>
            <w:tcW w:w="0" w:type="auto"/>
            <w:tcBorders>
              <w:top w:val="nil"/>
              <w:left w:val="nil"/>
              <w:bottom w:val="single" w:sz="8" w:space="0" w:color="auto"/>
              <w:right w:val="single" w:sz="8" w:space="0" w:color="auto"/>
            </w:tcBorders>
            <w:shd w:val="clear" w:color="000000" w:fill="FFFFFF"/>
            <w:vAlign w:val="center"/>
          </w:tcPr>
          <w:p w14:paraId="6F557C99" w14:textId="77777777" w:rsidR="00674F3E" w:rsidRDefault="00674F3E">
            <w:pPr>
              <w:widowControl/>
              <w:jc w:val="left"/>
              <w:rPr>
                <w:rFonts w:ascii="仿宋_GB2312" w:eastAsia="仿宋_GB2312" w:hAnsi="仿宋_GB2312" w:cs="仿宋_GB2312"/>
                <w:kern w:val="0"/>
                <w:sz w:val="28"/>
                <w:szCs w:val="28"/>
              </w:rPr>
            </w:pPr>
          </w:p>
        </w:tc>
        <w:tc>
          <w:tcPr>
            <w:tcW w:w="0" w:type="auto"/>
            <w:tcBorders>
              <w:top w:val="nil"/>
              <w:left w:val="nil"/>
              <w:bottom w:val="single" w:sz="8" w:space="0" w:color="auto"/>
              <w:right w:val="single" w:sz="8" w:space="0" w:color="auto"/>
            </w:tcBorders>
            <w:shd w:val="clear" w:color="000000" w:fill="FFFFFF"/>
            <w:vAlign w:val="center"/>
          </w:tcPr>
          <w:p w14:paraId="3D99E062" w14:textId="77777777" w:rsidR="00674F3E" w:rsidRDefault="00674F3E">
            <w:pPr>
              <w:widowControl/>
              <w:jc w:val="left"/>
              <w:rPr>
                <w:rFonts w:ascii="仿宋_GB2312" w:eastAsia="仿宋_GB2312" w:hAnsi="仿宋_GB2312" w:cs="仿宋_GB2312"/>
                <w:kern w:val="0"/>
                <w:sz w:val="28"/>
                <w:szCs w:val="28"/>
              </w:rPr>
            </w:pPr>
          </w:p>
        </w:tc>
        <w:tc>
          <w:tcPr>
            <w:tcW w:w="0" w:type="auto"/>
            <w:tcBorders>
              <w:top w:val="nil"/>
              <w:left w:val="nil"/>
              <w:bottom w:val="single" w:sz="8" w:space="0" w:color="auto"/>
              <w:right w:val="single" w:sz="8" w:space="0" w:color="auto"/>
            </w:tcBorders>
            <w:shd w:val="clear" w:color="000000" w:fill="FFFFFF"/>
            <w:vAlign w:val="center"/>
          </w:tcPr>
          <w:p w14:paraId="5341F188" w14:textId="77777777" w:rsidR="00674F3E" w:rsidRDefault="00674F3E">
            <w:pPr>
              <w:widowControl/>
              <w:jc w:val="left"/>
              <w:rPr>
                <w:rFonts w:ascii="仿宋_GB2312" w:eastAsia="仿宋_GB2312" w:hAnsi="仿宋_GB2312" w:cs="仿宋_GB2312"/>
                <w:kern w:val="0"/>
                <w:sz w:val="28"/>
                <w:szCs w:val="28"/>
              </w:rPr>
            </w:pPr>
          </w:p>
        </w:tc>
        <w:tc>
          <w:tcPr>
            <w:tcW w:w="0" w:type="auto"/>
            <w:tcBorders>
              <w:top w:val="nil"/>
              <w:left w:val="nil"/>
              <w:bottom w:val="single" w:sz="8" w:space="0" w:color="auto"/>
              <w:right w:val="single" w:sz="8" w:space="0" w:color="auto"/>
            </w:tcBorders>
            <w:shd w:val="clear" w:color="000000" w:fill="FFFFFF"/>
            <w:vAlign w:val="center"/>
          </w:tcPr>
          <w:p w14:paraId="23DBD7C2" w14:textId="77777777" w:rsidR="00674F3E" w:rsidRDefault="00674F3E">
            <w:pPr>
              <w:widowControl/>
              <w:jc w:val="left"/>
              <w:rPr>
                <w:rFonts w:ascii="仿宋_GB2312" w:eastAsia="仿宋_GB2312" w:hAnsi="仿宋_GB2312" w:cs="仿宋_GB2312"/>
                <w:kern w:val="0"/>
                <w:sz w:val="28"/>
                <w:szCs w:val="28"/>
              </w:rPr>
            </w:pPr>
          </w:p>
        </w:tc>
        <w:tc>
          <w:tcPr>
            <w:tcW w:w="0" w:type="auto"/>
            <w:tcBorders>
              <w:top w:val="nil"/>
              <w:left w:val="nil"/>
              <w:bottom w:val="single" w:sz="8" w:space="0" w:color="auto"/>
              <w:right w:val="single" w:sz="8" w:space="0" w:color="auto"/>
            </w:tcBorders>
            <w:shd w:val="clear" w:color="000000" w:fill="FFFFFF"/>
            <w:vAlign w:val="center"/>
          </w:tcPr>
          <w:p w14:paraId="43F0EFCA" w14:textId="77777777" w:rsidR="00674F3E" w:rsidRDefault="00674F3E">
            <w:pPr>
              <w:widowControl/>
              <w:jc w:val="left"/>
              <w:rPr>
                <w:rFonts w:ascii="仿宋_GB2312" w:eastAsia="仿宋_GB2312" w:hAnsi="仿宋_GB2312" w:cs="仿宋_GB2312"/>
                <w:kern w:val="0"/>
                <w:sz w:val="28"/>
                <w:szCs w:val="28"/>
              </w:rPr>
            </w:pPr>
          </w:p>
        </w:tc>
      </w:tr>
      <w:tr w:rsidR="00674F3E" w14:paraId="53824020" w14:textId="77777777">
        <w:trPr>
          <w:trHeight w:val="20"/>
        </w:trPr>
        <w:tc>
          <w:tcPr>
            <w:tcW w:w="0" w:type="auto"/>
            <w:tcBorders>
              <w:top w:val="nil"/>
              <w:left w:val="single" w:sz="8" w:space="0" w:color="auto"/>
              <w:bottom w:val="single" w:sz="8" w:space="0" w:color="auto"/>
              <w:right w:val="single" w:sz="8" w:space="0" w:color="auto"/>
            </w:tcBorders>
            <w:shd w:val="clear" w:color="000000" w:fill="FFFFFF"/>
            <w:vAlign w:val="center"/>
          </w:tcPr>
          <w:p w14:paraId="688B36CD" w14:textId="77777777" w:rsidR="00674F3E" w:rsidRDefault="00C45190">
            <w:pPr>
              <w:widowControl/>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持股1%以下且持股市值50万元以下</w:t>
            </w:r>
          </w:p>
        </w:tc>
        <w:tc>
          <w:tcPr>
            <w:tcW w:w="0" w:type="auto"/>
            <w:tcBorders>
              <w:top w:val="nil"/>
              <w:left w:val="nil"/>
              <w:bottom w:val="single" w:sz="8" w:space="0" w:color="auto"/>
              <w:right w:val="single" w:sz="8" w:space="0" w:color="auto"/>
            </w:tcBorders>
            <w:shd w:val="clear" w:color="000000" w:fill="FFFFFF"/>
            <w:vAlign w:val="center"/>
          </w:tcPr>
          <w:p w14:paraId="3FC24884" w14:textId="77777777" w:rsidR="00674F3E" w:rsidRDefault="00674F3E">
            <w:pPr>
              <w:widowControl/>
              <w:jc w:val="left"/>
              <w:rPr>
                <w:rFonts w:ascii="仿宋_GB2312" w:eastAsia="仿宋_GB2312" w:hAnsi="仿宋_GB2312" w:cs="仿宋_GB2312"/>
                <w:kern w:val="0"/>
                <w:sz w:val="28"/>
                <w:szCs w:val="28"/>
              </w:rPr>
            </w:pPr>
          </w:p>
        </w:tc>
        <w:tc>
          <w:tcPr>
            <w:tcW w:w="0" w:type="auto"/>
            <w:tcBorders>
              <w:top w:val="nil"/>
              <w:left w:val="nil"/>
              <w:bottom w:val="single" w:sz="8" w:space="0" w:color="auto"/>
              <w:right w:val="single" w:sz="8" w:space="0" w:color="auto"/>
            </w:tcBorders>
            <w:shd w:val="clear" w:color="000000" w:fill="FFFFFF"/>
            <w:vAlign w:val="center"/>
          </w:tcPr>
          <w:p w14:paraId="1B64B4F7" w14:textId="77777777" w:rsidR="00674F3E" w:rsidRDefault="00674F3E">
            <w:pPr>
              <w:widowControl/>
              <w:jc w:val="left"/>
              <w:rPr>
                <w:rFonts w:ascii="仿宋_GB2312" w:eastAsia="仿宋_GB2312" w:hAnsi="仿宋_GB2312" w:cs="仿宋_GB2312"/>
                <w:kern w:val="0"/>
                <w:sz w:val="28"/>
                <w:szCs w:val="28"/>
              </w:rPr>
            </w:pPr>
          </w:p>
        </w:tc>
        <w:tc>
          <w:tcPr>
            <w:tcW w:w="0" w:type="auto"/>
            <w:tcBorders>
              <w:top w:val="nil"/>
              <w:left w:val="nil"/>
              <w:bottom w:val="single" w:sz="8" w:space="0" w:color="auto"/>
              <w:right w:val="single" w:sz="8" w:space="0" w:color="auto"/>
            </w:tcBorders>
            <w:shd w:val="clear" w:color="000000" w:fill="FFFFFF"/>
            <w:vAlign w:val="center"/>
          </w:tcPr>
          <w:p w14:paraId="017F2660" w14:textId="77777777" w:rsidR="00674F3E" w:rsidRDefault="00674F3E">
            <w:pPr>
              <w:widowControl/>
              <w:jc w:val="left"/>
              <w:rPr>
                <w:rFonts w:ascii="仿宋_GB2312" w:eastAsia="仿宋_GB2312" w:hAnsi="仿宋_GB2312" w:cs="仿宋_GB2312"/>
                <w:kern w:val="0"/>
                <w:sz w:val="28"/>
                <w:szCs w:val="28"/>
              </w:rPr>
            </w:pPr>
          </w:p>
        </w:tc>
        <w:tc>
          <w:tcPr>
            <w:tcW w:w="0" w:type="auto"/>
            <w:tcBorders>
              <w:top w:val="nil"/>
              <w:left w:val="nil"/>
              <w:bottom w:val="single" w:sz="8" w:space="0" w:color="auto"/>
              <w:right w:val="single" w:sz="8" w:space="0" w:color="auto"/>
            </w:tcBorders>
            <w:shd w:val="clear" w:color="000000" w:fill="FFFFFF"/>
            <w:vAlign w:val="center"/>
          </w:tcPr>
          <w:p w14:paraId="05EFDEA9" w14:textId="77777777" w:rsidR="00674F3E" w:rsidRDefault="00674F3E">
            <w:pPr>
              <w:widowControl/>
              <w:jc w:val="left"/>
              <w:rPr>
                <w:rFonts w:ascii="仿宋_GB2312" w:eastAsia="仿宋_GB2312" w:hAnsi="仿宋_GB2312" w:cs="仿宋_GB2312"/>
                <w:kern w:val="0"/>
                <w:sz w:val="28"/>
                <w:szCs w:val="28"/>
              </w:rPr>
            </w:pPr>
          </w:p>
        </w:tc>
        <w:tc>
          <w:tcPr>
            <w:tcW w:w="0" w:type="auto"/>
            <w:tcBorders>
              <w:top w:val="nil"/>
              <w:left w:val="nil"/>
              <w:bottom w:val="single" w:sz="8" w:space="0" w:color="auto"/>
              <w:right w:val="single" w:sz="8" w:space="0" w:color="auto"/>
            </w:tcBorders>
            <w:shd w:val="clear" w:color="000000" w:fill="FFFFFF"/>
            <w:vAlign w:val="center"/>
          </w:tcPr>
          <w:p w14:paraId="5E3DAC32" w14:textId="77777777" w:rsidR="00674F3E" w:rsidRDefault="00674F3E">
            <w:pPr>
              <w:widowControl/>
              <w:jc w:val="left"/>
              <w:rPr>
                <w:rFonts w:ascii="仿宋_GB2312" w:eastAsia="仿宋_GB2312" w:hAnsi="仿宋_GB2312" w:cs="仿宋_GB2312"/>
                <w:kern w:val="0"/>
                <w:sz w:val="28"/>
                <w:szCs w:val="28"/>
              </w:rPr>
            </w:pPr>
          </w:p>
        </w:tc>
        <w:tc>
          <w:tcPr>
            <w:tcW w:w="0" w:type="auto"/>
            <w:tcBorders>
              <w:top w:val="nil"/>
              <w:left w:val="nil"/>
              <w:bottom w:val="single" w:sz="8" w:space="0" w:color="auto"/>
              <w:right w:val="single" w:sz="8" w:space="0" w:color="auto"/>
            </w:tcBorders>
            <w:shd w:val="clear" w:color="000000" w:fill="FFFFFF"/>
            <w:vAlign w:val="center"/>
          </w:tcPr>
          <w:p w14:paraId="7F03E557" w14:textId="77777777" w:rsidR="00674F3E" w:rsidRDefault="00674F3E">
            <w:pPr>
              <w:widowControl/>
              <w:jc w:val="left"/>
              <w:rPr>
                <w:rFonts w:ascii="仿宋_GB2312" w:eastAsia="仿宋_GB2312" w:hAnsi="仿宋_GB2312" w:cs="仿宋_GB2312"/>
                <w:kern w:val="0"/>
                <w:sz w:val="28"/>
                <w:szCs w:val="28"/>
              </w:rPr>
            </w:pPr>
          </w:p>
        </w:tc>
      </w:tr>
      <w:tr w:rsidR="00674F3E" w14:paraId="2F703DD8" w14:textId="77777777">
        <w:trPr>
          <w:trHeight w:val="20"/>
        </w:trPr>
        <w:tc>
          <w:tcPr>
            <w:tcW w:w="0" w:type="auto"/>
            <w:tcBorders>
              <w:top w:val="nil"/>
              <w:left w:val="single" w:sz="8" w:space="0" w:color="auto"/>
              <w:bottom w:val="single" w:sz="8" w:space="0" w:color="auto"/>
              <w:right w:val="single" w:sz="8" w:space="0" w:color="auto"/>
            </w:tcBorders>
            <w:shd w:val="clear" w:color="000000" w:fill="FFFFFF"/>
            <w:vAlign w:val="center"/>
          </w:tcPr>
          <w:p w14:paraId="46E2FFD7" w14:textId="77777777" w:rsidR="00674F3E" w:rsidRDefault="00C45190">
            <w:pPr>
              <w:widowControl/>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lastRenderedPageBreak/>
              <w:t>持股1%-5%（含1%）</w:t>
            </w:r>
          </w:p>
        </w:tc>
        <w:tc>
          <w:tcPr>
            <w:tcW w:w="0" w:type="auto"/>
            <w:tcBorders>
              <w:top w:val="nil"/>
              <w:left w:val="nil"/>
              <w:bottom w:val="single" w:sz="8" w:space="0" w:color="auto"/>
              <w:right w:val="single" w:sz="8" w:space="0" w:color="auto"/>
            </w:tcBorders>
            <w:shd w:val="clear" w:color="000000" w:fill="FFFFFF"/>
            <w:vAlign w:val="center"/>
          </w:tcPr>
          <w:p w14:paraId="0D7DAA62" w14:textId="77777777" w:rsidR="00674F3E" w:rsidRDefault="00674F3E">
            <w:pPr>
              <w:widowControl/>
              <w:jc w:val="left"/>
              <w:rPr>
                <w:rFonts w:ascii="仿宋_GB2312" w:eastAsia="仿宋_GB2312" w:hAnsi="仿宋_GB2312" w:cs="仿宋_GB2312"/>
                <w:kern w:val="0"/>
                <w:sz w:val="28"/>
                <w:szCs w:val="28"/>
              </w:rPr>
            </w:pPr>
          </w:p>
        </w:tc>
        <w:tc>
          <w:tcPr>
            <w:tcW w:w="0" w:type="auto"/>
            <w:tcBorders>
              <w:top w:val="nil"/>
              <w:left w:val="nil"/>
              <w:bottom w:val="single" w:sz="8" w:space="0" w:color="auto"/>
              <w:right w:val="single" w:sz="8" w:space="0" w:color="auto"/>
            </w:tcBorders>
            <w:shd w:val="clear" w:color="000000" w:fill="FFFFFF"/>
            <w:vAlign w:val="center"/>
          </w:tcPr>
          <w:p w14:paraId="28FE2BD3" w14:textId="77777777" w:rsidR="00674F3E" w:rsidRDefault="00674F3E">
            <w:pPr>
              <w:widowControl/>
              <w:jc w:val="left"/>
              <w:rPr>
                <w:rFonts w:ascii="仿宋_GB2312" w:eastAsia="仿宋_GB2312" w:hAnsi="仿宋_GB2312" w:cs="仿宋_GB2312"/>
                <w:kern w:val="0"/>
                <w:sz w:val="28"/>
                <w:szCs w:val="28"/>
              </w:rPr>
            </w:pPr>
          </w:p>
        </w:tc>
        <w:tc>
          <w:tcPr>
            <w:tcW w:w="0" w:type="auto"/>
            <w:tcBorders>
              <w:top w:val="nil"/>
              <w:left w:val="nil"/>
              <w:bottom w:val="single" w:sz="8" w:space="0" w:color="auto"/>
              <w:right w:val="single" w:sz="8" w:space="0" w:color="auto"/>
            </w:tcBorders>
            <w:shd w:val="clear" w:color="000000" w:fill="FFFFFF"/>
            <w:vAlign w:val="center"/>
          </w:tcPr>
          <w:p w14:paraId="39E3F64D" w14:textId="77777777" w:rsidR="00674F3E" w:rsidRDefault="00674F3E">
            <w:pPr>
              <w:widowControl/>
              <w:jc w:val="left"/>
              <w:rPr>
                <w:rFonts w:ascii="仿宋_GB2312" w:eastAsia="仿宋_GB2312" w:hAnsi="仿宋_GB2312" w:cs="仿宋_GB2312"/>
                <w:kern w:val="0"/>
                <w:sz w:val="28"/>
                <w:szCs w:val="28"/>
              </w:rPr>
            </w:pPr>
          </w:p>
        </w:tc>
        <w:tc>
          <w:tcPr>
            <w:tcW w:w="0" w:type="auto"/>
            <w:tcBorders>
              <w:top w:val="nil"/>
              <w:left w:val="nil"/>
              <w:bottom w:val="single" w:sz="8" w:space="0" w:color="auto"/>
              <w:right w:val="single" w:sz="8" w:space="0" w:color="auto"/>
            </w:tcBorders>
            <w:shd w:val="clear" w:color="000000" w:fill="FFFFFF"/>
            <w:vAlign w:val="center"/>
          </w:tcPr>
          <w:p w14:paraId="796CA7BC" w14:textId="77777777" w:rsidR="00674F3E" w:rsidRDefault="00674F3E">
            <w:pPr>
              <w:widowControl/>
              <w:jc w:val="left"/>
              <w:rPr>
                <w:rFonts w:ascii="仿宋_GB2312" w:eastAsia="仿宋_GB2312" w:hAnsi="仿宋_GB2312" w:cs="仿宋_GB2312"/>
                <w:kern w:val="0"/>
                <w:sz w:val="28"/>
                <w:szCs w:val="28"/>
              </w:rPr>
            </w:pPr>
          </w:p>
        </w:tc>
        <w:tc>
          <w:tcPr>
            <w:tcW w:w="0" w:type="auto"/>
            <w:tcBorders>
              <w:top w:val="nil"/>
              <w:left w:val="nil"/>
              <w:bottom w:val="single" w:sz="8" w:space="0" w:color="auto"/>
              <w:right w:val="single" w:sz="8" w:space="0" w:color="auto"/>
            </w:tcBorders>
            <w:shd w:val="clear" w:color="000000" w:fill="FFFFFF"/>
            <w:vAlign w:val="center"/>
          </w:tcPr>
          <w:p w14:paraId="586BC73D" w14:textId="77777777" w:rsidR="00674F3E" w:rsidRDefault="00674F3E">
            <w:pPr>
              <w:widowControl/>
              <w:jc w:val="left"/>
              <w:rPr>
                <w:rFonts w:ascii="仿宋_GB2312" w:eastAsia="仿宋_GB2312" w:hAnsi="仿宋_GB2312" w:cs="仿宋_GB2312"/>
                <w:kern w:val="0"/>
                <w:sz w:val="28"/>
                <w:szCs w:val="28"/>
              </w:rPr>
            </w:pPr>
          </w:p>
        </w:tc>
        <w:tc>
          <w:tcPr>
            <w:tcW w:w="0" w:type="auto"/>
            <w:tcBorders>
              <w:top w:val="nil"/>
              <w:left w:val="nil"/>
              <w:bottom w:val="single" w:sz="8" w:space="0" w:color="auto"/>
              <w:right w:val="single" w:sz="8" w:space="0" w:color="auto"/>
            </w:tcBorders>
            <w:shd w:val="clear" w:color="000000" w:fill="FFFFFF"/>
            <w:vAlign w:val="center"/>
          </w:tcPr>
          <w:p w14:paraId="39C75763" w14:textId="77777777" w:rsidR="00674F3E" w:rsidRDefault="00674F3E">
            <w:pPr>
              <w:widowControl/>
              <w:jc w:val="left"/>
              <w:rPr>
                <w:rFonts w:ascii="仿宋_GB2312" w:eastAsia="仿宋_GB2312" w:hAnsi="仿宋_GB2312" w:cs="仿宋_GB2312"/>
                <w:kern w:val="0"/>
                <w:sz w:val="28"/>
                <w:szCs w:val="28"/>
              </w:rPr>
            </w:pPr>
          </w:p>
        </w:tc>
      </w:tr>
      <w:tr w:rsidR="00674F3E" w14:paraId="49DCD817" w14:textId="77777777">
        <w:trPr>
          <w:trHeight w:val="20"/>
        </w:trPr>
        <w:tc>
          <w:tcPr>
            <w:tcW w:w="0" w:type="auto"/>
            <w:tcBorders>
              <w:top w:val="nil"/>
              <w:left w:val="single" w:sz="8" w:space="0" w:color="auto"/>
              <w:bottom w:val="single" w:sz="8" w:space="0" w:color="auto"/>
              <w:right w:val="single" w:sz="8" w:space="0" w:color="auto"/>
            </w:tcBorders>
            <w:shd w:val="clear" w:color="000000" w:fill="FFFFFF"/>
            <w:vAlign w:val="center"/>
          </w:tcPr>
          <w:p w14:paraId="000148E3" w14:textId="77777777" w:rsidR="00674F3E" w:rsidRDefault="00C45190">
            <w:pPr>
              <w:widowControl/>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持股5%以上（含5%）</w:t>
            </w:r>
          </w:p>
        </w:tc>
        <w:tc>
          <w:tcPr>
            <w:tcW w:w="0" w:type="auto"/>
            <w:tcBorders>
              <w:top w:val="nil"/>
              <w:left w:val="nil"/>
              <w:bottom w:val="single" w:sz="8" w:space="0" w:color="auto"/>
              <w:right w:val="single" w:sz="8" w:space="0" w:color="auto"/>
            </w:tcBorders>
            <w:shd w:val="clear" w:color="000000" w:fill="FFFFFF"/>
            <w:vAlign w:val="center"/>
          </w:tcPr>
          <w:p w14:paraId="4C55CF88" w14:textId="77777777" w:rsidR="00674F3E" w:rsidRDefault="00674F3E">
            <w:pPr>
              <w:widowControl/>
              <w:jc w:val="left"/>
              <w:rPr>
                <w:rFonts w:ascii="仿宋_GB2312" w:eastAsia="仿宋_GB2312" w:hAnsi="仿宋_GB2312" w:cs="仿宋_GB2312"/>
                <w:kern w:val="0"/>
                <w:sz w:val="28"/>
                <w:szCs w:val="28"/>
              </w:rPr>
            </w:pPr>
          </w:p>
        </w:tc>
        <w:tc>
          <w:tcPr>
            <w:tcW w:w="0" w:type="auto"/>
            <w:tcBorders>
              <w:top w:val="nil"/>
              <w:left w:val="nil"/>
              <w:bottom w:val="single" w:sz="8" w:space="0" w:color="auto"/>
              <w:right w:val="single" w:sz="8" w:space="0" w:color="auto"/>
            </w:tcBorders>
            <w:shd w:val="clear" w:color="000000" w:fill="FFFFFF"/>
            <w:vAlign w:val="center"/>
          </w:tcPr>
          <w:p w14:paraId="13076E8D" w14:textId="77777777" w:rsidR="00674F3E" w:rsidRDefault="00674F3E">
            <w:pPr>
              <w:widowControl/>
              <w:jc w:val="left"/>
              <w:rPr>
                <w:rFonts w:ascii="仿宋_GB2312" w:eastAsia="仿宋_GB2312" w:hAnsi="仿宋_GB2312" w:cs="仿宋_GB2312"/>
                <w:kern w:val="0"/>
                <w:sz w:val="28"/>
                <w:szCs w:val="28"/>
              </w:rPr>
            </w:pPr>
          </w:p>
        </w:tc>
        <w:tc>
          <w:tcPr>
            <w:tcW w:w="0" w:type="auto"/>
            <w:tcBorders>
              <w:top w:val="nil"/>
              <w:left w:val="nil"/>
              <w:bottom w:val="single" w:sz="8" w:space="0" w:color="auto"/>
              <w:right w:val="single" w:sz="8" w:space="0" w:color="auto"/>
            </w:tcBorders>
            <w:shd w:val="clear" w:color="000000" w:fill="FFFFFF"/>
            <w:vAlign w:val="center"/>
          </w:tcPr>
          <w:p w14:paraId="1F28C5E8" w14:textId="77777777" w:rsidR="00674F3E" w:rsidRDefault="00674F3E">
            <w:pPr>
              <w:widowControl/>
              <w:jc w:val="left"/>
              <w:rPr>
                <w:rFonts w:ascii="仿宋_GB2312" w:eastAsia="仿宋_GB2312" w:hAnsi="仿宋_GB2312" w:cs="仿宋_GB2312"/>
                <w:kern w:val="0"/>
                <w:sz w:val="28"/>
                <w:szCs w:val="28"/>
              </w:rPr>
            </w:pPr>
          </w:p>
        </w:tc>
        <w:tc>
          <w:tcPr>
            <w:tcW w:w="0" w:type="auto"/>
            <w:tcBorders>
              <w:top w:val="nil"/>
              <w:left w:val="nil"/>
              <w:bottom w:val="single" w:sz="8" w:space="0" w:color="auto"/>
              <w:right w:val="single" w:sz="8" w:space="0" w:color="auto"/>
            </w:tcBorders>
            <w:shd w:val="clear" w:color="000000" w:fill="FFFFFF"/>
            <w:vAlign w:val="center"/>
          </w:tcPr>
          <w:p w14:paraId="7A3D0EF9" w14:textId="77777777" w:rsidR="00674F3E" w:rsidRDefault="00674F3E">
            <w:pPr>
              <w:widowControl/>
              <w:jc w:val="left"/>
              <w:rPr>
                <w:rFonts w:ascii="仿宋_GB2312" w:eastAsia="仿宋_GB2312" w:hAnsi="仿宋_GB2312" w:cs="仿宋_GB2312"/>
                <w:kern w:val="0"/>
                <w:sz w:val="28"/>
                <w:szCs w:val="28"/>
              </w:rPr>
            </w:pPr>
          </w:p>
        </w:tc>
        <w:tc>
          <w:tcPr>
            <w:tcW w:w="0" w:type="auto"/>
            <w:tcBorders>
              <w:top w:val="nil"/>
              <w:left w:val="nil"/>
              <w:bottom w:val="single" w:sz="8" w:space="0" w:color="auto"/>
              <w:right w:val="single" w:sz="8" w:space="0" w:color="auto"/>
            </w:tcBorders>
            <w:shd w:val="clear" w:color="000000" w:fill="FFFFFF"/>
            <w:vAlign w:val="center"/>
          </w:tcPr>
          <w:p w14:paraId="1374616B" w14:textId="77777777" w:rsidR="00674F3E" w:rsidRDefault="00674F3E">
            <w:pPr>
              <w:widowControl/>
              <w:jc w:val="left"/>
              <w:rPr>
                <w:rFonts w:ascii="仿宋_GB2312" w:eastAsia="仿宋_GB2312" w:hAnsi="仿宋_GB2312" w:cs="仿宋_GB2312"/>
                <w:kern w:val="0"/>
                <w:sz w:val="28"/>
                <w:szCs w:val="28"/>
              </w:rPr>
            </w:pPr>
          </w:p>
        </w:tc>
        <w:tc>
          <w:tcPr>
            <w:tcW w:w="0" w:type="auto"/>
            <w:tcBorders>
              <w:top w:val="nil"/>
              <w:left w:val="nil"/>
              <w:bottom w:val="single" w:sz="8" w:space="0" w:color="auto"/>
              <w:right w:val="single" w:sz="8" w:space="0" w:color="auto"/>
            </w:tcBorders>
            <w:shd w:val="clear" w:color="000000" w:fill="FFFFFF"/>
            <w:vAlign w:val="center"/>
          </w:tcPr>
          <w:p w14:paraId="72C9FC31" w14:textId="77777777" w:rsidR="00674F3E" w:rsidRDefault="00674F3E">
            <w:pPr>
              <w:widowControl/>
              <w:jc w:val="left"/>
              <w:rPr>
                <w:rFonts w:ascii="仿宋_GB2312" w:eastAsia="仿宋_GB2312" w:hAnsi="仿宋_GB2312" w:cs="仿宋_GB2312"/>
                <w:kern w:val="0"/>
                <w:sz w:val="28"/>
                <w:szCs w:val="28"/>
              </w:rPr>
            </w:pPr>
          </w:p>
        </w:tc>
      </w:tr>
    </w:tbl>
    <w:p w14:paraId="385AC099" w14:textId="77777777" w:rsidR="00674F3E" w:rsidRDefault="00C45190">
      <w:pPr>
        <w:spacing w:line="600" w:lineRule="exact"/>
        <w:ind w:firstLine="480"/>
        <w:rPr>
          <w:rFonts w:ascii="仿宋_GB2312" w:eastAsia="仿宋_GB2312" w:hAnsi="仿宋_GB2312" w:cs="仿宋_GB2312"/>
          <w:kern w:val="0"/>
          <w:sz w:val="28"/>
          <w:szCs w:val="28"/>
          <w:shd w:val="clear" w:color="auto" w:fill="FFFFFF"/>
        </w:rPr>
      </w:pPr>
      <w:r>
        <w:rPr>
          <w:rFonts w:ascii="仿宋_GB2312" w:eastAsia="仿宋_GB2312" w:hAnsi="仿宋_GB2312" w:cs="仿宋_GB2312" w:hint="eastAsia"/>
          <w:kern w:val="0"/>
          <w:sz w:val="28"/>
          <w:szCs w:val="28"/>
          <w:shd w:val="clear" w:color="auto" w:fill="FFFFFF"/>
        </w:rPr>
        <w:t>计算上述持股比例与持股市值时，股东持股数据以中国证券登记结算有限公司的清算数据为准，市值数据按股权登记日的持股数量×股权登记日收盘价计算。</w:t>
      </w:r>
    </w:p>
    <w:p w14:paraId="0C9B8A0C" w14:textId="77777777" w:rsidR="00674F3E" w:rsidRDefault="00C45190">
      <w:pPr>
        <w:spacing w:line="600" w:lineRule="exact"/>
        <w:ind w:firstLine="482"/>
        <w:rPr>
          <w:rFonts w:ascii="仿宋_GB2312" w:eastAsia="仿宋_GB2312" w:hAnsi="仿宋_GB2312" w:cs="仿宋_GB2312"/>
          <w:kern w:val="0"/>
          <w:sz w:val="28"/>
          <w:szCs w:val="28"/>
        </w:rPr>
      </w:pPr>
      <w:r>
        <w:rPr>
          <w:rFonts w:ascii="仿宋_GB2312" w:eastAsia="仿宋_GB2312" w:hAnsi="仿宋_GB2312" w:cs="仿宋_GB2312" w:hint="eastAsia"/>
          <w:b/>
          <w:bCs/>
          <w:kern w:val="0"/>
          <w:sz w:val="28"/>
          <w:szCs w:val="28"/>
        </w:rPr>
        <w:t>2.办理网络投票以及获取表决数据事宜</w:t>
      </w:r>
    </w:p>
    <w:p w14:paraId="460BA761" w14:textId="77777777" w:rsidR="00674F3E" w:rsidRDefault="00C45190">
      <w:pPr>
        <w:spacing w:line="600" w:lineRule="exact"/>
        <w:ind w:firstLine="480"/>
        <w:rPr>
          <w:rFonts w:ascii="仿宋_GB2312" w:eastAsia="仿宋_GB2312" w:hAnsi="仿宋_GB2312" w:cs="仿宋_GB2312"/>
          <w:kern w:val="0"/>
          <w:sz w:val="28"/>
          <w:szCs w:val="28"/>
          <w:shd w:val="clear" w:color="auto" w:fill="FFFFFF"/>
        </w:rPr>
      </w:pPr>
      <w:r>
        <w:rPr>
          <w:rFonts w:ascii="仿宋_GB2312" w:eastAsia="仿宋_GB2312" w:hAnsi="仿宋_GB2312" w:cs="仿宋_GB2312" w:hint="eastAsia"/>
          <w:kern w:val="0"/>
          <w:sz w:val="28"/>
          <w:szCs w:val="28"/>
          <w:shd w:val="clear" w:color="auto" w:fill="FFFFFF"/>
        </w:rPr>
        <w:t>上市公司将利润分配议案提交股东大会审议时，在董事会审议通过利润分配方案后、股东大会召开前，要与股东大会网络投票服务提供机构协商确定分段、分市值统计表决结果事宜，确保在股东大会结束后能及时分段、分市值披露表决结果。</w:t>
      </w:r>
      <w:r>
        <w:rPr>
          <w:rFonts w:ascii="仿宋_GB2312" w:eastAsia="仿宋_GB2312" w:hAnsi="仿宋_GB2312" w:cs="仿宋_GB2312" w:hint="eastAsia"/>
          <w:sz w:val="28"/>
          <w:szCs w:val="28"/>
        </w:rPr>
        <w:t xml:space="preserve"> </w:t>
      </w:r>
    </w:p>
    <w:p w14:paraId="482116D8" w14:textId="77777777" w:rsidR="00674F3E" w:rsidRDefault="00674F3E">
      <w:pPr>
        <w:rPr>
          <w:rFonts w:ascii="仿宋_GB2312" w:eastAsia="仿宋_GB2312" w:hAnsi="仿宋_GB2312" w:cs="仿宋_GB2312"/>
          <w:sz w:val="28"/>
          <w:szCs w:val="28"/>
        </w:rPr>
        <w:sectPr w:rsidR="00674F3E">
          <w:pgSz w:w="11906" w:h="16838"/>
          <w:pgMar w:top="1440" w:right="1800" w:bottom="1440" w:left="1800" w:header="851" w:footer="992" w:gutter="0"/>
          <w:cols w:space="425"/>
          <w:docGrid w:type="lines" w:linePitch="312"/>
        </w:sectPr>
      </w:pPr>
    </w:p>
    <w:p w14:paraId="387637CF" w14:textId="77777777" w:rsidR="00674F3E" w:rsidRDefault="00C45190">
      <w:pPr>
        <w:widowControl/>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附件4：</w:t>
      </w:r>
    </w:p>
    <w:p w14:paraId="2A47C3C9" w14:textId="77777777" w:rsidR="00674F3E" w:rsidRDefault="00C45190">
      <w:pPr>
        <w:pStyle w:val="2"/>
        <w:jc w:val="center"/>
        <w:rPr>
          <w:rFonts w:ascii="仿宋_GB2312" w:eastAsia="仿宋_GB2312" w:hAnsi="仿宋_GB2312" w:cs="仿宋_GB2312" w:hint="default"/>
          <w:b w:val="0"/>
          <w:bCs w:val="0"/>
          <w:sz w:val="28"/>
          <w:szCs w:val="28"/>
        </w:rPr>
      </w:pPr>
      <w:bookmarkStart w:id="3" w:name="_Toc47105073"/>
      <w:r>
        <w:rPr>
          <w:rFonts w:ascii="仿宋_GB2312" w:eastAsia="仿宋_GB2312" w:hAnsi="仿宋_GB2312" w:cs="仿宋_GB2312"/>
          <w:b w:val="0"/>
          <w:bCs w:val="0"/>
          <w:sz w:val="28"/>
          <w:szCs w:val="28"/>
        </w:rPr>
        <w:t>前10名股东及流通股股东的持股情况填写说明</w:t>
      </w:r>
      <w:bookmarkEnd w:id="3"/>
    </w:p>
    <w:p w14:paraId="1E2EC9B8" w14:textId="77777777" w:rsidR="00674F3E" w:rsidRDefault="00C45190">
      <w:pPr>
        <w:ind w:firstLine="480"/>
        <w:rPr>
          <w:rFonts w:ascii="仿宋_GB2312" w:eastAsia="仿宋_GB2312" w:hAnsi="仿宋_GB2312" w:cs="仿宋_GB2312"/>
          <w:kern w:val="0"/>
          <w:sz w:val="28"/>
          <w:szCs w:val="28"/>
          <w:lang w:val="zh-CN"/>
        </w:rPr>
      </w:pPr>
      <w:r>
        <w:rPr>
          <w:rFonts w:ascii="仿宋_GB2312" w:eastAsia="仿宋_GB2312" w:hAnsi="仿宋_GB2312" w:cs="仿宋_GB2312" w:hint="eastAsia"/>
          <w:sz w:val="28"/>
          <w:szCs w:val="28"/>
        </w:rPr>
        <w:t>某上市公司从</w:t>
      </w:r>
      <w:r>
        <w:rPr>
          <w:rFonts w:ascii="仿宋_GB2312" w:eastAsia="仿宋_GB2312" w:hAnsi="仿宋_GB2312" w:cs="仿宋_GB2312" w:hint="eastAsia"/>
          <w:kern w:val="0"/>
          <w:sz w:val="28"/>
          <w:szCs w:val="28"/>
          <w:lang w:val="zh-CN"/>
        </w:rPr>
        <w:t>中国结算取得的“全体持有人名册”如下表所示：</w:t>
      </w:r>
    </w:p>
    <w:tbl>
      <w:tblPr>
        <w:tblW w:w="9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1266"/>
        <w:gridCol w:w="981"/>
        <w:gridCol w:w="578"/>
        <w:gridCol w:w="1150"/>
        <w:gridCol w:w="493"/>
        <w:gridCol w:w="1211"/>
        <w:gridCol w:w="955"/>
        <w:gridCol w:w="982"/>
        <w:gridCol w:w="493"/>
        <w:gridCol w:w="963"/>
      </w:tblGrid>
      <w:tr w:rsidR="00674F3E" w14:paraId="25D4900A" w14:textId="77777777">
        <w:trPr>
          <w:jc w:val="center"/>
        </w:trPr>
        <w:tc>
          <w:tcPr>
            <w:tcW w:w="696" w:type="dxa"/>
            <w:tcBorders>
              <w:top w:val="single" w:sz="4" w:space="0" w:color="auto"/>
              <w:left w:val="single" w:sz="4" w:space="0" w:color="auto"/>
              <w:bottom w:val="single" w:sz="4" w:space="0" w:color="auto"/>
              <w:right w:val="single" w:sz="4" w:space="0" w:color="auto"/>
            </w:tcBorders>
          </w:tcPr>
          <w:p w14:paraId="03FD4734" w14:textId="77777777" w:rsidR="00674F3E" w:rsidRDefault="00C45190">
            <w:pPr>
              <w:jc w:val="center"/>
              <w:rPr>
                <w:rFonts w:ascii="仿宋_GB2312" w:eastAsia="仿宋_GB2312" w:hAnsi="仿宋_GB2312" w:cs="仿宋_GB2312"/>
                <w:b/>
                <w:kern w:val="0"/>
                <w:szCs w:val="21"/>
                <w:lang w:val="zh-CN"/>
              </w:rPr>
            </w:pPr>
            <w:r>
              <w:rPr>
                <w:rFonts w:ascii="仿宋_GB2312" w:eastAsia="仿宋_GB2312" w:hAnsi="仿宋_GB2312" w:cs="仿宋_GB2312" w:hint="eastAsia"/>
                <w:b/>
                <w:kern w:val="0"/>
                <w:szCs w:val="21"/>
                <w:lang w:val="zh-CN"/>
              </w:rPr>
              <w:t>序列</w:t>
            </w:r>
          </w:p>
        </w:tc>
        <w:tc>
          <w:tcPr>
            <w:tcW w:w="1076" w:type="dxa"/>
            <w:tcBorders>
              <w:top w:val="single" w:sz="4" w:space="0" w:color="auto"/>
              <w:left w:val="single" w:sz="4" w:space="0" w:color="auto"/>
              <w:bottom w:val="single" w:sz="4" w:space="0" w:color="auto"/>
              <w:right w:val="single" w:sz="4" w:space="0" w:color="auto"/>
            </w:tcBorders>
          </w:tcPr>
          <w:p w14:paraId="26A14193" w14:textId="77777777" w:rsidR="00674F3E" w:rsidRDefault="00C45190">
            <w:pPr>
              <w:jc w:val="center"/>
              <w:rPr>
                <w:rFonts w:ascii="仿宋_GB2312" w:eastAsia="仿宋_GB2312" w:hAnsi="仿宋_GB2312" w:cs="仿宋_GB2312"/>
                <w:b/>
                <w:kern w:val="0"/>
                <w:szCs w:val="21"/>
                <w:lang w:val="zh-CN"/>
              </w:rPr>
            </w:pPr>
            <w:r>
              <w:rPr>
                <w:rFonts w:ascii="仿宋_GB2312" w:eastAsia="仿宋_GB2312" w:hAnsi="仿宋_GB2312" w:cs="仿宋_GB2312" w:hint="eastAsia"/>
                <w:b/>
                <w:kern w:val="0"/>
                <w:szCs w:val="21"/>
                <w:lang w:val="zh-CN"/>
              </w:rPr>
              <w:t>证券账户</w:t>
            </w:r>
          </w:p>
        </w:tc>
        <w:tc>
          <w:tcPr>
            <w:tcW w:w="989" w:type="dxa"/>
            <w:tcBorders>
              <w:top w:val="single" w:sz="4" w:space="0" w:color="auto"/>
              <w:left w:val="single" w:sz="4" w:space="0" w:color="auto"/>
              <w:bottom w:val="single" w:sz="4" w:space="0" w:color="auto"/>
              <w:right w:val="single" w:sz="4" w:space="0" w:color="auto"/>
            </w:tcBorders>
          </w:tcPr>
          <w:p w14:paraId="135D7A46" w14:textId="77777777" w:rsidR="00674F3E" w:rsidRDefault="00C45190">
            <w:pPr>
              <w:jc w:val="center"/>
              <w:rPr>
                <w:rFonts w:ascii="仿宋_GB2312" w:eastAsia="仿宋_GB2312" w:hAnsi="仿宋_GB2312" w:cs="仿宋_GB2312"/>
                <w:b/>
                <w:kern w:val="0"/>
                <w:szCs w:val="21"/>
                <w:lang w:val="zh-CN"/>
              </w:rPr>
            </w:pPr>
            <w:r>
              <w:rPr>
                <w:rFonts w:ascii="仿宋_GB2312" w:eastAsia="仿宋_GB2312" w:hAnsi="仿宋_GB2312" w:cs="仿宋_GB2312" w:hint="eastAsia"/>
                <w:b/>
                <w:kern w:val="0"/>
                <w:szCs w:val="21"/>
                <w:lang w:val="zh-CN"/>
              </w:rPr>
              <w:t>证券代码</w:t>
            </w:r>
          </w:p>
        </w:tc>
        <w:tc>
          <w:tcPr>
            <w:tcW w:w="587" w:type="dxa"/>
            <w:vMerge w:val="restart"/>
            <w:tcBorders>
              <w:top w:val="single" w:sz="4" w:space="0" w:color="auto"/>
              <w:left w:val="single" w:sz="4" w:space="0" w:color="auto"/>
              <w:bottom w:val="single" w:sz="4" w:space="0" w:color="auto"/>
              <w:right w:val="single" w:sz="4" w:space="0" w:color="auto"/>
            </w:tcBorders>
            <w:vAlign w:val="center"/>
          </w:tcPr>
          <w:p w14:paraId="0428890E" w14:textId="77777777" w:rsidR="00674F3E" w:rsidRDefault="00C45190">
            <w:pPr>
              <w:ind w:firstLine="562"/>
              <w:jc w:val="center"/>
              <w:rPr>
                <w:rFonts w:ascii="仿宋_GB2312" w:eastAsia="仿宋_GB2312" w:hAnsi="仿宋_GB2312" w:cs="仿宋_GB2312"/>
                <w:b/>
                <w:kern w:val="0"/>
                <w:szCs w:val="21"/>
                <w:lang w:val="zh-CN"/>
              </w:rPr>
            </w:pPr>
            <w:r>
              <w:rPr>
                <w:rFonts w:ascii="仿宋_GB2312" w:eastAsia="仿宋_GB2312" w:hAnsi="仿宋_GB2312" w:cs="仿宋_GB2312" w:hint="eastAsia"/>
                <w:b/>
                <w:kern w:val="0"/>
                <w:szCs w:val="21"/>
                <w:lang w:val="zh-CN"/>
              </w:rPr>
              <w:t>…</w:t>
            </w:r>
          </w:p>
        </w:tc>
        <w:tc>
          <w:tcPr>
            <w:tcW w:w="1169" w:type="dxa"/>
            <w:tcBorders>
              <w:top w:val="single" w:sz="4" w:space="0" w:color="auto"/>
              <w:left w:val="single" w:sz="4" w:space="0" w:color="auto"/>
              <w:bottom w:val="single" w:sz="4" w:space="0" w:color="auto"/>
              <w:right w:val="single" w:sz="4" w:space="0" w:color="auto"/>
            </w:tcBorders>
          </w:tcPr>
          <w:p w14:paraId="221E855A" w14:textId="77777777" w:rsidR="00674F3E" w:rsidRDefault="00C45190">
            <w:pPr>
              <w:rPr>
                <w:rFonts w:ascii="仿宋_GB2312" w:eastAsia="仿宋_GB2312" w:hAnsi="仿宋_GB2312" w:cs="仿宋_GB2312"/>
                <w:b/>
                <w:kern w:val="0"/>
                <w:szCs w:val="21"/>
                <w:lang w:val="zh-CN"/>
              </w:rPr>
            </w:pPr>
            <w:r>
              <w:rPr>
                <w:rFonts w:ascii="仿宋_GB2312" w:eastAsia="仿宋_GB2312" w:hAnsi="仿宋_GB2312" w:cs="仿宋_GB2312" w:hint="eastAsia"/>
                <w:b/>
                <w:kern w:val="0"/>
                <w:szCs w:val="21"/>
                <w:lang w:val="zh-CN"/>
              </w:rPr>
              <w:t>持有数量</w:t>
            </w:r>
          </w:p>
        </w:tc>
        <w:tc>
          <w:tcPr>
            <w:tcW w:w="497" w:type="dxa"/>
            <w:vMerge w:val="restart"/>
            <w:tcBorders>
              <w:top w:val="single" w:sz="4" w:space="0" w:color="auto"/>
              <w:left w:val="single" w:sz="4" w:space="0" w:color="auto"/>
              <w:bottom w:val="single" w:sz="4" w:space="0" w:color="auto"/>
              <w:right w:val="single" w:sz="4" w:space="0" w:color="auto"/>
            </w:tcBorders>
            <w:vAlign w:val="center"/>
          </w:tcPr>
          <w:p w14:paraId="07EE8811" w14:textId="77777777" w:rsidR="00674F3E" w:rsidRDefault="00C45190">
            <w:pPr>
              <w:ind w:firstLine="562"/>
              <w:jc w:val="center"/>
              <w:rPr>
                <w:rFonts w:ascii="仿宋_GB2312" w:eastAsia="仿宋_GB2312" w:hAnsi="仿宋_GB2312" w:cs="仿宋_GB2312"/>
                <w:b/>
                <w:kern w:val="0"/>
                <w:szCs w:val="21"/>
                <w:lang w:val="zh-CN"/>
              </w:rPr>
            </w:pPr>
            <w:r>
              <w:rPr>
                <w:rFonts w:ascii="仿宋_GB2312" w:eastAsia="仿宋_GB2312" w:hAnsi="仿宋_GB2312" w:cs="仿宋_GB2312" w:hint="eastAsia"/>
                <w:b/>
                <w:kern w:val="0"/>
                <w:szCs w:val="21"/>
                <w:lang w:val="zh-CN"/>
              </w:rPr>
              <w:t>…</w:t>
            </w:r>
          </w:p>
        </w:tc>
        <w:tc>
          <w:tcPr>
            <w:tcW w:w="1259" w:type="dxa"/>
            <w:tcBorders>
              <w:top w:val="single" w:sz="4" w:space="0" w:color="auto"/>
              <w:left w:val="single" w:sz="4" w:space="0" w:color="auto"/>
              <w:bottom w:val="single" w:sz="4" w:space="0" w:color="auto"/>
              <w:right w:val="single" w:sz="4" w:space="0" w:color="auto"/>
            </w:tcBorders>
          </w:tcPr>
          <w:p w14:paraId="64E6BAC2" w14:textId="77777777" w:rsidR="00674F3E" w:rsidRDefault="00C45190">
            <w:pPr>
              <w:rPr>
                <w:rFonts w:ascii="仿宋_GB2312" w:eastAsia="仿宋_GB2312" w:hAnsi="仿宋_GB2312" w:cs="仿宋_GB2312"/>
                <w:b/>
                <w:kern w:val="0"/>
                <w:szCs w:val="21"/>
                <w:lang w:val="zh-CN"/>
              </w:rPr>
            </w:pPr>
            <w:r>
              <w:rPr>
                <w:rFonts w:ascii="仿宋_GB2312" w:eastAsia="仿宋_GB2312" w:hAnsi="仿宋_GB2312" w:cs="仿宋_GB2312" w:hint="eastAsia"/>
                <w:b/>
                <w:kern w:val="0"/>
                <w:szCs w:val="21"/>
              </w:rPr>
              <w:t>账</w:t>
            </w:r>
            <w:r>
              <w:rPr>
                <w:rFonts w:ascii="仿宋_GB2312" w:eastAsia="仿宋_GB2312" w:hAnsi="仿宋_GB2312" w:cs="仿宋_GB2312" w:hint="eastAsia"/>
                <w:b/>
                <w:kern w:val="0"/>
                <w:szCs w:val="21"/>
                <w:lang w:val="zh-CN"/>
              </w:rPr>
              <w:t>户名称</w:t>
            </w:r>
          </w:p>
        </w:tc>
        <w:tc>
          <w:tcPr>
            <w:tcW w:w="988" w:type="dxa"/>
            <w:tcBorders>
              <w:top w:val="single" w:sz="4" w:space="0" w:color="auto"/>
              <w:left w:val="single" w:sz="4" w:space="0" w:color="auto"/>
              <w:bottom w:val="single" w:sz="4" w:space="0" w:color="auto"/>
              <w:right w:val="single" w:sz="4" w:space="0" w:color="auto"/>
            </w:tcBorders>
          </w:tcPr>
          <w:p w14:paraId="0297825E" w14:textId="77777777" w:rsidR="00674F3E" w:rsidRDefault="00C45190">
            <w:pPr>
              <w:rPr>
                <w:rFonts w:ascii="仿宋_GB2312" w:eastAsia="仿宋_GB2312" w:hAnsi="仿宋_GB2312" w:cs="仿宋_GB2312"/>
                <w:b/>
                <w:kern w:val="0"/>
                <w:szCs w:val="21"/>
                <w:lang w:val="zh-CN"/>
              </w:rPr>
            </w:pPr>
            <w:r>
              <w:rPr>
                <w:rFonts w:ascii="仿宋_GB2312" w:eastAsia="仿宋_GB2312" w:hAnsi="仿宋_GB2312" w:cs="仿宋_GB2312" w:hint="eastAsia"/>
                <w:b/>
                <w:kern w:val="0"/>
                <w:szCs w:val="21"/>
                <w:lang w:val="zh-CN"/>
              </w:rPr>
              <w:t>账户全称</w:t>
            </w:r>
          </w:p>
        </w:tc>
        <w:tc>
          <w:tcPr>
            <w:tcW w:w="1003" w:type="dxa"/>
            <w:tcBorders>
              <w:top w:val="single" w:sz="4" w:space="0" w:color="auto"/>
              <w:left w:val="single" w:sz="4" w:space="0" w:color="auto"/>
              <w:bottom w:val="single" w:sz="4" w:space="0" w:color="auto"/>
              <w:right w:val="single" w:sz="4" w:space="0" w:color="auto"/>
            </w:tcBorders>
          </w:tcPr>
          <w:p w14:paraId="0970F41E" w14:textId="77777777" w:rsidR="00674F3E" w:rsidRDefault="00C45190">
            <w:pPr>
              <w:rPr>
                <w:rFonts w:ascii="仿宋_GB2312" w:eastAsia="仿宋_GB2312" w:hAnsi="仿宋_GB2312" w:cs="仿宋_GB2312"/>
                <w:b/>
                <w:kern w:val="0"/>
                <w:szCs w:val="21"/>
                <w:lang w:val="zh-CN"/>
              </w:rPr>
            </w:pPr>
            <w:r>
              <w:rPr>
                <w:rFonts w:ascii="仿宋_GB2312" w:eastAsia="仿宋_GB2312" w:hAnsi="仿宋_GB2312" w:cs="仿宋_GB2312" w:hint="eastAsia"/>
                <w:b/>
                <w:kern w:val="0"/>
                <w:szCs w:val="21"/>
                <w:lang w:val="zh-CN"/>
              </w:rPr>
              <w:t>持有人类别</w:t>
            </w:r>
          </w:p>
        </w:tc>
        <w:tc>
          <w:tcPr>
            <w:tcW w:w="497" w:type="dxa"/>
            <w:vMerge w:val="restart"/>
            <w:tcBorders>
              <w:top w:val="single" w:sz="4" w:space="0" w:color="auto"/>
              <w:left w:val="single" w:sz="4" w:space="0" w:color="auto"/>
              <w:bottom w:val="single" w:sz="4" w:space="0" w:color="auto"/>
              <w:right w:val="single" w:sz="4" w:space="0" w:color="auto"/>
            </w:tcBorders>
            <w:vAlign w:val="center"/>
          </w:tcPr>
          <w:p w14:paraId="4D51DD92" w14:textId="77777777" w:rsidR="00674F3E" w:rsidRDefault="00C45190">
            <w:pPr>
              <w:ind w:firstLine="562"/>
              <w:jc w:val="center"/>
              <w:rPr>
                <w:rFonts w:ascii="仿宋_GB2312" w:eastAsia="仿宋_GB2312" w:hAnsi="仿宋_GB2312" w:cs="仿宋_GB2312"/>
                <w:b/>
                <w:kern w:val="0"/>
                <w:szCs w:val="21"/>
                <w:lang w:val="zh-CN"/>
              </w:rPr>
            </w:pPr>
            <w:r>
              <w:rPr>
                <w:rFonts w:ascii="仿宋_GB2312" w:eastAsia="仿宋_GB2312" w:hAnsi="仿宋_GB2312" w:cs="仿宋_GB2312" w:hint="eastAsia"/>
                <w:b/>
                <w:kern w:val="0"/>
                <w:szCs w:val="21"/>
                <w:lang w:val="zh-CN"/>
              </w:rPr>
              <w:t>…</w:t>
            </w:r>
          </w:p>
        </w:tc>
        <w:tc>
          <w:tcPr>
            <w:tcW w:w="996" w:type="dxa"/>
            <w:tcBorders>
              <w:top w:val="single" w:sz="4" w:space="0" w:color="auto"/>
              <w:left w:val="single" w:sz="4" w:space="0" w:color="auto"/>
              <w:bottom w:val="single" w:sz="4" w:space="0" w:color="auto"/>
              <w:right w:val="single" w:sz="4" w:space="0" w:color="auto"/>
            </w:tcBorders>
          </w:tcPr>
          <w:p w14:paraId="58ADFD20" w14:textId="77777777" w:rsidR="00674F3E" w:rsidRDefault="00C45190">
            <w:pPr>
              <w:jc w:val="center"/>
              <w:rPr>
                <w:rFonts w:ascii="仿宋_GB2312" w:eastAsia="仿宋_GB2312" w:hAnsi="仿宋_GB2312" w:cs="仿宋_GB2312"/>
                <w:b/>
                <w:kern w:val="0"/>
                <w:szCs w:val="21"/>
                <w:lang w:val="zh-CN"/>
              </w:rPr>
            </w:pPr>
            <w:r>
              <w:rPr>
                <w:rFonts w:ascii="仿宋_GB2312" w:eastAsia="仿宋_GB2312" w:hAnsi="仿宋_GB2312" w:cs="仿宋_GB2312" w:hint="eastAsia"/>
                <w:b/>
                <w:kern w:val="0"/>
                <w:szCs w:val="21"/>
                <w:lang w:val="zh-CN"/>
              </w:rPr>
              <w:t>证件代码</w:t>
            </w:r>
          </w:p>
        </w:tc>
      </w:tr>
      <w:tr w:rsidR="00674F3E" w14:paraId="5F763087" w14:textId="77777777">
        <w:trPr>
          <w:jc w:val="center"/>
        </w:trPr>
        <w:tc>
          <w:tcPr>
            <w:tcW w:w="696" w:type="dxa"/>
            <w:tcBorders>
              <w:top w:val="single" w:sz="4" w:space="0" w:color="auto"/>
              <w:left w:val="single" w:sz="4" w:space="0" w:color="auto"/>
              <w:bottom w:val="single" w:sz="4" w:space="0" w:color="auto"/>
              <w:right w:val="single" w:sz="4" w:space="0" w:color="auto"/>
            </w:tcBorders>
          </w:tcPr>
          <w:p w14:paraId="66A69A2F"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1</w:t>
            </w:r>
          </w:p>
        </w:tc>
        <w:tc>
          <w:tcPr>
            <w:tcW w:w="1076" w:type="dxa"/>
            <w:tcBorders>
              <w:top w:val="single" w:sz="4" w:space="0" w:color="auto"/>
              <w:left w:val="single" w:sz="4" w:space="0" w:color="auto"/>
              <w:bottom w:val="single" w:sz="4" w:space="0" w:color="auto"/>
              <w:right w:val="single" w:sz="4" w:space="0" w:color="auto"/>
            </w:tcBorders>
          </w:tcPr>
          <w:p w14:paraId="2075F303"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A333333331</w:t>
            </w:r>
          </w:p>
        </w:tc>
        <w:tc>
          <w:tcPr>
            <w:tcW w:w="989" w:type="dxa"/>
            <w:tcBorders>
              <w:top w:val="single" w:sz="4" w:space="0" w:color="auto"/>
              <w:left w:val="single" w:sz="4" w:space="0" w:color="auto"/>
              <w:bottom w:val="single" w:sz="4" w:space="0" w:color="auto"/>
              <w:right w:val="single" w:sz="4" w:space="0" w:color="auto"/>
            </w:tcBorders>
          </w:tcPr>
          <w:p w14:paraId="67F8902E"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6xxxxx</w:t>
            </w:r>
          </w:p>
        </w:tc>
        <w:tc>
          <w:tcPr>
            <w:tcW w:w="0" w:type="auto"/>
            <w:vMerge/>
            <w:tcBorders>
              <w:top w:val="single" w:sz="4" w:space="0" w:color="auto"/>
              <w:left w:val="single" w:sz="4" w:space="0" w:color="auto"/>
              <w:bottom w:val="single" w:sz="4" w:space="0" w:color="auto"/>
              <w:right w:val="single" w:sz="4" w:space="0" w:color="auto"/>
            </w:tcBorders>
            <w:vAlign w:val="center"/>
          </w:tcPr>
          <w:p w14:paraId="45C02999" w14:textId="77777777" w:rsidR="00674F3E" w:rsidRDefault="00674F3E">
            <w:pPr>
              <w:widowControl/>
              <w:jc w:val="left"/>
              <w:rPr>
                <w:rFonts w:ascii="仿宋_GB2312" w:eastAsia="仿宋_GB2312" w:hAnsi="仿宋_GB2312" w:cs="仿宋_GB2312"/>
                <w:b/>
                <w:kern w:val="0"/>
                <w:szCs w:val="21"/>
                <w:lang w:val="zh-CN"/>
              </w:rPr>
            </w:pPr>
          </w:p>
        </w:tc>
        <w:tc>
          <w:tcPr>
            <w:tcW w:w="1169" w:type="dxa"/>
            <w:tcBorders>
              <w:top w:val="single" w:sz="4" w:space="0" w:color="auto"/>
              <w:left w:val="single" w:sz="4" w:space="0" w:color="auto"/>
              <w:bottom w:val="single" w:sz="4" w:space="0" w:color="auto"/>
              <w:right w:val="single" w:sz="4" w:space="0" w:color="auto"/>
            </w:tcBorders>
          </w:tcPr>
          <w:p w14:paraId="7808BA34"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250000</w:t>
            </w:r>
          </w:p>
        </w:tc>
        <w:tc>
          <w:tcPr>
            <w:tcW w:w="0" w:type="auto"/>
            <w:vMerge/>
            <w:tcBorders>
              <w:top w:val="single" w:sz="4" w:space="0" w:color="auto"/>
              <w:left w:val="single" w:sz="4" w:space="0" w:color="auto"/>
              <w:bottom w:val="single" w:sz="4" w:space="0" w:color="auto"/>
              <w:right w:val="single" w:sz="4" w:space="0" w:color="auto"/>
            </w:tcBorders>
            <w:vAlign w:val="center"/>
          </w:tcPr>
          <w:p w14:paraId="01DC651D" w14:textId="77777777" w:rsidR="00674F3E" w:rsidRDefault="00674F3E">
            <w:pPr>
              <w:widowControl/>
              <w:jc w:val="left"/>
              <w:rPr>
                <w:rFonts w:ascii="仿宋_GB2312" w:eastAsia="仿宋_GB2312" w:hAnsi="仿宋_GB2312" w:cs="仿宋_GB2312"/>
                <w:b/>
                <w:kern w:val="0"/>
                <w:szCs w:val="21"/>
                <w:lang w:val="zh-CN"/>
              </w:rPr>
            </w:pPr>
          </w:p>
        </w:tc>
        <w:tc>
          <w:tcPr>
            <w:tcW w:w="1259" w:type="dxa"/>
            <w:tcBorders>
              <w:top w:val="single" w:sz="4" w:space="0" w:color="auto"/>
              <w:left w:val="single" w:sz="4" w:space="0" w:color="auto"/>
              <w:bottom w:val="single" w:sz="4" w:space="0" w:color="auto"/>
              <w:right w:val="single" w:sz="4" w:space="0" w:color="auto"/>
            </w:tcBorders>
          </w:tcPr>
          <w:p w14:paraId="7F1FC5B3"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张一</w:t>
            </w:r>
          </w:p>
        </w:tc>
        <w:tc>
          <w:tcPr>
            <w:tcW w:w="988" w:type="dxa"/>
            <w:tcBorders>
              <w:top w:val="single" w:sz="4" w:space="0" w:color="auto"/>
              <w:left w:val="single" w:sz="4" w:space="0" w:color="auto"/>
              <w:bottom w:val="single" w:sz="4" w:space="0" w:color="auto"/>
              <w:right w:val="single" w:sz="4" w:space="0" w:color="auto"/>
            </w:tcBorders>
          </w:tcPr>
          <w:p w14:paraId="00F05EC4"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张一</w:t>
            </w:r>
          </w:p>
        </w:tc>
        <w:tc>
          <w:tcPr>
            <w:tcW w:w="1003" w:type="dxa"/>
            <w:tcBorders>
              <w:top w:val="single" w:sz="4" w:space="0" w:color="auto"/>
              <w:left w:val="single" w:sz="4" w:space="0" w:color="auto"/>
              <w:bottom w:val="single" w:sz="4" w:space="0" w:color="auto"/>
              <w:right w:val="single" w:sz="4" w:space="0" w:color="auto"/>
            </w:tcBorders>
          </w:tcPr>
          <w:p w14:paraId="20703DA0"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1000</w:t>
            </w:r>
          </w:p>
        </w:tc>
        <w:tc>
          <w:tcPr>
            <w:tcW w:w="0" w:type="auto"/>
            <w:vMerge/>
            <w:tcBorders>
              <w:top w:val="single" w:sz="4" w:space="0" w:color="auto"/>
              <w:left w:val="single" w:sz="4" w:space="0" w:color="auto"/>
              <w:bottom w:val="single" w:sz="4" w:space="0" w:color="auto"/>
              <w:right w:val="single" w:sz="4" w:space="0" w:color="auto"/>
            </w:tcBorders>
            <w:vAlign w:val="center"/>
          </w:tcPr>
          <w:p w14:paraId="0CF8F45A" w14:textId="77777777" w:rsidR="00674F3E" w:rsidRDefault="00674F3E">
            <w:pPr>
              <w:widowControl/>
              <w:jc w:val="left"/>
              <w:rPr>
                <w:rFonts w:ascii="仿宋_GB2312" w:eastAsia="仿宋_GB2312" w:hAnsi="仿宋_GB2312" w:cs="仿宋_GB2312"/>
                <w:b/>
                <w:kern w:val="0"/>
                <w:szCs w:val="21"/>
                <w:lang w:val="zh-CN"/>
              </w:rPr>
            </w:pPr>
          </w:p>
        </w:tc>
        <w:tc>
          <w:tcPr>
            <w:tcW w:w="996" w:type="dxa"/>
            <w:tcBorders>
              <w:top w:val="single" w:sz="4" w:space="0" w:color="auto"/>
              <w:left w:val="single" w:sz="4" w:space="0" w:color="auto"/>
              <w:bottom w:val="single" w:sz="4" w:space="0" w:color="auto"/>
              <w:right w:val="single" w:sz="4" w:space="0" w:color="auto"/>
            </w:tcBorders>
          </w:tcPr>
          <w:p w14:paraId="45C2DBC7"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A</w:t>
            </w:r>
          </w:p>
        </w:tc>
      </w:tr>
      <w:tr w:rsidR="00674F3E" w14:paraId="23F967E1" w14:textId="77777777">
        <w:trPr>
          <w:jc w:val="center"/>
        </w:trPr>
        <w:tc>
          <w:tcPr>
            <w:tcW w:w="696" w:type="dxa"/>
            <w:tcBorders>
              <w:top w:val="single" w:sz="4" w:space="0" w:color="auto"/>
              <w:left w:val="single" w:sz="4" w:space="0" w:color="auto"/>
              <w:bottom w:val="single" w:sz="4" w:space="0" w:color="auto"/>
              <w:right w:val="single" w:sz="4" w:space="0" w:color="auto"/>
            </w:tcBorders>
          </w:tcPr>
          <w:p w14:paraId="54309B49"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2</w:t>
            </w:r>
          </w:p>
        </w:tc>
        <w:tc>
          <w:tcPr>
            <w:tcW w:w="1076" w:type="dxa"/>
            <w:tcBorders>
              <w:top w:val="single" w:sz="4" w:space="0" w:color="auto"/>
              <w:left w:val="single" w:sz="4" w:space="0" w:color="auto"/>
              <w:bottom w:val="single" w:sz="4" w:space="0" w:color="auto"/>
              <w:right w:val="single" w:sz="4" w:space="0" w:color="auto"/>
            </w:tcBorders>
          </w:tcPr>
          <w:p w14:paraId="67C21D1A"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A333333332</w:t>
            </w:r>
          </w:p>
        </w:tc>
        <w:tc>
          <w:tcPr>
            <w:tcW w:w="989" w:type="dxa"/>
            <w:tcBorders>
              <w:top w:val="single" w:sz="4" w:space="0" w:color="auto"/>
              <w:left w:val="single" w:sz="4" w:space="0" w:color="auto"/>
              <w:bottom w:val="single" w:sz="4" w:space="0" w:color="auto"/>
              <w:right w:val="single" w:sz="4" w:space="0" w:color="auto"/>
            </w:tcBorders>
          </w:tcPr>
          <w:p w14:paraId="1CE369A1"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6xxxxx</w:t>
            </w:r>
          </w:p>
        </w:tc>
        <w:tc>
          <w:tcPr>
            <w:tcW w:w="0" w:type="auto"/>
            <w:vMerge/>
            <w:tcBorders>
              <w:top w:val="single" w:sz="4" w:space="0" w:color="auto"/>
              <w:left w:val="single" w:sz="4" w:space="0" w:color="auto"/>
              <w:bottom w:val="single" w:sz="4" w:space="0" w:color="auto"/>
              <w:right w:val="single" w:sz="4" w:space="0" w:color="auto"/>
            </w:tcBorders>
            <w:vAlign w:val="center"/>
          </w:tcPr>
          <w:p w14:paraId="5B5810A4" w14:textId="77777777" w:rsidR="00674F3E" w:rsidRDefault="00674F3E">
            <w:pPr>
              <w:widowControl/>
              <w:jc w:val="left"/>
              <w:rPr>
                <w:rFonts w:ascii="仿宋_GB2312" w:eastAsia="仿宋_GB2312" w:hAnsi="仿宋_GB2312" w:cs="仿宋_GB2312"/>
                <w:b/>
                <w:kern w:val="0"/>
                <w:szCs w:val="21"/>
                <w:lang w:val="zh-CN"/>
              </w:rPr>
            </w:pPr>
          </w:p>
        </w:tc>
        <w:tc>
          <w:tcPr>
            <w:tcW w:w="1169" w:type="dxa"/>
            <w:tcBorders>
              <w:top w:val="single" w:sz="4" w:space="0" w:color="auto"/>
              <w:left w:val="single" w:sz="4" w:space="0" w:color="auto"/>
              <w:bottom w:val="single" w:sz="4" w:space="0" w:color="auto"/>
              <w:right w:val="single" w:sz="4" w:space="0" w:color="auto"/>
            </w:tcBorders>
          </w:tcPr>
          <w:p w14:paraId="5C834489"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240000</w:t>
            </w:r>
          </w:p>
        </w:tc>
        <w:tc>
          <w:tcPr>
            <w:tcW w:w="0" w:type="auto"/>
            <w:vMerge/>
            <w:tcBorders>
              <w:top w:val="single" w:sz="4" w:space="0" w:color="auto"/>
              <w:left w:val="single" w:sz="4" w:space="0" w:color="auto"/>
              <w:bottom w:val="single" w:sz="4" w:space="0" w:color="auto"/>
              <w:right w:val="single" w:sz="4" w:space="0" w:color="auto"/>
            </w:tcBorders>
            <w:vAlign w:val="center"/>
          </w:tcPr>
          <w:p w14:paraId="32E91742" w14:textId="77777777" w:rsidR="00674F3E" w:rsidRDefault="00674F3E">
            <w:pPr>
              <w:widowControl/>
              <w:jc w:val="left"/>
              <w:rPr>
                <w:rFonts w:ascii="仿宋_GB2312" w:eastAsia="仿宋_GB2312" w:hAnsi="仿宋_GB2312" w:cs="仿宋_GB2312"/>
                <w:b/>
                <w:kern w:val="0"/>
                <w:szCs w:val="21"/>
                <w:lang w:val="zh-CN"/>
              </w:rPr>
            </w:pPr>
          </w:p>
        </w:tc>
        <w:tc>
          <w:tcPr>
            <w:tcW w:w="1259" w:type="dxa"/>
            <w:tcBorders>
              <w:top w:val="single" w:sz="4" w:space="0" w:color="auto"/>
              <w:left w:val="single" w:sz="4" w:space="0" w:color="auto"/>
              <w:bottom w:val="single" w:sz="4" w:space="0" w:color="auto"/>
              <w:right w:val="single" w:sz="4" w:space="0" w:color="auto"/>
            </w:tcBorders>
          </w:tcPr>
          <w:p w14:paraId="332E1080"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王二</w:t>
            </w:r>
          </w:p>
        </w:tc>
        <w:tc>
          <w:tcPr>
            <w:tcW w:w="988" w:type="dxa"/>
            <w:tcBorders>
              <w:top w:val="single" w:sz="4" w:space="0" w:color="auto"/>
              <w:left w:val="single" w:sz="4" w:space="0" w:color="auto"/>
              <w:bottom w:val="single" w:sz="4" w:space="0" w:color="auto"/>
              <w:right w:val="single" w:sz="4" w:space="0" w:color="auto"/>
            </w:tcBorders>
          </w:tcPr>
          <w:p w14:paraId="093BC9F5"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王二</w:t>
            </w:r>
          </w:p>
        </w:tc>
        <w:tc>
          <w:tcPr>
            <w:tcW w:w="1003" w:type="dxa"/>
            <w:tcBorders>
              <w:top w:val="single" w:sz="4" w:space="0" w:color="auto"/>
              <w:left w:val="single" w:sz="4" w:space="0" w:color="auto"/>
              <w:bottom w:val="single" w:sz="4" w:space="0" w:color="auto"/>
              <w:right w:val="single" w:sz="4" w:space="0" w:color="auto"/>
            </w:tcBorders>
          </w:tcPr>
          <w:p w14:paraId="55BF6C1B"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1000</w:t>
            </w:r>
          </w:p>
        </w:tc>
        <w:tc>
          <w:tcPr>
            <w:tcW w:w="0" w:type="auto"/>
            <w:vMerge/>
            <w:tcBorders>
              <w:top w:val="single" w:sz="4" w:space="0" w:color="auto"/>
              <w:left w:val="single" w:sz="4" w:space="0" w:color="auto"/>
              <w:bottom w:val="single" w:sz="4" w:space="0" w:color="auto"/>
              <w:right w:val="single" w:sz="4" w:space="0" w:color="auto"/>
            </w:tcBorders>
            <w:vAlign w:val="center"/>
          </w:tcPr>
          <w:p w14:paraId="2BA3392D" w14:textId="77777777" w:rsidR="00674F3E" w:rsidRDefault="00674F3E">
            <w:pPr>
              <w:widowControl/>
              <w:jc w:val="left"/>
              <w:rPr>
                <w:rFonts w:ascii="仿宋_GB2312" w:eastAsia="仿宋_GB2312" w:hAnsi="仿宋_GB2312" w:cs="仿宋_GB2312"/>
                <w:b/>
                <w:kern w:val="0"/>
                <w:szCs w:val="21"/>
                <w:lang w:val="zh-CN"/>
              </w:rPr>
            </w:pPr>
          </w:p>
        </w:tc>
        <w:tc>
          <w:tcPr>
            <w:tcW w:w="996" w:type="dxa"/>
            <w:tcBorders>
              <w:top w:val="single" w:sz="4" w:space="0" w:color="auto"/>
              <w:left w:val="single" w:sz="4" w:space="0" w:color="auto"/>
              <w:bottom w:val="single" w:sz="4" w:space="0" w:color="auto"/>
              <w:right w:val="single" w:sz="4" w:space="0" w:color="auto"/>
            </w:tcBorders>
          </w:tcPr>
          <w:p w14:paraId="2FD5465F"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B</w:t>
            </w:r>
          </w:p>
        </w:tc>
      </w:tr>
      <w:tr w:rsidR="00674F3E" w14:paraId="2AA9B18E" w14:textId="77777777">
        <w:trPr>
          <w:jc w:val="center"/>
        </w:trPr>
        <w:tc>
          <w:tcPr>
            <w:tcW w:w="696" w:type="dxa"/>
            <w:tcBorders>
              <w:top w:val="single" w:sz="4" w:space="0" w:color="auto"/>
              <w:left w:val="single" w:sz="4" w:space="0" w:color="auto"/>
              <w:bottom w:val="single" w:sz="4" w:space="0" w:color="auto"/>
              <w:right w:val="single" w:sz="4" w:space="0" w:color="auto"/>
            </w:tcBorders>
          </w:tcPr>
          <w:p w14:paraId="3212F383"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3</w:t>
            </w:r>
          </w:p>
        </w:tc>
        <w:tc>
          <w:tcPr>
            <w:tcW w:w="1076" w:type="dxa"/>
            <w:tcBorders>
              <w:top w:val="single" w:sz="4" w:space="0" w:color="auto"/>
              <w:left w:val="single" w:sz="4" w:space="0" w:color="auto"/>
              <w:bottom w:val="single" w:sz="4" w:space="0" w:color="auto"/>
              <w:right w:val="single" w:sz="4" w:space="0" w:color="auto"/>
            </w:tcBorders>
          </w:tcPr>
          <w:p w14:paraId="1C14BB17"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B333333333</w:t>
            </w:r>
          </w:p>
        </w:tc>
        <w:tc>
          <w:tcPr>
            <w:tcW w:w="989" w:type="dxa"/>
            <w:tcBorders>
              <w:top w:val="single" w:sz="4" w:space="0" w:color="auto"/>
              <w:left w:val="single" w:sz="4" w:space="0" w:color="auto"/>
              <w:bottom w:val="single" w:sz="4" w:space="0" w:color="auto"/>
              <w:right w:val="single" w:sz="4" w:space="0" w:color="auto"/>
            </w:tcBorders>
          </w:tcPr>
          <w:p w14:paraId="625A144E"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6xxxxx</w:t>
            </w:r>
          </w:p>
        </w:tc>
        <w:tc>
          <w:tcPr>
            <w:tcW w:w="0" w:type="auto"/>
            <w:vMerge/>
            <w:tcBorders>
              <w:top w:val="single" w:sz="4" w:space="0" w:color="auto"/>
              <w:left w:val="single" w:sz="4" w:space="0" w:color="auto"/>
              <w:bottom w:val="single" w:sz="4" w:space="0" w:color="auto"/>
              <w:right w:val="single" w:sz="4" w:space="0" w:color="auto"/>
            </w:tcBorders>
            <w:vAlign w:val="center"/>
          </w:tcPr>
          <w:p w14:paraId="34C9E1F5" w14:textId="77777777" w:rsidR="00674F3E" w:rsidRDefault="00674F3E">
            <w:pPr>
              <w:widowControl/>
              <w:jc w:val="left"/>
              <w:rPr>
                <w:rFonts w:ascii="仿宋_GB2312" w:eastAsia="仿宋_GB2312" w:hAnsi="仿宋_GB2312" w:cs="仿宋_GB2312"/>
                <w:b/>
                <w:kern w:val="0"/>
                <w:szCs w:val="21"/>
                <w:lang w:val="zh-CN"/>
              </w:rPr>
            </w:pPr>
          </w:p>
        </w:tc>
        <w:tc>
          <w:tcPr>
            <w:tcW w:w="1169" w:type="dxa"/>
            <w:tcBorders>
              <w:top w:val="single" w:sz="4" w:space="0" w:color="auto"/>
              <w:left w:val="single" w:sz="4" w:space="0" w:color="auto"/>
              <w:bottom w:val="single" w:sz="4" w:space="0" w:color="auto"/>
              <w:right w:val="single" w:sz="4" w:space="0" w:color="auto"/>
            </w:tcBorders>
          </w:tcPr>
          <w:p w14:paraId="3FEE43E1"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230000</w:t>
            </w:r>
          </w:p>
        </w:tc>
        <w:tc>
          <w:tcPr>
            <w:tcW w:w="0" w:type="auto"/>
            <w:vMerge/>
            <w:tcBorders>
              <w:top w:val="single" w:sz="4" w:space="0" w:color="auto"/>
              <w:left w:val="single" w:sz="4" w:space="0" w:color="auto"/>
              <w:bottom w:val="single" w:sz="4" w:space="0" w:color="auto"/>
              <w:right w:val="single" w:sz="4" w:space="0" w:color="auto"/>
            </w:tcBorders>
            <w:vAlign w:val="center"/>
          </w:tcPr>
          <w:p w14:paraId="32AEDA58" w14:textId="77777777" w:rsidR="00674F3E" w:rsidRDefault="00674F3E">
            <w:pPr>
              <w:widowControl/>
              <w:jc w:val="left"/>
              <w:rPr>
                <w:rFonts w:ascii="仿宋_GB2312" w:eastAsia="仿宋_GB2312" w:hAnsi="仿宋_GB2312" w:cs="仿宋_GB2312"/>
                <w:b/>
                <w:kern w:val="0"/>
                <w:szCs w:val="21"/>
                <w:lang w:val="zh-CN"/>
              </w:rPr>
            </w:pPr>
          </w:p>
        </w:tc>
        <w:tc>
          <w:tcPr>
            <w:tcW w:w="1259" w:type="dxa"/>
            <w:tcBorders>
              <w:top w:val="single" w:sz="4" w:space="0" w:color="auto"/>
              <w:left w:val="single" w:sz="4" w:space="0" w:color="auto"/>
              <w:bottom w:val="single" w:sz="4" w:space="0" w:color="auto"/>
              <w:right w:val="single" w:sz="4" w:space="0" w:color="auto"/>
            </w:tcBorders>
          </w:tcPr>
          <w:p w14:paraId="78FB2002"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李三</w:t>
            </w:r>
          </w:p>
        </w:tc>
        <w:tc>
          <w:tcPr>
            <w:tcW w:w="988" w:type="dxa"/>
            <w:tcBorders>
              <w:top w:val="single" w:sz="4" w:space="0" w:color="auto"/>
              <w:left w:val="single" w:sz="4" w:space="0" w:color="auto"/>
              <w:bottom w:val="single" w:sz="4" w:space="0" w:color="auto"/>
              <w:right w:val="single" w:sz="4" w:space="0" w:color="auto"/>
            </w:tcBorders>
          </w:tcPr>
          <w:p w14:paraId="5507D5DA"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李三</w:t>
            </w:r>
          </w:p>
        </w:tc>
        <w:tc>
          <w:tcPr>
            <w:tcW w:w="1003" w:type="dxa"/>
            <w:tcBorders>
              <w:top w:val="single" w:sz="4" w:space="0" w:color="auto"/>
              <w:left w:val="single" w:sz="4" w:space="0" w:color="auto"/>
              <w:bottom w:val="single" w:sz="4" w:space="0" w:color="auto"/>
              <w:right w:val="single" w:sz="4" w:space="0" w:color="auto"/>
            </w:tcBorders>
          </w:tcPr>
          <w:p w14:paraId="28A3E00B"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2000</w:t>
            </w:r>
          </w:p>
        </w:tc>
        <w:tc>
          <w:tcPr>
            <w:tcW w:w="0" w:type="auto"/>
            <w:vMerge/>
            <w:tcBorders>
              <w:top w:val="single" w:sz="4" w:space="0" w:color="auto"/>
              <w:left w:val="single" w:sz="4" w:space="0" w:color="auto"/>
              <w:bottom w:val="single" w:sz="4" w:space="0" w:color="auto"/>
              <w:right w:val="single" w:sz="4" w:space="0" w:color="auto"/>
            </w:tcBorders>
            <w:vAlign w:val="center"/>
          </w:tcPr>
          <w:p w14:paraId="31D6C34A" w14:textId="77777777" w:rsidR="00674F3E" w:rsidRDefault="00674F3E">
            <w:pPr>
              <w:widowControl/>
              <w:jc w:val="left"/>
              <w:rPr>
                <w:rFonts w:ascii="仿宋_GB2312" w:eastAsia="仿宋_GB2312" w:hAnsi="仿宋_GB2312" w:cs="仿宋_GB2312"/>
                <w:b/>
                <w:kern w:val="0"/>
                <w:szCs w:val="21"/>
                <w:lang w:val="zh-CN"/>
              </w:rPr>
            </w:pPr>
          </w:p>
        </w:tc>
        <w:tc>
          <w:tcPr>
            <w:tcW w:w="996" w:type="dxa"/>
            <w:tcBorders>
              <w:top w:val="single" w:sz="4" w:space="0" w:color="auto"/>
              <w:left w:val="single" w:sz="4" w:space="0" w:color="auto"/>
              <w:bottom w:val="single" w:sz="4" w:space="0" w:color="auto"/>
              <w:right w:val="single" w:sz="4" w:space="0" w:color="auto"/>
            </w:tcBorders>
          </w:tcPr>
          <w:p w14:paraId="170EB7B1"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C</w:t>
            </w:r>
          </w:p>
        </w:tc>
      </w:tr>
      <w:tr w:rsidR="00674F3E" w14:paraId="5C1E405F" w14:textId="77777777">
        <w:trPr>
          <w:jc w:val="center"/>
        </w:trPr>
        <w:tc>
          <w:tcPr>
            <w:tcW w:w="696" w:type="dxa"/>
            <w:tcBorders>
              <w:top w:val="single" w:sz="4" w:space="0" w:color="auto"/>
              <w:left w:val="single" w:sz="4" w:space="0" w:color="auto"/>
              <w:bottom w:val="single" w:sz="4" w:space="0" w:color="auto"/>
              <w:right w:val="single" w:sz="4" w:space="0" w:color="auto"/>
            </w:tcBorders>
          </w:tcPr>
          <w:p w14:paraId="4B0D6D87"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4</w:t>
            </w:r>
          </w:p>
        </w:tc>
        <w:tc>
          <w:tcPr>
            <w:tcW w:w="1076" w:type="dxa"/>
            <w:tcBorders>
              <w:top w:val="single" w:sz="4" w:space="0" w:color="auto"/>
              <w:left w:val="single" w:sz="4" w:space="0" w:color="auto"/>
              <w:bottom w:val="single" w:sz="4" w:space="0" w:color="auto"/>
              <w:right w:val="single" w:sz="4" w:space="0" w:color="auto"/>
            </w:tcBorders>
          </w:tcPr>
          <w:p w14:paraId="5D2F9ED2"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A333333334</w:t>
            </w:r>
          </w:p>
        </w:tc>
        <w:tc>
          <w:tcPr>
            <w:tcW w:w="989" w:type="dxa"/>
            <w:tcBorders>
              <w:top w:val="single" w:sz="4" w:space="0" w:color="auto"/>
              <w:left w:val="single" w:sz="4" w:space="0" w:color="auto"/>
              <w:bottom w:val="single" w:sz="4" w:space="0" w:color="auto"/>
              <w:right w:val="single" w:sz="4" w:space="0" w:color="auto"/>
            </w:tcBorders>
          </w:tcPr>
          <w:p w14:paraId="06ECC2C6"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6xxxxx</w:t>
            </w:r>
          </w:p>
        </w:tc>
        <w:tc>
          <w:tcPr>
            <w:tcW w:w="0" w:type="auto"/>
            <w:vMerge/>
            <w:tcBorders>
              <w:top w:val="single" w:sz="4" w:space="0" w:color="auto"/>
              <w:left w:val="single" w:sz="4" w:space="0" w:color="auto"/>
              <w:bottom w:val="single" w:sz="4" w:space="0" w:color="auto"/>
              <w:right w:val="single" w:sz="4" w:space="0" w:color="auto"/>
            </w:tcBorders>
            <w:vAlign w:val="center"/>
          </w:tcPr>
          <w:p w14:paraId="43F8C94C" w14:textId="77777777" w:rsidR="00674F3E" w:rsidRDefault="00674F3E">
            <w:pPr>
              <w:widowControl/>
              <w:jc w:val="left"/>
              <w:rPr>
                <w:rFonts w:ascii="仿宋_GB2312" w:eastAsia="仿宋_GB2312" w:hAnsi="仿宋_GB2312" w:cs="仿宋_GB2312"/>
                <w:b/>
                <w:kern w:val="0"/>
                <w:szCs w:val="21"/>
                <w:lang w:val="zh-CN"/>
              </w:rPr>
            </w:pPr>
          </w:p>
        </w:tc>
        <w:tc>
          <w:tcPr>
            <w:tcW w:w="1169" w:type="dxa"/>
            <w:tcBorders>
              <w:top w:val="single" w:sz="4" w:space="0" w:color="auto"/>
              <w:left w:val="single" w:sz="4" w:space="0" w:color="auto"/>
              <w:bottom w:val="single" w:sz="4" w:space="0" w:color="auto"/>
              <w:right w:val="single" w:sz="4" w:space="0" w:color="auto"/>
            </w:tcBorders>
          </w:tcPr>
          <w:p w14:paraId="3A4F3842"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220000</w:t>
            </w:r>
          </w:p>
        </w:tc>
        <w:tc>
          <w:tcPr>
            <w:tcW w:w="0" w:type="auto"/>
            <w:vMerge/>
            <w:tcBorders>
              <w:top w:val="single" w:sz="4" w:space="0" w:color="auto"/>
              <w:left w:val="single" w:sz="4" w:space="0" w:color="auto"/>
              <w:bottom w:val="single" w:sz="4" w:space="0" w:color="auto"/>
              <w:right w:val="single" w:sz="4" w:space="0" w:color="auto"/>
            </w:tcBorders>
            <w:vAlign w:val="center"/>
          </w:tcPr>
          <w:p w14:paraId="0C2E190A" w14:textId="77777777" w:rsidR="00674F3E" w:rsidRDefault="00674F3E">
            <w:pPr>
              <w:widowControl/>
              <w:jc w:val="left"/>
              <w:rPr>
                <w:rFonts w:ascii="仿宋_GB2312" w:eastAsia="仿宋_GB2312" w:hAnsi="仿宋_GB2312" w:cs="仿宋_GB2312"/>
                <w:b/>
                <w:kern w:val="0"/>
                <w:szCs w:val="21"/>
                <w:lang w:val="zh-CN"/>
              </w:rPr>
            </w:pPr>
          </w:p>
        </w:tc>
        <w:tc>
          <w:tcPr>
            <w:tcW w:w="1259" w:type="dxa"/>
            <w:tcBorders>
              <w:top w:val="single" w:sz="4" w:space="0" w:color="auto"/>
              <w:left w:val="single" w:sz="4" w:space="0" w:color="auto"/>
              <w:bottom w:val="single" w:sz="4" w:space="0" w:color="auto"/>
              <w:right w:val="single" w:sz="4" w:space="0" w:color="auto"/>
            </w:tcBorders>
          </w:tcPr>
          <w:p w14:paraId="5F835F09"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赵四</w:t>
            </w:r>
          </w:p>
        </w:tc>
        <w:tc>
          <w:tcPr>
            <w:tcW w:w="988" w:type="dxa"/>
            <w:tcBorders>
              <w:top w:val="single" w:sz="4" w:space="0" w:color="auto"/>
              <w:left w:val="single" w:sz="4" w:space="0" w:color="auto"/>
              <w:bottom w:val="single" w:sz="4" w:space="0" w:color="auto"/>
              <w:right w:val="single" w:sz="4" w:space="0" w:color="auto"/>
            </w:tcBorders>
          </w:tcPr>
          <w:p w14:paraId="4DE1C445"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赵四</w:t>
            </w:r>
          </w:p>
        </w:tc>
        <w:tc>
          <w:tcPr>
            <w:tcW w:w="1003" w:type="dxa"/>
            <w:tcBorders>
              <w:top w:val="single" w:sz="4" w:space="0" w:color="auto"/>
              <w:left w:val="single" w:sz="4" w:space="0" w:color="auto"/>
              <w:bottom w:val="single" w:sz="4" w:space="0" w:color="auto"/>
              <w:right w:val="single" w:sz="4" w:space="0" w:color="auto"/>
            </w:tcBorders>
          </w:tcPr>
          <w:p w14:paraId="69336966"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1000</w:t>
            </w:r>
          </w:p>
        </w:tc>
        <w:tc>
          <w:tcPr>
            <w:tcW w:w="0" w:type="auto"/>
            <w:vMerge/>
            <w:tcBorders>
              <w:top w:val="single" w:sz="4" w:space="0" w:color="auto"/>
              <w:left w:val="single" w:sz="4" w:space="0" w:color="auto"/>
              <w:bottom w:val="single" w:sz="4" w:space="0" w:color="auto"/>
              <w:right w:val="single" w:sz="4" w:space="0" w:color="auto"/>
            </w:tcBorders>
            <w:vAlign w:val="center"/>
          </w:tcPr>
          <w:p w14:paraId="745F6231" w14:textId="77777777" w:rsidR="00674F3E" w:rsidRDefault="00674F3E">
            <w:pPr>
              <w:widowControl/>
              <w:jc w:val="left"/>
              <w:rPr>
                <w:rFonts w:ascii="仿宋_GB2312" w:eastAsia="仿宋_GB2312" w:hAnsi="仿宋_GB2312" w:cs="仿宋_GB2312"/>
                <w:b/>
                <w:kern w:val="0"/>
                <w:szCs w:val="21"/>
                <w:lang w:val="zh-CN"/>
              </w:rPr>
            </w:pPr>
          </w:p>
        </w:tc>
        <w:tc>
          <w:tcPr>
            <w:tcW w:w="996" w:type="dxa"/>
            <w:tcBorders>
              <w:top w:val="single" w:sz="4" w:space="0" w:color="auto"/>
              <w:left w:val="single" w:sz="4" w:space="0" w:color="auto"/>
              <w:bottom w:val="single" w:sz="4" w:space="0" w:color="auto"/>
              <w:right w:val="single" w:sz="4" w:space="0" w:color="auto"/>
            </w:tcBorders>
          </w:tcPr>
          <w:p w14:paraId="0A46E079"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D</w:t>
            </w:r>
          </w:p>
        </w:tc>
      </w:tr>
      <w:tr w:rsidR="00674F3E" w14:paraId="63F87B2B" w14:textId="77777777">
        <w:trPr>
          <w:jc w:val="center"/>
        </w:trPr>
        <w:tc>
          <w:tcPr>
            <w:tcW w:w="696" w:type="dxa"/>
            <w:tcBorders>
              <w:top w:val="single" w:sz="4" w:space="0" w:color="auto"/>
              <w:left w:val="single" w:sz="4" w:space="0" w:color="auto"/>
              <w:bottom w:val="single" w:sz="4" w:space="0" w:color="auto"/>
              <w:right w:val="single" w:sz="4" w:space="0" w:color="auto"/>
            </w:tcBorders>
          </w:tcPr>
          <w:p w14:paraId="0F98621E"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5</w:t>
            </w:r>
          </w:p>
        </w:tc>
        <w:tc>
          <w:tcPr>
            <w:tcW w:w="1076" w:type="dxa"/>
            <w:tcBorders>
              <w:top w:val="single" w:sz="4" w:space="0" w:color="auto"/>
              <w:left w:val="single" w:sz="4" w:space="0" w:color="auto"/>
              <w:bottom w:val="single" w:sz="4" w:space="0" w:color="auto"/>
              <w:right w:val="single" w:sz="4" w:space="0" w:color="auto"/>
            </w:tcBorders>
          </w:tcPr>
          <w:p w14:paraId="63F8D810"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A333333335</w:t>
            </w:r>
          </w:p>
        </w:tc>
        <w:tc>
          <w:tcPr>
            <w:tcW w:w="989" w:type="dxa"/>
            <w:tcBorders>
              <w:top w:val="single" w:sz="4" w:space="0" w:color="auto"/>
              <w:left w:val="single" w:sz="4" w:space="0" w:color="auto"/>
              <w:bottom w:val="single" w:sz="4" w:space="0" w:color="auto"/>
              <w:right w:val="single" w:sz="4" w:space="0" w:color="auto"/>
            </w:tcBorders>
          </w:tcPr>
          <w:p w14:paraId="5C85BC5F"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6xxxxx</w:t>
            </w:r>
          </w:p>
        </w:tc>
        <w:tc>
          <w:tcPr>
            <w:tcW w:w="0" w:type="auto"/>
            <w:vMerge/>
            <w:tcBorders>
              <w:top w:val="single" w:sz="4" w:space="0" w:color="auto"/>
              <w:left w:val="single" w:sz="4" w:space="0" w:color="auto"/>
              <w:bottom w:val="single" w:sz="4" w:space="0" w:color="auto"/>
              <w:right w:val="single" w:sz="4" w:space="0" w:color="auto"/>
            </w:tcBorders>
            <w:vAlign w:val="center"/>
          </w:tcPr>
          <w:p w14:paraId="11986B32" w14:textId="77777777" w:rsidR="00674F3E" w:rsidRDefault="00674F3E">
            <w:pPr>
              <w:widowControl/>
              <w:jc w:val="left"/>
              <w:rPr>
                <w:rFonts w:ascii="仿宋_GB2312" w:eastAsia="仿宋_GB2312" w:hAnsi="仿宋_GB2312" w:cs="仿宋_GB2312"/>
                <w:b/>
                <w:kern w:val="0"/>
                <w:szCs w:val="21"/>
                <w:lang w:val="zh-CN"/>
              </w:rPr>
            </w:pPr>
          </w:p>
        </w:tc>
        <w:tc>
          <w:tcPr>
            <w:tcW w:w="1169" w:type="dxa"/>
            <w:tcBorders>
              <w:top w:val="single" w:sz="4" w:space="0" w:color="auto"/>
              <w:left w:val="single" w:sz="4" w:space="0" w:color="auto"/>
              <w:bottom w:val="single" w:sz="4" w:space="0" w:color="auto"/>
              <w:right w:val="single" w:sz="4" w:space="0" w:color="auto"/>
            </w:tcBorders>
          </w:tcPr>
          <w:p w14:paraId="1F55191C"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210000</w:t>
            </w:r>
          </w:p>
        </w:tc>
        <w:tc>
          <w:tcPr>
            <w:tcW w:w="0" w:type="auto"/>
            <w:vMerge/>
            <w:tcBorders>
              <w:top w:val="single" w:sz="4" w:space="0" w:color="auto"/>
              <w:left w:val="single" w:sz="4" w:space="0" w:color="auto"/>
              <w:bottom w:val="single" w:sz="4" w:space="0" w:color="auto"/>
              <w:right w:val="single" w:sz="4" w:space="0" w:color="auto"/>
            </w:tcBorders>
            <w:vAlign w:val="center"/>
          </w:tcPr>
          <w:p w14:paraId="1EB106A3" w14:textId="77777777" w:rsidR="00674F3E" w:rsidRDefault="00674F3E">
            <w:pPr>
              <w:widowControl/>
              <w:jc w:val="left"/>
              <w:rPr>
                <w:rFonts w:ascii="仿宋_GB2312" w:eastAsia="仿宋_GB2312" w:hAnsi="仿宋_GB2312" w:cs="仿宋_GB2312"/>
                <w:b/>
                <w:kern w:val="0"/>
                <w:szCs w:val="21"/>
                <w:lang w:val="zh-CN"/>
              </w:rPr>
            </w:pPr>
          </w:p>
        </w:tc>
        <w:tc>
          <w:tcPr>
            <w:tcW w:w="1259" w:type="dxa"/>
            <w:tcBorders>
              <w:top w:val="single" w:sz="4" w:space="0" w:color="auto"/>
              <w:left w:val="single" w:sz="4" w:space="0" w:color="auto"/>
              <w:bottom w:val="single" w:sz="4" w:space="0" w:color="auto"/>
              <w:right w:val="single" w:sz="4" w:space="0" w:color="auto"/>
            </w:tcBorders>
          </w:tcPr>
          <w:p w14:paraId="08586F4A"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周五</w:t>
            </w:r>
          </w:p>
        </w:tc>
        <w:tc>
          <w:tcPr>
            <w:tcW w:w="988" w:type="dxa"/>
            <w:tcBorders>
              <w:top w:val="single" w:sz="4" w:space="0" w:color="auto"/>
              <w:left w:val="single" w:sz="4" w:space="0" w:color="auto"/>
              <w:bottom w:val="single" w:sz="4" w:space="0" w:color="auto"/>
              <w:right w:val="single" w:sz="4" w:space="0" w:color="auto"/>
            </w:tcBorders>
          </w:tcPr>
          <w:p w14:paraId="43B215B7"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周五</w:t>
            </w:r>
          </w:p>
        </w:tc>
        <w:tc>
          <w:tcPr>
            <w:tcW w:w="1003" w:type="dxa"/>
            <w:tcBorders>
              <w:top w:val="single" w:sz="4" w:space="0" w:color="auto"/>
              <w:left w:val="single" w:sz="4" w:space="0" w:color="auto"/>
              <w:bottom w:val="single" w:sz="4" w:space="0" w:color="auto"/>
              <w:right w:val="single" w:sz="4" w:space="0" w:color="auto"/>
            </w:tcBorders>
          </w:tcPr>
          <w:p w14:paraId="21F7F14A"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1000</w:t>
            </w:r>
          </w:p>
        </w:tc>
        <w:tc>
          <w:tcPr>
            <w:tcW w:w="0" w:type="auto"/>
            <w:vMerge/>
            <w:tcBorders>
              <w:top w:val="single" w:sz="4" w:space="0" w:color="auto"/>
              <w:left w:val="single" w:sz="4" w:space="0" w:color="auto"/>
              <w:bottom w:val="single" w:sz="4" w:space="0" w:color="auto"/>
              <w:right w:val="single" w:sz="4" w:space="0" w:color="auto"/>
            </w:tcBorders>
            <w:vAlign w:val="center"/>
          </w:tcPr>
          <w:p w14:paraId="3FF05543" w14:textId="77777777" w:rsidR="00674F3E" w:rsidRDefault="00674F3E">
            <w:pPr>
              <w:widowControl/>
              <w:jc w:val="left"/>
              <w:rPr>
                <w:rFonts w:ascii="仿宋_GB2312" w:eastAsia="仿宋_GB2312" w:hAnsi="仿宋_GB2312" w:cs="仿宋_GB2312"/>
                <w:b/>
                <w:kern w:val="0"/>
                <w:szCs w:val="21"/>
                <w:lang w:val="zh-CN"/>
              </w:rPr>
            </w:pPr>
          </w:p>
        </w:tc>
        <w:tc>
          <w:tcPr>
            <w:tcW w:w="996" w:type="dxa"/>
            <w:tcBorders>
              <w:top w:val="single" w:sz="4" w:space="0" w:color="auto"/>
              <w:left w:val="single" w:sz="4" w:space="0" w:color="auto"/>
              <w:bottom w:val="single" w:sz="4" w:space="0" w:color="auto"/>
              <w:right w:val="single" w:sz="4" w:space="0" w:color="auto"/>
            </w:tcBorders>
          </w:tcPr>
          <w:p w14:paraId="0203B9B8"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E</w:t>
            </w:r>
          </w:p>
        </w:tc>
      </w:tr>
      <w:tr w:rsidR="00674F3E" w14:paraId="1EE7D8F4" w14:textId="77777777">
        <w:trPr>
          <w:jc w:val="center"/>
        </w:trPr>
        <w:tc>
          <w:tcPr>
            <w:tcW w:w="696" w:type="dxa"/>
            <w:tcBorders>
              <w:top w:val="single" w:sz="4" w:space="0" w:color="auto"/>
              <w:left w:val="single" w:sz="4" w:space="0" w:color="auto"/>
              <w:bottom w:val="single" w:sz="4" w:space="0" w:color="auto"/>
              <w:right w:val="single" w:sz="4" w:space="0" w:color="auto"/>
            </w:tcBorders>
          </w:tcPr>
          <w:p w14:paraId="4E9A0AB9"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6</w:t>
            </w:r>
          </w:p>
        </w:tc>
        <w:tc>
          <w:tcPr>
            <w:tcW w:w="1076" w:type="dxa"/>
            <w:tcBorders>
              <w:top w:val="single" w:sz="4" w:space="0" w:color="auto"/>
              <w:left w:val="single" w:sz="4" w:space="0" w:color="auto"/>
              <w:bottom w:val="single" w:sz="4" w:space="0" w:color="auto"/>
              <w:right w:val="single" w:sz="4" w:space="0" w:color="auto"/>
            </w:tcBorders>
          </w:tcPr>
          <w:p w14:paraId="069A2D7B"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A333333336</w:t>
            </w:r>
          </w:p>
        </w:tc>
        <w:tc>
          <w:tcPr>
            <w:tcW w:w="989" w:type="dxa"/>
            <w:tcBorders>
              <w:top w:val="single" w:sz="4" w:space="0" w:color="auto"/>
              <w:left w:val="single" w:sz="4" w:space="0" w:color="auto"/>
              <w:bottom w:val="single" w:sz="4" w:space="0" w:color="auto"/>
              <w:right w:val="single" w:sz="4" w:space="0" w:color="auto"/>
            </w:tcBorders>
          </w:tcPr>
          <w:p w14:paraId="63CF8C17"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6xxxxx</w:t>
            </w:r>
          </w:p>
        </w:tc>
        <w:tc>
          <w:tcPr>
            <w:tcW w:w="0" w:type="auto"/>
            <w:vMerge/>
            <w:tcBorders>
              <w:top w:val="single" w:sz="4" w:space="0" w:color="auto"/>
              <w:left w:val="single" w:sz="4" w:space="0" w:color="auto"/>
              <w:bottom w:val="single" w:sz="4" w:space="0" w:color="auto"/>
              <w:right w:val="single" w:sz="4" w:space="0" w:color="auto"/>
            </w:tcBorders>
            <w:vAlign w:val="center"/>
          </w:tcPr>
          <w:p w14:paraId="2C3E4857" w14:textId="77777777" w:rsidR="00674F3E" w:rsidRDefault="00674F3E">
            <w:pPr>
              <w:widowControl/>
              <w:jc w:val="left"/>
              <w:rPr>
                <w:rFonts w:ascii="仿宋_GB2312" w:eastAsia="仿宋_GB2312" w:hAnsi="仿宋_GB2312" w:cs="仿宋_GB2312"/>
                <w:b/>
                <w:kern w:val="0"/>
                <w:szCs w:val="21"/>
                <w:lang w:val="zh-CN"/>
              </w:rPr>
            </w:pPr>
          </w:p>
        </w:tc>
        <w:tc>
          <w:tcPr>
            <w:tcW w:w="1169" w:type="dxa"/>
            <w:tcBorders>
              <w:top w:val="single" w:sz="4" w:space="0" w:color="auto"/>
              <w:left w:val="single" w:sz="4" w:space="0" w:color="auto"/>
              <w:bottom w:val="single" w:sz="4" w:space="0" w:color="auto"/>
              <w:right w:val="single" w:sz="4" w:space="0" w:color="auto"/>
            </w:tcBorders>
          </w:tcPr>
          <w:p w14:paraId="6C6A005A"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200000</w:t>
            </w:r>
          </w:p>
        </w:tc>
        <w:tc>
          <w:tcPr>
            <w:tcW w:w="0" w:type="auto"/>
            <w:vMerge/>
            <w:tcBorders>
              <w:top w:val="single" w:sz="4" w:space="0" w:color="auto"/>
              <w:left w:val="single" w:sz="4" w:space="0" w:color="auto"/>
              <w:bottom w:val="single" w:sz="4" w:space="0" w:color="auto"/>
              <w:right w:val="single" w:sz="4" w:space="0" w:color="auto"/>
            </w:tcBorders>
            <w:vAlign w:val="center"/>
          </w:tcPr>
          <w:p w14:paraId="399C793A" w14:textId="77777777" w:rsidR="00674F3E" w:rsidRDefault="00674F3E">
            <w:pPr>
              <w:widowControl/>
              <w:jc w:val="left"/>
              <w:rPr>
                <w:rFonts w:ascii="仿宋_GB2312" w:eastAsia="仿宋_GB2312" w:hAnsi="仿宋_GB2312" w:cs="仿宋_GB2312"/>
                <w:b/>
                <w:kern w:val="0"/>
                <w:szCs w:val="21"/>
                <w:lang w:val="zh-CN"/>
              </w:rPr>
            </w:pPr>
          </w:p>
        </w:tc>
        <w:tc>
          <w:tcPr>
            <w:tcW w:w="1259" w:type="dxa"/>
            <w:tcBorders>
              <w:top w:val="single" w:sz="4" w:space="0" w:color="auto"/>
              <w:left w:val="single" w:sz="4" w:space="0" w:color="auto"/>
              <w:bottom w:val="single" w:sz="4" w:space="0" w:color="auto"/>
              <w:right w:val="single" w:sz="4" w:space="0" w:color="auto"/>
            </w:tcBorders>
          </w:tcPr>
          <w:p w14:paraId="42E37BB7"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周六</w:t>
            </w:r>
          </w:p>
        </w:tc>
        <w:tc>
          <w:tcPr>
            <w:tcW w:w="988" w:type="dxa"/>
            <w:tcBorders>
              <w:top w:val="single" w:sz="4" w:space="0" w:color="auto"/>
              <w:left w:val="single" w:sz="4" w:space="0" w:color="auto"/>
              <w:bottom w:val="single" w:sz="4" w:space="0" w:color="auto"/>
              <w:right w:val="single" w:sz="4" w:space="0" w:color="auto"/>
            </w:tcBorders>
          </w:tcPr>
          <w:p w14:paraId="2C0DE68F"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周六</w:t>
            </w:r>
          </w:p>
        </w:tc>
        <w:tc>
          <w:tcPr>
            <w:tcW w:w="1003" w:type="dxa"/>
            <w:tcBorders>
              <w:top w:val="single" w:sz="4" w:space="0" w:color="auto"/>
              <w:left w:val="single" w:sz="4" w:space="0" w:color="auto"/>
              <w:bottom w:val="single" w:sz="4" w:space="0" w:color="auto"/>
              <w:right w:val="single" w:sz="4" w:space="0" w:color="auto"/>
            </w:tcBorders>
          </w:tcPr>
          <w:p w14:paraId="2C52D5F1"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1000</w:t>
            </w:r>
          </w:p>
        </w:tc>
        <w:tc>
          <w:tcPr>
            <w:tcW w:w="0" w:type="auto"/>
            <w:vMerge/>
            <w:tcBorders>
              <w:top w:val="single" w:sz="4" w:space="0" w:color="auto"/>
              <w:left w:val="single" w:sz="4" w:space="0" w:color="auto"/>
              <w:bottom w:val="single" w:sz="4" w:space="0" w:color="auto"/>
              <w:right w:val="single" w:sz="4" w:space="0" w:color="auto"/>
            </w:tcBorders>
            <w:vAlign w:val="center"/>
          </w:tcPr>
          <w:p w14:paraId="00E637CD" w14:textId="77777777" w:rsidR="00674F3E" w:rsidRDefault="00674F3E">
            <w:pPr>
              <w:widowControl/>
              <w:jc w:val="left"/>
              <w:rPr>
                <w:rFonts w:ascii="仿宋_GB2312" w:eastAsia="仿宋_GB2312" w:hAnsi="仿宋_GB2312" w:cs="仿宋_GB2312"/>
                <w:b/>
                <w:kern w:val="0"/>
                <w:szCs w:val="21"/>
                <w:lang w:val="zh-CN"/>
              </w:rPr>
            </w:pPr>
          </w:p>
        </w:tc>
        <w:tc>
          <w:tcPr>
            <w:tcW w:w="996" w:type="dxa"/>
            <w:tcBorders>
              <w:top w:val="single" w:sz="4" w:space="0" w:color="auto"/>
              <w:left w:val="single" w:sz="4" w:space="0" w:color="auto"/>
              <w:bottom w:val="single" w:sz="4" w:space="0" w:color="auto"/>
              <w:right w:val="single" w:sz="4" w:space="0" w:color="auto"/>
            </w:tcBorders>
          </w:tcPr>
          <w:p w14:paraId="1AF75E42"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F</w:t>
            </w:r>
          </w:p>
        </w:tc>
      </w:tr>
      <w:tr w:rsidR="00674F3E" w14:paraId="4BC2B2BA" w14:textId="77777777">
        <w:trPr>
          <w:jc w:val="center"/>
        </w:trPr>
        <w:tc>
          <w:tcPr>
            <w:tcW w:w="696" w:type="dxa"/>
            <w:tcBorders>
              <w:top w:val="single" w:sz="4" w:space="0" w:color="auto"/>
              <w:left w:val="single" w:sz="4" w:space="0" w:color="auto"/>
              <w:bottom w:val="single" w:sz="4" w:space="0" w:color="auto"/>
              <w:right w:val="single" w:sz="4" w:space="0" w:color="auto"/>
            </w:tcBorders>
          </w:tcPr>
          <w:p w14:paraId="3F7AD8DA"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7</w:t>
            </w:r>
          </w:p>
        </w:tc>
        <w:tc>
          <w:tcPr>
            <w:tcW w:w="1076" w:type="dxa"/>
            <w:tcBorders>
              <w:top w:val="single" w:sz="4" w:space="0" w:color="auto"/>
              <w:left w:val="single" w:sz="4" w:space="0" w:color="auto"/>
              <w:bottom w:val="single" w:sz="4" w:space="0" w:color="auto"/>
              <w:right w:val="single" w:sz="4" w:space="0" w:color="auto"/>
            </w:tcBorders>
          </w:tcPr>
          <w:p w14:paraId="66DDFAF9"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A333333337</w:t>
            </w:r>
          </w:p>
        </w:tc>
        <w:tc>
          <w:tcPr>
            <w:tcW w:w="989" w:type="dxa"/>
            <w:tcBorders>
              <w:top w:val="single" w:sz="4" w:space="0" w:color="auto"/>
              <w:left w:val="single" w:sz="4" w:space="0" w:color="auto"/>
              <w:bottom w:val="single" w:sz="4" w:space="0" w:color="auto"/>
              <w:right w:val="single" w:sz="4" w:space="0" w:color="auto"/>
            </w:tcBorders>
          </w:tcPr>
          <w:p w14:paraId="6CF20775"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6xxxxx</w:t>
            </w:r>
          </w:p>
        </w:tc>
        <w:tc>
          <w:tcPr>
            <w:tcW w:w="0" w:type="auto"/>
            <w:vMerge/>
            <w:tcBorders>
              <w:top w:val="single" w:sz="4" w:space="0" w:color="auto"/>
              <w:left w:val="single" w:sz="4" w:space="0" w:color="auto"/>
              <w:bottom w:val="single" w:sz="4" w:space="0" w:color="auto"/>
              <w:right w:val="single" w:sz="4" w:space="0" w:color="auto"/>
            </w:tcBorders>
            <w:vAlign w:val="center"/>
          </w:tcPr>
          <w:p w14:paraId="1C150E04" w14:textId="77777777" w:rsidR="00674F3E" w:rsidRDefault="00674F3E">
            <w:pPr>
              <w:widowControl/>
              <w:jc w:val="left"/>
              <w:rPr>
                <w:rFonts w:ascii="仿宋_GB2312" w:eastAsia="仿宋_GB2312" w:hAnsi="仿宋_GB2312" w:cs="仿宋_GB2312"/>
                <w:b/>
                <w:kern w:val="0"/>
                <w:szCs w:val="21"/>
                <w:lang w:val="zh-CN"/>
              </w:rPr>
            </w:pPr>
          </w:p>
        </w:tc>
        <w:tc>
          <w:tcPr>
            <w:tcW w:w="1169" w:type="dxa"/>
            <w:tcBorders>
              <w:top w:val="single" w:sz="4" w:space="0" w:color="auto"/>
              <w:left w:val="single" w:sz="4" w:space="0" w:color="auto"/>
              <w:bottom w:val="single" w:sz="4" w:space="0" w:color="auto"/>
              <w:right w:val="single" w:sz="4" w:space="0" w:color="auto"/>
            </w:tcBorders>
          </w:tcPr>
          <w:p w14:paraId="6EC76254"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90000</w:t>
            </w:r>
          </w:p>
        </w:tc>
        <w:tc>
          <w:tcPr>
            <w:tcW w:w="0" w:type="auto"/>
            <w:vMerge/>
            <w:tcBorders>
              <w:top w:val="single" w:sz="4" w:space="0" w:color="auto"/>
              <w:left w:val="single" w:sz="4" w:space="0" w:color="auto"/>
              <w:bottom w:val="single" w:sz="4" w:space="0" w:color="auto"/>
              <w:right w:val="single" w:sz="4" w:space="0" w:color="auto"/>
            </w:tcBorders>
            <w:vAlign w:val="center"/>
          </w:tcPr>
          <w:p w14:paraId="7214172A" w14:textId="77777777" w:rsidR="00674F3E" w:rsidRDefault="00674F3E">
            <w:pPr>
              <w:widowControl/>
              <w:jc w:val="left"/>
              <w:rPr>
                <w:rFonts w:ascii="仿宋_GB2312" w:eastAsia="仿宋_GB2312" w:hAnsi="仿宋_GB2312" w:cs="仿宋_GB2312"/>
                <w:b/>
                <w:kern w:val="0"/>
                <w:szCs w:val="21"/>
                <w:lang w:val="zh-CN"/>
              </w:rPr>
            </w:pPr>
          </w:p>
        </w:tc>
        <w:tc>
          <w:tcPr>
            <w:tcW w:w="1259" w:type="dxa"/>
            <w:tcBorders>
              <w:top w:val="single" w:sz="4" w:space="0" w:color="auto"/>
              <w:left w:val="single" w:sz="4" w:space="0" w:color="auto"/>
              <w:bottom w:val="single" w:sz="4" w:space="0" w:color="auto"/>
              <w:right w:val="single" w:sz="4" w:space="0" w:color="auto"/>
            </w:tcBorders>
          </w:tcPr>
          <w:p w14:paraId="07C9A0C5"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陈七</w:t>
            </w:r>
          </w:p>
        </w:tc>
        <w:tc>
          <w:tcPr>
            <w:tcW w:w="988" w:type="dxa"/>
            <w:tcBorders>
              <w:top w:val="single" w:sz="4" w:space="0" w:color="auto"/>
              <w:left w:val="single" w:sz="4" w:space="0" w:color="auto"/>
              <w:bottom w:val="single" w:sz="4" w:space="0" w:color="auto"/>
              <w:right w:val="single" w:sz="4" w:space="0" w:color="auto"/>
            </w:tcBorders>
          </w:tcPr>
          <w:p w14:paraId="5D295871"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陈七</w:t>
            </w:r>
          </w:p>
        </w:tc>
        <w:tc>
          <w:tcPr>
            <w:tcW w:w="1003" w:type="dxa"/>
            <w:tcBorders>
              <w:top w:val="single" w:sz="4" w:space="0" w:color="auto"/>
              <w:left w:val="single" w:sz="4" w:space="0" w:color="auto"/>
              <w:bottom w:val="single" w:sz="4" w:space="0" w:color="auto"/>
              <w:right w:val="single" w:sz="4" w:space="0" w:color="auto"/>
            </w:tcBorders>
          </w:tcPr>
          <w:p w14:paraId="1632CDB5"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1000</w:t>
            </w:r>
          </w:p>
        </w:tc>
        <w:tc>
          <w:tcPr>
            <w:tcW w:w="0" w:type="auto"/>
            <w:vMerge/>
            <w:tcBorders>
              <w:top w:val="single" w:sz="4" w:space="0" w:color="auto"/>
              <w:left w:val="single" w:sz="4" w:space="0" w:color="auto"/>
              <w:bottom w:val="single" w:sz="4" w:space="0" w:color="auto"/>
              <w:right w:val="single" w:sz="4" w:space="0" w:color="auto"/>
            </w:tcBorders>
            <w:vAlign w:val="center"/>
          </w:tcPr>
          <w:p w14:paraId="360A4663" w14:textId="77777777" w:rsidR="00674F3E" w:rsidRDefault="00674F3E">
            <w:pPr>
              <w:widowControl/>
              <w:jc w:val="left"/>
              <w:rPr>
                <w:rFonts w:ascii="仿宋_GB2312" w:eastAsia="仿宋_GB2312" w:hAnsi="仿宋_GB2312" w:cs="仿宋_GB2312"/>
                <w:b/>
                <w:kern w:val="0"/>
                <w:szCs w:val="21"/>
                <w:lang w:val="zh-CN"/>
              </w:rPr>
            </w:pPr>
          </w:p>
        </w:tc>
        <w:tc>
          <w:tcPr>
            <w:tcW w:w="996" w:type="dxa"/>
            <w:tcBorders>
              <w:top w:val="single" w:sz="4" w:space="0" w:color="auto"/>
              <w:left w:val="single" w:sz="4" w:space="0" w:color="auto"/>
              <w:bottom w:val="single" w:sz="4" w:space="0" w:color="auto"/>
              <w:right w:val="single" w:sz="4" w:space="0" w:color="auto"/>
            </w:tcBorders>
          </w:tcPr>
          <w:p w14:paraId="433B0F31"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G</w:t>
            </w:r>
          </w:p>
        </w:tc>
      </w:tr>
      <w:tr w:rsidR="00674F3E" w14:paraId="6EBA315D" w14:textId="77777777">
        <w:trPr>
          <w:jc w:val="center"/>
        </w:trPr>
        <w:tc>
          <w:tcPr>
            <w:tcW w:w="696" w:type="dxa"/>
            <w:tcBorders>
              <w:top w:val="single" w:sz="4" w:space="0" w:color="auto"/>
              <w:left w:val="single" w:sz="4" w:space="0" w:color="auto"/>
              <w:bottom w:val="single" w:sz="4" w:space="0" w:color="auto"/>
              <w:right w:val="single" w:sz="4" w:space="0" w:color="auto"/>
            </w:tcBorders>
          </w:tcPr>
          <w:p w14:paraId="074F60F1"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8</w:t>
            </w:r>
          </w:p>
        </w:tc>
        <w:tc>
          <w:tcPr>
            <w:tcW w:w="1076" w:type="dxa"/>
            <w:tcBorders>
              <w:top w:val="single" w:sz="4" w:space="0" w:color="auto"/>
              <w:left w:val="single" w:sz="4" w:space="0" w:color="auto"/>
              <w:bottom w:val="single" w:sz="4" w:space="0" w:color="auto"/>
              <w:right w:val="single" w:sz="4" w:space="0" w:color="auto"/>
            </w:tcBorders>
          </w:tcPr>
          <w:p w14:paraId="0B46A916"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A333333338</w:t>
            </w:r>
          </w:p>
        </w:tc>
        <w:tc>
          <w:tcPr>
            <w:tcW w:w="989" w:type="dxa"/>
            <w:tcBorders>
              <w:top w:val="single" w:sz="4" w:space="0" w:color="auto"/>
              <w:left w:val="single" w:sz="4" w:space="0" w:color="auto"/>
              <w:bottom w:val="single" w:sz="4" w:space="0" w:color="auto"/>
              <w:right w:val="single" w:sz="4" w:space="0" w:color="auto"/>
            </w:tcBorders>
          </w:tcPr>
          <w:p w14:paraId="30D178ED"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6xxxxx</w:t>
            </w:r>
          </w:p>
        </w:tc>
        <w:tc>
          <w:tcPr>
            <w:tcW w:w="0" w:type="auto"/>
            <w:vMerge/>
            <w:tcBorders>
              <w:top w:val="single" w:sz="4" w:space="0" w:color="auto"/>
              <w:left w:val="single" w:sz="4" w:space="0" w:color="auto"/>
              <w:bottom w:val="single" w:sz="4" w:space="0" w:color="auto"/>
              <w:right w:val="single" w:sz="4" w:space="0" w:color="auto"/>
            </w:tcBorders>
            <w:vAlign w:val="center"/>
          </w:tcPr>
          <w:p w14:paraId="6F18DDF5" w14:textId="77777777" w:rsidR="00674F3E" w:rsidRDefault="00674F3E">
            <w:pPr>
              <w:widowControl/>
              <w:jc w:val="left"/>
              <w:rPr>
                <w:rFonts w:ascii="仿宋_GB2312" w:eastAsia="仿宋_GB2312" w:hAnsi="仿宋_GB2312" w:cs="仿宋_GB2312"/>
                <w:b/>
                <w:kern w:val="0"/>
                <w:szCs w:val="21"/>
                <w:lang w:val="zh-CN"/>
              </w:rPr>
            </w:pPr>
          </w:p>
        </w:tc>
        <w:tc>
          <w:tcPr>
            <w:tcW w:w="1169" w:type="dxa"/>
            <w:tcBorders>
              <w:top w:val="single" w:sz="4" w:space="0" w:color="auto"/>
              <w:left w:val="single" w:sz="4" w:space="0" w:color="auto"/>
              <w:bottom w:val="single" w:sz="4" w:space="0" w:color="auto"/>
              <w:right w:val="single" w:sz="4" w:space="0" w:color="auto"/>
            </w:tcBorders>
          </w:tcPr>
          <w:p w14:paraId="2807F33F"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80000</w:t>
            </w:r>
          </w:p>
        </w:tc>
        <w:tc>
          <w:tcPr>
            <w:tcW w:w="0" w:type="auto"/>
            <w:vMerge/>
            <w:tcBorders>
              <w:top w:val="single" w:sz="4" w:space="0" w:color="auto"/>
              <w:left w:val="single" w:sz="4" w:space="0" w:color="auto"/>
              <w:bottom w:val="single" w:sz="4" w:space="0" w:color="auto"/>
              <w:right w:val="single" w:sz="4" w:space="0" w:color="auto"/>
            </w:tcBorders>
            <w:vAlign w:val="center"/>
          </w:tcPr>
          <w:p w14:paraId="540B7973" w14:textId="77777777" w:rsidR="00674F3E" w:rsidRDefault="00674F3E">
            <w:pPr>
              <w:widowControl/>
              <w:jc w:val="left"/>
              <w:rPr>
                <w:rFonts w:ascii="仿宋_GB2312" w:eastAsia="仿宋_GB2312" w:hAnsi="仿宋_GB2312" w:cs="仿宋_GB2312"/>
                <w:b/>
                <w:kern w:val="0"/>
                <w:szCs w:val="21"/>
                <w:lang w:val="zh-CN"/>
              </w:rPr>
            </w:pPr>
          </w:p>
        </w:tc>
        <w:tc>
          <w:tcPr>
            <w:tcW w:w="1259" w:type="dxa"/>
            <w:tcBorders>
              <w:top w:val="single" w:sz="4" w:space="0" w:color="auto"/>
              <w:left w:val="single" w:sz="4" w:space="0" w:color="auto"/>
              <w:bottom w:val="single" w:sz="4" w:space="0" w:color="auto"/>
              <w:right w:val="single" w:sz="4" w:space="0" w:color="auto"/>
            </w:tcBorders>
          </w:tcPr>
          <w:p w14:paraId="573F0825"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刘八</w:t>
            </w:r>
          </w:p>
        </w:tc>
        <w:tc>
          <w:tcPr>
            <w:tcW w:w="988" w:type="dxa"/>
            <w:tcBorders>
              <w:top w:val="single" w:sz="4" w:space="0" w:color="auto"/>
              <w:left w:val="single" w:sz="4" w:space="0" w:color="auto"/>
              <w:bottom w:val="single" w:sz="4" w:space="0" w:color="auto"/>
              <w:right w:val="single" w:sz="4" w:space="0" w:color="auto"/>
            </w:tcBorders>
          </w:tcPr>
          <w:p w14:paraId="28284557"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刘八</w:t>
            </w:r>
          </w:p>
        </w:tc>
        <w:tc>
          <w:tcPr>
            <w:tcW w:w="1003" w:type="dxa"/>
            <w:tcBorders>
              <w:top w:val="single" w:sz="4" w:space="0" w:color="auto"/>
              <w:left w:val="single" w:sz="4" w:space="0" w:color="auto"/>
              <w:bottom w:val="single" w:sz="4" w:space="0" w:color="auto"/>
              <w:right w:val="single" w:sz="4" w:space="0" w:color="auto"/>
            </w:tcBorders>
          </w:tcPr>
          <w:p w14:paraId="2BF8E28A"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1000</w:t>
            </w:r>
          </w:p>
        </w:tc>
        <w:tc>
          <w:tcPr>
            <w:tcW w:w="0" w:type="auto"/>
            <w:vMerge/>
            <w:tcBorders>
              <w:top w:val="single" w:sz="4" w:space="0" w:color="auto"/>
              <w:left w:val="single" w:sz="4" w:space="0" w:color="auto"/>
              <w:bottom w:val="single" w:sz="4" w:space="0" w:color="auto"/>
              <w:right w:val="single" w:sz="4" w:space="0" w:color="auto"/>
            </w:tcBorders>
            <w:vAlign w:val="center"/>
          </w:tcPr>
          <w:p w14:paraId="06178A00" w14:textId="77777777" w:rsidR="00674F3E" w:rsidRDefault="00674F3E">
            <w:pPr>
              <w:widowControl/>
              <w:jc w:val="left"/>
              <w:rPr>
                <w:rFonts w:ascii="仿宋_GB2312" w:eastAsia="仿宋_GB2312" w:hAnsi="仿宋_GB2312" w:cs="仿宋_GB2312"/>
                <w:b/>
                <w:kern w:val="0"/>
                <w:szCs w:val="21"/>
                <w:lang w:val="zh-CN"/>
              </w:rPr>
            </w:pPr>
          </w:p>
        </w:tc>
        <w:tc>
          <w:tcPr>
            <w:tcW w:w="996" w:type="dxa"/>
            <w:tcBorders>
              <w:top w:val="single" w:sz="4" w:space="0" w:color="auto"/>
              <w:left w:val="single" w:sz="4" w:space="0" w:color="auto"/>
              <w:bottom w:val="single" w:sz="4" w:space="0" w:color="auto"/>
              <w:right w:val="single" w:sz="4" w:space="0" w:color="auto"/>
            </w:tcBorders>
          </w:tcPr>
          <w:p w14:paraId="5015C883"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H</w:t>
            </w:r>
          </w:p>
        </w:tc>
      </w:tr>
      <w:tr w:rsidR="00674F3E" w14:paraId="4E9B96E9" w14:textId="77777777">
        <w:trPr>
          <w:jc w:val="center"/>
        </w:trPr>
        <w:tc>
          <w:tcPr>
            <w:tcW w:w="696" w:type="dxa"/>
            <w:tcBorders>
              <w:top w:val="single" w:sz="4" w:space="0" w:color="auto"/>
              <w:left w:val="single" w:sz="4" w:space="0" w:color="auto"/>
              <w:bottom w:val="single" w:sz="4" w:space="0" w:color="auto"/>
              <w:right w:val="single" w:sz="4" w:space="0" w:color="auto"/>
            </w:tcBorders>
          </w:tcPr>
          <w:p w14:paraId="7804AC93"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9</w:t>
            </w:r>
          </w:p>
        </w:tc>
        <w:tc>
          <w:tcPr>
            <w:tcW w:w="1076" w:type="dxa"/>
            <w:tcBorders>
              <w:top w:val="single" w:sz="4" w:space="0" w:color="auto"/>
              <w:left w:val="single" w:sz="4" w:space="0" w:color="auto"/>
              <w:bottom w:val="single" w:sz="4" w:space="0" w:color="auto"/>
              <w:right w:val="single" w:sz="4" w:space="0" w:color="auto"/>
            </w:tcBorders>
          </w:tcPr>
          <w:p w14:paraId="665D83E7"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A333333339</w:t>
            </w:r>
          </w:p>
        </w:tc>
        <w:tc>
          <w:tcPr>
            <w:tcW w:w="989" w:type="dxa"/>
            <w:tcBorders>
              <w:top w:val="single" w:sz="4" w:space="0" w:color="auto"/>
              <w:left w:val="single" w:sz="4" w:space="0" w:color="auto"/>
              <w:bottom w:val="single" w:sz="4" w:space="0" w:color="auto"/>
              <w:right w:val="single" w:sz="4" w:space="0" w:color="auto"/>
            </w:tcBorders>
          </w:tcPr>
          <w:p w14:paraId="2C9A228A"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6xxxxx</w:t>
            </w:r>
          </w:p>
        </w:tc>
        <w:tc>
          <w:tcPr>
            <w:tcW w:w="0" w:type="auto"/>
            <w:vMerge/>
            <w:tcBorders>
              <w:top w:val="single" w:sz="4" w:space="0" w:color="auto"/>
              <w:left w:val="single" w:sz="4" w:space="0" w:color="auto"/>
              <w:bottom w:val="single" w:sz="4" w:space="0" w:color="auto"/>
              <w:right w:val="single" w:sz="4" w:space="0" w:color="auto"/>
            </w:tcBorders>
            <w:vAlign w:val="center"/>
          </w:tcPr>
          <w:p w14:paraId="302BD802" w14:textId="77777777" w:rsidR="00674F3E" w:rsidRDefault="00674F3E">
            <w:pPr>
              <w:widowControl/>
              <w:jc w:val="left"/>
              <w:rPr>
                <w:rFonts w:ascii="仿宋_GB2312" w:eastAsia="仿宋_GB2312" w:hAnsi="仿宋_GB2312" w:cs="仿宋_GB2312"/>
                <w:b/>
                <w:kern w:val="0"/>
                <w:szCs w:val="21"/>
                <w:lang w:val="zh-CN"/>
              </w:rPr>
            </w:pPr>
          </w:p>
        </w:tc>
        <w:tc>
          <w:tcPr>
            <w:tcW w:w="1169" w:type="dxa"/>
            <w:tcBorders>
              <w:top w:val="single" w:sz="4" w:space="0" w:color="auto"/>
              <w:left w:val="single" w:sz="4" w:space="0" w:color="auto"/>
              <w:bottom w:val="single" w:sz="4" w:space="0" w:color="auto"/>
              <w:right w:val="single" w:sz="4" w:space="0" w:color="auto"/>
            </w:tcBorders>
          </w:tcPr>
          <w:p w14:paraId="1D0A9055"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70000</w:t>
            </w:r>
          </w:p>
        </w:tc>
        <w:tc>
          <w:tcPr>
            <w:tcW w:w="0" w:type="auto"/>
            <w:vMerge/>
            <w:tcBorders>
              <w:top w:val="single" w:sz="4" w:space="0" w:color="auto"/>
              <w:left w:val="single" w:sz="4" w:space="0" w:color="auto"/>
              <w:bottom w:val="single" w:sz="4" w:space="0" w:color="auto"/>
              <w:right w:val="single" w:sz="4" w:space="0" w:color="auto"/>
            </w:tcBorders>
            <w:vAlign w:val="center"/>
          </w:tcPr>
          <w:p w14:paraId="394FCAEC" w14:textId="77777777" w:rsidR="00674F3E" w:rsidRDefault="00674F3E">
            <w:pPr>
              <w:widowControl/>
              <w:jc w:val="left"/>
              <w:rPr>
                <w:rFonts w:ascii="仿宋_GB2312" w:eastAsia="仿宋_GB2312" w:hAnsi="仿宋_GB2312" w:cs="仿宋_GB2312"/>
                <w:b/>
                <w:kern w:val="0"/>
                <w:szCs w:val="21"/>
                <w:lang w:val="zh-CN"/>
              </w:rPr>
            </w:pPr>
          </w:p>
        </w:tc>
        <w:tc>
          <w:tcPr>
            <w:tcW w:w="1259" w:type="dxa"/>
            <w:tcBorders>
              <w:top w:val="single" w:sz="4" w:space="0" w:color="auto"/>
              <w:left w:val="single" w:sz="4" w:space="0" w:color="auto"/>
              <w:bottom w:val="single" w:sz="4" w:space="0" w:color="auto"/>
              <w:right w:val="single" w:sz="4" w:space="0" w:color="auto"/>
            </w:tcBorders>
          </w:tcPr>
          <w:p w14:paraId="4528827F"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王九</w:t>
            </w:r>
          </w:p>
        </w:tc>
        <w:tc>
          <w:tcPr>
            <w:tcW w:w="988" w:type="dxa"/>
            <w:tcBorders>
              <w:top w:val="single" w:sz="4" w:space="0" w:color="auto"/>
              <w:left w:val="single" w:sz="4" w:space="0" w:color="auto"/>
              <w:bottom w:val="single" w:sz="4" w:space="0" w:color="auto"/>
              <w:right w:val="single" w:sz="4" w:space="0" w:color="auto"/>
            </w:tcBorders>
          </w:tcPr>
          <w:p w14:paraId="3E2315E8"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王九</w:t>
            </w:r>
          </w:p>
        </w:tc>
        <w:tc>
          <w:tcPr>
            <w:tcW w:w="1003" w:type="dxa"/>
            <w:tcBorders>
              <w:top w:val="single" w:sz="4" w:space="0" w:color="auto"/>
              <w:left w:val="single" w:sz="4" w:space="0" w:color="auto"/>
              <w:bottom w:val="single" w:sz="4" w:space="0" w:color="auto"/>
              <w:right w:val="single" w:sz="4" w:space="0" w:color="auto"/>
            </w:tcBorders>
          </w:tcPr>
          <w:p w14:paraId="630C41F7"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1000</w:t>
            </w:r>
          </w:p>
        </w:tc>
        <w:tc>
          <w:tcPr>
            <w:tcW w:w="0" w:type="auto"/>
            <w:vMerge/>
            <w:tcBorders>
              <w:top w:val="single" w:sz="4" w:space="0" w:color="auto"/>
              <w:left w:val="single" w:sz="4" w:space="0" w:color="auto"/>
              <w:bottom w:val="single" w:sz="4" w:space="0" w:color="auto"/>
              <w:right w:val="single" w:sz="4" w:space="0" w:color="auto"/>
            </w:tcBorders>
            <w:vAlign w:val="center"/>
          </w:tcPr>
          <w:p w14:paraId="684B9504" w14:textId="77777777" w:rsidR="00674F3E" w:rsidRDefault="00674F3E">
            <w:pPr>
              <w:widowControl/>
              <w:jc w:val="left"/>
              <w:rPr>
                <w:rFonts w:ascii="仿宋_GB2312" w:eastAsia="仿宋_GB2312" w:hAnsi="仿宋_GB2312" w:cs="仿宋_GB2312"/>
                <w:b/>
                <w:kern w:val="0"/>
                <w:szCs w:val="21"/>
                <w:lang w:val="zh-CN"/>
              </w:rPr>
            </w:pPr>
          </w:p>
        </w:tc>
        <w:tc>
          <w:tcPr>
            <w:tcW w:w="996" w:type="dxa"/>
            <w:tcBorders>
              <w:top w:val="single" w:sz="4" w:space="0" w:color="auto"/>
              <w:left w:val="single" w:sz="4" w:space="0" w:color="auto"/>
              <w:bottom w:val="single" w:sz="4" w:space="0" w:color="auto"/>
              <w:right w:val="single" w:sz="4" w:space="0" w:color="auto"/>
            </w:tcBorders>
          </w:tcPr>
          <w:p w14:paraId="36A0B70F"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I</w:t>
            </w:r>
          </w:p>
        </w:tc>
      </w:tr>
      <w:tr w:rsidR="00674F3E" w14:paraId="69A484C6" w14:textId="77777777">
        <w:trPr>
          <w:jc w:val="center"/>
        </w:trPr>
        <w:tc>
          <w:tcPr>
            <w:tcW w:w="696" w:type="dxa"/>
            <w:tcBorders>
              <w:top w:val="single" w:sz="4" w:space="0" w:color="auto"/>
              <w:left w:val="single" w:sz="4" w:space="0" w:color="auto"/>
              <w:bottom w:val="single" w:sz="4" w:space="0" w:color="auto"/>
              <w:right w:val="single" w:sz="4" w:space="0" w:color="auto"/>
            </w:tcBorders>
          </w:tcPr>
          <w:p w14:paraId="41F94807"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10</w:t>
            </w:r>
          </w:p>
        </w:tc>
        <w:tc>
          <w:tcPr>
            <w:tcW w:w="1076" w:type="dxa"/>
            <w:tcBorders>
              <w:top w:val="single" w:sz="4" w:space="0" w:color="auto"/>
              <w:left w:val="single" w:sz="4" w:space="0" w:color="auto"/>
              <w:bottom w:val="single" w:sz="4" w:space="0" w:color="auto"/>
              <w:right w:val="single" w:sz="4" w:space="0" w:color="auto"/>
            </w:tcBorders>
          </w:tcPr>
          <w:p w14:paraId="134D1727"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D333333310</w:t>
            </w:r>
          </w:p>
        </w:tc>
        <w:tc>
          <w:tcPr>
            <w:tcW w:w="989" w:type="dxa"/>
            <w:tcBorders>
              <w:top w:val="single" w:sz="4" w:space="0" w:color="auto"/>
              <w:left w:val="single" w:sz="4" w:space="0" w:color="auto"/>
              <w:bottom w:val="single" w:sz="4" w:space="0" w:color="auto"/>
              <w:right w:val="single" w:sz="4" w:space="0" w:color="auto"/>
            </w:tcBorders>
          </w:tcPr>
          <w:p w14:paraId="0F7DE825"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6xxxxx</w:t>
            </w:r>
          </w:p>
        </w:tc>
        <w:tc>
          <w:tcPr>
            <w:tcW w:w="0" w:type="auto"/>
            <w:vMerge/>
            <w:tcBorders>
              <w:top w:val="single" w:sz="4" w:space="0" w:color="auto"/>
              <w:left w:val="single" w:sz="4" w:space="0" w:color="auto"/>
              <w:bottom w:val="single" w:sz="4" w:space="0" w:color="auto"/>
              <w:right w:val="single" w:sz="4" w:space="0" w:color="auto"/>
            </w:tcBorders>
            <w:vAlign w:val="center"/>
          </w:tcPr>
          <w:p w14:paraId="6C3F9706" w14:textId="77777777" w:rsidR="00674F3E" w:rsidRDefault="00674F3E">
            <w:pPr>
              <w:widowControl/>
              <w:jc w:val="left"/>
              <w:rPr>
                <w:rFonts w:ascii="仿宋_GB2312" w:eastAsia="仿宋_GB2312" w:hAnsi="仿宋_GB2312" w:cs="仿宋_GB2312"/>
                <w:b/>
                <w:kern w:val="0"/>
                <w:szCs w:val="21"/>
                <w:lang w:val="zh-CN"/>
              </w:rPr>
            </w:pPr>
          </w:p>
        </w:tc>
        <w:tc>
          <w:tcPr>
            <w:tcW w:w="1169" w:type="dxa"/>
            <w:tcBorders>
              <w:top w:val="single" w:sz="4" w:space="0" w:color="auto"/>
              <w:left w:val="single" w:sz="4" w:space="0" w:color="auto"/>
              <w:bottom w:val="single" w:sz="4" w:space="0" w:color="auto"/>
              <w:right w:val="single" w:sz="4" w:space="0" w:color="auto"/>
            </w:tcBorders>
          </w:tcPr>
          <w:p w14:paraId="5E91BB3D"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60000</w:t>
            </w:r>
          </w:p>
        </w:tc>
        <w:tc>
          <w:tcPr>
            <w:tcW w:w="0" w:type="auto"/>
            <w:vMerge/>
            <w:tcBorders>
              <w:top w:val="single" w:sz="4" w:space="0" w:color="auto"/>
              <w:left w:val="single" w:sz="4" w:space="0" w:color="auto"/>
              <w:bottom w:val="single" w:sz="4" w:space="0" w:color="auto"/>
              <w:right w:val="single" w:sz="4" w:space="0" w:color="auto"/>
            </w:tcBorders>
            <w:vAlign w:val="center"/>
          </w:tcPr>
          <w:p w14:paraId="17C8E8F5" w14:textId="77777777" w:rsidR="00674F3E" w:rsidRDefault="00674F3E">
            <w:pPr>
              <w:widowControl/>
              <w:jc w:val="left"/>
              <w:rPr>
                <w:rFonts w:ascii="仿宋_GB2312" w:eastAsia="仿宋_GB2312" w:hAnsi="仿宋_GB2312" w:cs="仿宋_GB2312"/>
                <w:b/>
                <w:kern w:val="0"/>
                <w:szCs w:val="21"/>
                <w:lang w:val="zh-CN"/>
              </w:rPr>
            </w:pPr>
          </w:p>
        </w:tc>
        <w:tc>
          <w:tcPr>
            <w:tcW w:w="1259" w:type="dxa"/>
            <w:tcBorders>
              <w:top w:val="single" w:sz="4" w:space="0" w:color="auto"/>
              <w:left w:val="single" w:sz="4" w:space="0" w:color="auto"/>
              <w:bottom w:val="single" w:sz="4" w:space="0" w:color="auto"/>
              <w:right w:val="single" w:sz="4" w:space="0" w:color="auto"/>
            </w:tcBorders>
          </w:tcPr>
          <w:p w14:paraId="119DB1A9"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信用担保账户</w:t>
            </w:r>
          </w:p>
        </w:tc>
        <w:tc>
          <w:tcPr>
            <w:tcW w:w="988" w:type="dxa"/>
            <w:tcBorders>
              <w:top w:val="single" w:sz="4" w:space="0" w:color="auto"/>
              <w:left w:val="single" w:sz="4" w:space="0" w:color="auto"/>
              <w:bottom w:val="single" w:sz="4" w:space="0" w:color="auto"/>
              <w:right w:val="single" w:sz="4" w:space="0" w:color="auto"/>
            </w:tcBorders>
          </w:tcPr>
          <w:p w14:paraId="69B54BC7"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A证券公司客户信用担保账户</w:t>
            </w:r>
          </w:p>
        </w:tc>
        <w:tc>
          <w:tcPr>
            <w:tcW w:w="1003" w:type="dxa"/>
            <w:tcBorders>
              <w:top w:val="single" w:sz="4" w:space="0" w:color="auto"/>
              <w:left w:val="single" w:sz="4" w:space="0" w:color="auto"/>
              <w:bottom w:val="single" w:sz="4" w:space="0" w:color="auto"/>
              <w:right w:val="single" w:sz="4" w:space="0" w:color="auto"/>
            </w:tcBorders>
          </w:tcPr>
          <w:p w14:paraId="6B28F1A6"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2000</w:t>
            </w:r>
          </w:p>
        </w:tc>
        <w:tc>
          <w:tcPr>
            <w:tcW w:w="0" w:type="auto"/>
            <w:vMerge/>
            <w:tcBorders>
              <w:top w:val="single" w:sz="4" w:space="0" w:color="auto"/>
              <w:left w:val="single" w:sz="4" w:space="0" w:color="auto"/>
              <w:bottom w:val="single" w:sz="4" w:space="0" w:color="auto"/>
              <w:right w:val="single" w:sz="4" w:space="0" w:color="auto"/>
            </w:tcBorders>
            <w:vAlign w:val="center"/>
          </w:tcPr>
          <w:p w14:paraId="1CCB5DC6" w14:textId="77777777" w:rsidR="00674F3E" w:rsidRDefault="00674F3E">
            <w:pPr>
              <w:widowControl/>
              <w:jc w:val="left"/>
              <w:rPr>
                <w:rFonts w:ascii="仿宋_GB2312" w:eastAsia="仿宋_GB2312" w:hAnsi="仿宋_GB2312" w:cs="仿宋_GB2312"/>
                <w:b/>
                <w:kern w:val="0"/>
                <w:szCs w:val="21"/>
                <w:lang w:val="zh-CN"/>
              </w:rPr>
            </w:pPr>
          </w:p>
        </w:tc>
        <w:tc>
          <w:tcPr>
            <w:tcW w:w="996" w:type="dxa"/>
            <w:tcBorders>
              <w:top w:val="single" w:sz="4" w:space="0" w:color="auto"/>
              <w:left w:val="single" w:sz="4" w:space="0" w:color="auto"/>
              <w:bottom w:val="single" w:sz="4" w:space="0" w:color="auto"/>
              <w:right w:val="single" w:sz="4" w:space="0" w:color="auto"/>
            </w:tcBorders>
          </w:tcPr>
          <w:p w14:paraId="40D94122"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J</w:t>
            </w:r>
          </w:p>
        </w:tc>
      </w:tr>
      <w:tr w:rsidR="00674F3E" w14:paraId="68978D9B" w14:textId="77777777">
        <w:trPr>
          <w:jc w:val="center"/>
        </w:trPr>
        <w:tc>
          <w:tcPr>
            <w:tcW w:w="696" w:type="dxa"/>
            <w:tcBorders>
              <w:top w:val="single" w:sz="4" w:space="0" w:color="auto"/>
              <w:left w:val="single" w:sz="4" w:space="0" w:color="auto"/>
              <w:bottom w:val="single" w:sz="4" w:space="0" w:color="auto"/>
              <w:right w:val="single" w:sz="4" w:space="0" w:color="auto"/>
            </w:tcBorders>
          </w:tcPr>
          <w:p w14:paraId="67868E72"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11</w:t>
            </w:r>
          </w:p>
        </w:tc>
        <w:tc>
          <w:tcPr>
            <w:tcW w:w="1076" w:type="dxa"/>
            <w:tcBorders>
              <w:top w:val="single" w:sz="4" w:space="0" w:color="auto"/>
              <w:left w:val="single" w:sz="4" w:space="0" w:color="auto"/>
              <w:bottom w:val="single" w:sz="4" w:space="0" w:color="auto"/>
              <w:right w:val="single" w:sz="4" w:space="0" w:color="auto"/>
            </w:tcBorders>
          </w:tcPr>
          <w:p w14:paraId="3013A88C"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A333333311</w:t>
            </w:r>
          </w:p>
        </w:tc>
        <w:tc>
          <w:tcPr>
            <w:tcW w:w="989" w:type="dxa"/>
            <w:tcBorders>
              <w:top w:val="single" w:sz="4" w:space="0" w:color="auto"/>
              <w:left w:val="single" w:sz="4" w:space="0" w:color="auto"/>
              <w:bottom w:val="single" w:sz="4" w:space="0" w:color="auto"/>
              <w:right w:val="single" w:sz="4" w:space="0" w:color="auto"/>
            </w:tcBorders>
          </w:tcPr>
          <w:p w14:paraId="7D35C35F"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6xxxxx</w:t>
            </w:r>
          </w:p>
        </w:tc>
        <w:tc>
          <w:tcPr>
            <w:tcW w:w="0" w:type="auto"/>
            <w:vMerge/>
            <w:tcBorders>
              <w:top w:val="single" w:sz="4" w:space="0" w:color="auto"/>
              <w:left w:val="single" w:sz="4" w:space="0" w:color="auto"/>
              <w:bottom w:val="single" w:sz="4" w:space="0" w:color="auto"/>
              <w:right w:val="single" w:sz="4" w:space="0" w:color="auto"/>
            </w:tcBorders>
            <w:vAlign w:val="center"/>
          </w:tcPr>
          <w:p w14:paraId="1294FC6A" w14:textId="77777777" w:rsidR="00674F3E" w:rsidRDefault="00674F3E">
            <w:pPr>
              <w:widowControl/>
              <w:jc w:val="left"/>
              <w:rPr>
                <w:rFonts w:ascii="仿宋_GB2312" w:eastAsia="仿宋_GB2312" w:hAnsi="仿宋_GB2312" w:cs="仿宋_GB2312"/>
                <w:b/>
                <w:kern w:val="0"/>
                <w:szCs w:val="21"/>
                <w:lang w:val="zh-CN"/>
              </w:rPr>
            </w:pPr>
          </w:p>
        </w:tc>
        <w:tc>
          <w:tcPr>
            <w:tcW w:w="1169" w:type="dxa"/>
            <w:tcBorders>
              <w:top w:val="single" w:sz="4" w:space="0" w:color="auto"/>
              <w:left w:val="single" w:sz="4" w:space="0" w:color="auto"/>
              <w:bottom w:val="single" w:sz="4" w:space="0" w:color="auto"/>
              <w:right w:val="single" w:sz="4" w:space="0" w:color="auto"/>
            </w:tcBorders>
          </w:tcPr>
          <w:p w14:paraId="78A42D5F"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50000</w:t>
            </w:r>
          </w:p>
        </w:tc>
        <w:tc>
          <w:tcPr>
            <w:tcW w:w="0" w:type="auto"/>
            <w:vMerge/>
            <w:tcBorders>
              <w:top w:val="single" w:sz="4" w:space="0" w:color="auto"/>
              <w:left w:val="single" w:sz="4" w:space="0" w:color="auto"/>
              <w:bottom w:val="single" w:sz="4" w:space="0" w:color="auto"/>
              <w:right w:val="single" w:sz="4" w:space="0" w:color="auto"/>
            </w:tcBorders>
            <w:vAlign w:val="center"/>
          </w:tcPr>
          <w:p w14:paraId="4D6D7E90" w14:textId="77777777" w:rsidR="00674F3E" w:rsidRDefault="00674F3E">
            <w:pPr>
              <w:widowControl/>
              <w:jc w:val="left"/>
              <w:rPr>
                <w:rFonts w:ascii="仿宋_GB2312" w:eastAsia="仿宋_GB2312" w:hAnsi="仿宋_GB2312" w:cs="仿宋_GB2312"/>
                <w:b/>
                <w:kern w:val="0"/>
                <w:szCs w:val="21"/>
                <w:lang w:val="zh-CN"/>
              </w:rPr>
            </w:pPr>
          </w:p>
        </w:tc>
        <w:tc>
          <w:tcPr>
            <w:tcW w:w="1259" w:type="dxa"/>
            <w:tcBorders>
              <w:top w:val="single" w:sz="4" w:space="0" w:color="auto"/>
              <w:left w:val="single" w:sz="4" w:space="0" w:color="auto"/>
              <w:bottom w:val="single" w:sz="4" w:space="0" w:color="auto"/>
              <w:right w:val="single" w:sz="4" w:space="0" w:color="auto"/>
            </w:tcBorders>
          </w:tcPr>
          <w:p w14:paraId="7C9D2743"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郑十一</w:t>
            </w:r>
          </w:p>
        </w:tc>
        <w:tc>
          <w:tcPr>
            <w:tcW w:w="988" w:type="dxa"/>
            <w:tcBorders>
              <w:top w:val="single" w:sz="4" w:space="0" w:color="auto"/>
              <w:left w:val="single" w:sz="4" w:space="0" w:color="auto"/>
              <w:bottom w:val="single" w:sz="4" w:space="0" w:color="auto"/>
              <w:right w:val="single" w:sz="4" w:space="0" w:color="auto"/>
            </w:tcBorders>
          </w:tcPr>
          <w:p w14:paraId="33F82416"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郑十一</w:t>
            </w:r>
          </w:p>
        </w:tc>
        <w:tc>
          <w:tcPr>
            <w:tcW w:w="1003" w:type="dxa"/>
            <w:tcBorders>
              <w:top w:val="single" w:sz="4" w:space="0" w:color="auto"/>
              <w:left w:val="single" w:sz="4" w:space="0" w:color="auto"/>
              <w:bottom w:val="single" w:sz="4" w:space="0" w:color="auto"/>
              <w:right w:val="single" w:sz="4" w:space="0" w:color="auto"/>
            </w:tcBorders>
          </w:tcPr>
          <w:p w14:paraId="518D2573"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1000</w:t>
            </w:r>
          </w:p>
        </w:tc>
        <w:tc>
          <w:tcPr>
            <w:tcW w:w="0" w:type="auto"/>
            <w:vMerge/>
            <w:tcBorders>
              <w:top w:val="single" w:sz="4" w:space="0" w:color="auto"/>
              <w:left w:val="single" w:sz="4" w:space="0" w:color="auto"/>
              <w:bottom w:val="single" w:sz="4" w:space="0" w:color="auto"/>
              <w:right w:val="single" w:sz="4" w:space="0" w:color="auto"/>
            </w:tcBorders>
            <w:vAlign w:val="center"/>
          </w:tcPr>
          <w:p w14:paraId="2EE2953B" w14:textId="77777777" w:rsidR="00674F3E" w:rsidRDefault="00674F3E">
            <w:pPr>
              <w:widowControl/>
              <w:jc w:val="left"/>
              <w:rPr>
                <w:rFonts w:ascii="仿宋_GB2312" w:eastAsia="仿宋_GB2312" w:hAnsi="仿宋_GB2312" w:cs="仿宋_GB2312"/>
                <w:b/>
                <w:kern w:val="0"/>
                <w:szCs w:val="21"/>
                <w:lang w:val="zh-CN"/>
              </w:rPr>
            </w:pPr>
          </w:p>
        </w:tc>
        <w:tc>
          <w:tcPr>
            <w:tcW w:w="996" w:type="dxa"/>
            <w:tcBorders>
              <w:top w:val="single" w:sz="4" w:space="0" w:color="auto"/>
              <w:left w:val="single" w:sz="4" w:space="0" w:color="auto"/>
              <w:bottom w:val="single" w:sz="4" w:space="0" w:color="auto"/>
              <w:right w:val="single" w:sz="4" w:space="0" w:color="auto"/>
            </w:tcBorders>
          </w:tcPr>
          <w:p w14:paraId="4583B3DA"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K</w:t>
            </w:r>
          </w:p>
        </w:tc>
      </w:tr>
      <w:tr w:rsidR="00674F3E" w14:paraId="050C4191" w14:textId="77777777">
        <w:trPr>
          <w:jc w:val="center"/>
        </w:trPr>
        <w:tc>
          <w:tcPr>
            <w:tcW w:w="696" w:type="dxa"/>
            <w:tcBorders>
              <w:top w:val="single" w:sz="4" w:space="0" w:color="auto"/>
              <w:left w:val="single" w:sz="4" w:space="0" w:color="auto"/>
              <w:bottom w:val="single" w:sz="4" w:space="0" w:color="auto"/>
              <w:right w:val="single" w:sz="4" w:space="0" w:color="auto"/>
            </w:tcBorders>
          </w:tcPr>
          <w:p w14:paraId="1920643A"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12</w:t>
            </w:r>
          </w:p>
        </w:tc>
        <w:tc>
          <w:tcPr>
            <w:tcW w:w="1076" w:type="dxa"/>
            <w:tcBorders>
              <w:top w:val="single" w:sz="4" w:space="0" w:color="auto"/>
              <w:left w:val="single" w:sz="4" w:space="0" w:color="auto"/>
              <w:bottom w:val="single" w:sz="4" w:space="0" w:color="auto"/>
              <w:right w:val="single" w:sz="4" w:space="0" w:color="auto"/>
            </w:tcBorders>
          </w:tcPr>
          <w:p w14:paraId="0AB1D4A6"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A333333312</w:t>
            </w:r>
          </w:p>
        </w:tc>
        <w:tc>
          <w:tcPr>
            <w:tcW w:w="989" w:type="dxa"/>
            <w:tcBorders>
              <w:top w:val="single" w:sz="4" w:space="0" w:color="auto"/>
              <w:left w:val="single" w:sz="4" w:space="0" w:color="auto"/>
              <w:bottom w:val="single" w:sz="4" w:space="0" w:color="auto"/>
              <w:right w:val="single" w:sz="4" w:space="0" w:color="auto"/>
            </w:tcBorders>
          </w:tcPr>
          <w:p w14:paraId="63379408"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6xxxxx</w:t>
            </w:r>
          </w:p>
        </w:tc>
        <w:tc>
          <w:tcPr>
            <w:tcW w:w="0" w:type="auto"/>
            <w:vMerge/>
            <w:tcBorders>
              <w:top w:val="single" w:sz="4" w:space="0" w:color="auto"/>
              <w:left w:val="single" w:sz="4" w:space="0" w:color="auto"/>
              <w:bottom w:val="single" w:sz="4" w:space="0" w:color="auto"/>
              <w:right w:val="single" w:sz="4" w:space="0" w:color="auto"/>
            </w:tcBorders>
            <w:vAlign w:val="center"/>
          </w:tcPr>
          <w:p w14:paraId="6636EBCB" w14:textId="77777777" w:rsidR="00674F3E" w:rsidRDefault="00674F3E">
            <w:pPr>
              <w:widowControl/>
              <w:jc w:val="left"/>
              <w:rPr>
                <w:rFonts w:ascii="仿宋_GB2312" w:eastAsia="仿宋_GB2312" w:hAnsi="仿宋_GB2312" w:cs="仿宋_GB2312"/>
                <w:b/>
                <w:kern w:val="0"/>
                <w:szCs w:val="21"/>
                <w:lang w:val="zh-CN"/>
              </w:rPr>
            </w:pPr>
          </w:p>
        </w:tc>
        <w:tc>
          <w:tcPr>
            <w:tcW w:w="1169" w:type="dxa"/>
            <w:tcBorders>
              <w:top w:val="single" w:sz="4" w:space="0" w:color="auto"/>
              <w:left w:val="single" w:sz="4" w:space="0" w:color="auto"/>
              <w:bottom w:val="single" w:sz="4" w:space="0" w:color="auto"/>
              <w:right w:val="single" w:sz="4" w:space="0" w:color="auto"/>
            </w:tcBorders>
          </w:tcPr>
          <w:p w14:paraId="6400B25F"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40000</w:t>
            </w:r>
          </w:p>
        </w:tc>
        <w:tc>
          <w:tcPr>
            <w:tcW w:w="0" w:type="auto"/>
            <w:vMerge/>
            <w:tcBorders>
              <w:top w:val="single" w:sz="4" w:space="0" w:color="auto"/>
              <w:left w:val="single" w:sz="4" w:space="0" w:color="auto"/>
              <w:bottom w:val="single" w:sz="4" w:space="0" w:color="auto"/>
              <w:right w:val="single" w:sz="4" w:space="0" w:color="auto"/>
            </w:tcBorders>
            <w:vAlign w:val="center"/>
          </w:tcPr>
          <w:p w14:paraId="09C7C85F" w14:textId="77777777" w:rsidR="00674F3E" w:rsidRDefault="00674F3E">
            <w:pPr>
              <w:widowControl/>
              <w:jc w:val="left"/>
              <w:rPr>
                <w:rFonts w:ascii="仿宋_GB2312" w:eastAsia="仿宋_GB2312" w:hAnsi="仿宋_GB2312" w:cs="仿宋_GB2312"/>
                <w:b/>
                <w:kern w:val="0"/>
                <w:szCs w:val="21"/>
                <w:lang w:val="zh-CN"/>
              </w:rPr>
            </w:pPr>
          </w:p>
        </w:tc>
        <w:tc>
          <w:tcPr>
            <w:tcW w:w="1259" w:type="dxa"/>
            <w:tcBorders>
              <w:top w:val="single" w:sz="4" w:space="0" w:color="auto"/>
              <w:left w:val="single" w:sz="4" w:space="0" w:color="auto"/>
              <w:bottom w:val="single" w:sz="4" w:space="0" w:color="auto"/>
              <w:right w:val="single" w:sz="4" w:space="0" w:color="auto"/>
            </w:tcBorders>
          </w:tcPr>
          <w:p w14:paraId="505EA087"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郭十二</w:t>
            </w:r>
          </w:p>
        </w:tc>
        <w:tc>
          <w:tcPr>
            <w:tcW w:w="988" w:type="dxa"/>
            <w:tcBorders>
              <w:top w:val="single" w:sz="4" w:space="0" w:color="auto"/>
              <w:left w:val="single" w:sz="4" w:space="0" w:color="auto"/>
              <w:bottom w:val="single" w:sz="4" w:space="0" w:color="auto"/>
              <w:right w:val="single" w:sz="4" w:space="0" w:color="auto"/>
            </w:tcBorders>
          </w:tcPr>
          <w:p w14:paraId="594147D6"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郭十二</w:t>
            </w:r>
          </w:p>
        </w:tc>
        <w:tc>
          <w:tcPr>
            <w:tcW w:w="1003" w:type="dxa"/>
            <w:tcBorders>
              <w:top w:val="single" w:sz="4" w:space="0" w:color="auto"/>
              <w:left w:val="single" w:sz="4" w:space="0" w:color="auto"/>
              <w:bottom w:val="single" w:sz="4" w:space="0" w:color="auto"/>
              <w:right w:val="single" w:sz="4" w:space="0" w:color="auto"/>
            </w:tcBorders>
          </w:tcPr>
          <w:p w14:paraId="386DD30E"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1000</w:t>
            </w:r>
          </w:p>
        </w:tc>
        <w:tc>
          <w:tcPr>
            <w:tcW w:w="0" w:type="auto"/>
            <w:vMerge/>
            <w:tcBorders>
              <w:top w:val="single" w:sz="4" w:space="0" w:color="auto"/>
              <w:left w:val="single" w:sz="4" w:space="0" w:color="auto"/>
              <w:bottom w:val="single" w:sz="4" w:space="0" w:color="auto"/>
              <w:right w:val="single" w:sz="4" w:space="0" w:color="auto"/>
            </w:tcBorders>
            <w:vAlign w:val="center"/>
          </w:tcPr>
          <w:p w14:paraId="684692A8" w14:textId="77777777" w:rsidR="00674F3E" w:rsidRDefault="00674F3E">
            <w:pPr>
              <w:widowControl/>
              <w:jc w:val="left"/>
              <w:rPr>
                <w:rFonts w:ascii="仿宋_GB2312" w:eastAsia="仿宋_GB2312" w:hAnsi="仿宋_GB2312" w:cs="仿宋_GB2312"/>
                <w:b/>
                <w:kern w:val="0"/>
                <w:szCs w:val="21"/>
                <w:lang w:val="zh-CN"/>
              </w:rPr>
            </w:pPr>
          </w:p>
        </w:tc>
        <w:tc>
          <w:tcPr>
            <w:tcW w:w="996" w:type="dxa"/>
            <w:tcBorders>
              <w:top w:val="single" w:sz="4" w:space="0" w:color="auto"/>
              <w:left w:val="single" w:sz="4" w:space="0" w:color="auto"/>
              <w:bottom w:val="single" w:sz="4" w:space="0" w:color="auto"/>
              <w:right w:val="single" w:sz="4" w:space="0" w:color="auto"/>
            </w:tcBorders>
          </w:tcPr>
          <w:p w14:paraId="76751750"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L</w:t>
            </w:r>
          </w:p>
        </w:tc>
      </w:tr>
      <w:tr w:rsidR="00674F3E" w14:paraId="229F3C61" w14:textId="77777777">
        <w:trPr>
          <w:jc w:val="center"/>
        </w:trPr>
        <w:tc>
          <w:tcPr>
            <w:tcW w:w="696" w:type="dxa"/>
            <w:tcBorders>
              <w:top w:val="single" w:sz="4" w:space="0" w:color="auto"/>
              <w:left w:val="single" w:sz="4" w:space="0" w:color="auto"/>
              <w:bottom w:val="single" w:sz="4" w:space="0" w:color="auto"/>
              <w:right w:val="single" w:sz="4" w:space="0" w:color="auto"/>
            </w:tcBorders>
          </w:tcPr>
          <w:p w14:paraId="423C0190"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w:t>
            </w:r>
          </w:p>
        </w:tc>
        <w:tc>
          <w:tcPr>
            <w:tcW w:w="1076" w:type="dxa"/>
            <w:tcBorders>
              <w:top w:val="single" w:sz="4" w:space="0" w:color="auto"/>
              <w:left w:val="single" w:sz="4" w:space="0" w:color="auto"/>
              <w:bottom w:val="single" w:sz="4" w:space="0" w:color="auto"/>
              <w:right w:val="single" w:sz="4" w:space="0" w:color="auto"/>
            </w:tcBorders>
          </w:tcPr>
          <w:p w14:paraId="1314B966"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w:t>
            </w:r>
          </w:p>
        </w:tc>
        <w:tc>
          <w:tcPr>
            <w:tcW w:w="989" w:type="dxa"/>
            <w:tcBorders>
              <w:top w:val="single" w:sz="4" w:space="0" w:color="auto"/>
              <w:left w:val="single" w:sz="4" w:space="0" w:color="auto"/>
              <w:bottom w:val="single" w:sz="4" w:space="0" w:color="auto"/>
              <w:right w:val="single" w:sz="4" w:space="0" w:color="auto"/>
            </w:tcBorders>
          </w:tcPr>
          <w:p w14:paraId="1D19277E"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w:t>
            </w:r>
          </w:p>
        </w:tc>
        <w:tc>
          <w:tcPr>
            <w:tcW w:w="0" w:type="auto"/>
            <w:vMerge/>
            <w:tcBorders>
              <w:top w:val="single" w:sz="4" w:space="0" w:color="auto"/>
              <w:left w:val="single" w:sz="4" w:space="0" w:color="auto"/>
              <w:bottom w:val="single" w:sz="4" w:space="0" w:color="auto"/>
              <w:right w:val="single" w:sz="4" w:space="0" w:color="auto"/>
            </w:tcBorders>
            <w:vAlign w:val="center"/>
          </w:tcPr>
          <w:p w14:paraId="690CD168" w14:textId="77777777" w:rsidR="00674F3E" w:rsidRDefault="00674F3E">
            <w:pPr>
              <w:widowControl/>
              <w:jc w:val="left"/>
              <w:rPr>
                <w:rFonts w:ascii="仿宋_GB2312" w:eastAsia="仿宋_GB2312" w:hAnsi="仿宋_GB2312" w:cs="仿宋_GB2312"/>
                <w:b/>
                <w:kern w:val="0"/>
                <w:szCs w:val="21"/>
                <w:lang w:val="zh-CN"/>
              </w:rPr>
            </w:pPr>
          </w:p>
        </w:tc>
        <w:tc>
          <w:tcPr>
            <w:tcW w:w="1169" w:type="dxa"/>
            <w:tcBorders>
              <w:top w:val="single" w:sz="4" w:space="0" w:color="auto"/>
              <w:left w:val="single" w:sz="4" w:space="0" w:color="auto"/>
              <w:bottom w:val="single" w:sz="4" w:space="0" w:color="auto"/>
              <w:right w:val="single" w:sz="4" w:space="0" w:color="auto"/>
            </w:tcBorders>
          </w:tcPr>
          <w:p w14:paraId="2BCA6B4F"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w:t>
            </w:r>
          </w:p>
        </w:tc>
        <w:tc>
          <w:tcPr>
            <w:tcW w:w="0" w:type="auto"/>
            <w:vMerge/>
            <w:tcBorders>
              <w:top w:val="single" w:sz="4" w:space="0" w:color="auto"/>
              <w:left w:val="single" w:sz="4" w:space="0" w:color="auto"/>
              <w:bottom w:val="single" w:sz="4" w:space="0" w:color="auto"/>
              <w:right w:val="single" w:sz="4" w:space="0" w:color="auto"/>
            </w:tcBorders>
            <w:vAlign w:val="center"/>
          </w:tcPr>
          <w:p w14:paraId="0F837817" w14:textId="77777777" w:rsidR="00674F3E" w:rsidRDefault="00674F3E">
            <w:pPr>
              <w:widowControl/>
              <w:jc w:val="left"/>
              <w:rPr>
                <w:rFonts w:ascii="仿宋_GB2312" w:eastAsia="仿宋_GB2312" w:hAnsi="仿宋_GB2312" w:cs="仿宋_GB2312"/>
                <w:b/>
                <w:kern w:val="0"/>
                <w:szCs w:val="21"/>
                <w:lang w:val="zh-CN"/>
              </w:rPr>
            </w:pPr>
          </w:p>
        </w:tc>
        <w:tc>
          <w:tcPr>
            <w:tcW w:w="1259" w:type="dxa"/>
            <w:tcBorders>
              <w:top w:val="single" w:sz="4" w:space="0" w:color="auto"/>
              <w:left w:val="single" w:sz="4" w:space="0" w:color="auto"/>
              <w:bottom w:val="single" w:sz="4" w:space="0" w:color="auto"/>
              <w:right w:val="single" w:sz="4" w:space="0" w:color="auto"/>
            </w:tcBorders>
          </w:tcPr>
          <w:p w14:paraId="41A2BB49"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w:t>
            </w:r>
          </w:p>
        </w:tc>
        <w:tc>
          <w:tcPr>
            <w:tcW w:w="988" w:type="dxa"/>
            <w:tcBorders>
              <w:top w:val="single" w:sz="4" w:space="0" w:color="auto"/>
              <w:left w:val="single" w:sz="4" w:space="0" w:color="auto"/>
              <w:bottom w:val="single" w:sz="4" w:space="0" w:color="auto"/>
              <w:right w:val="single" w:sz="4" w:space="0" w:color="auto"/>
            </w:tcBorders>
          </w:tcPr>
          <w:p w14:paraId="1AF7AA73"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w:t>
            </w:r>
          </w:p>
        </w:tc>
        <w:tc>
          <w:tcPr>
            <w:tcW w:w="1003" w:type="dxa"/>
            <w:tcBorders>
              <w:top w:val="single" w:sz="4" w:space="0" w:color="auto"/>
              <w:left w:val="single" w:sz="4" w:space="0" w:color="auto"/>
              <w:bottom w:val="single" w:sz="4" w:space="0" w:color="auto"/>
              <w:right w:val="single" w:sz="4" w:space="0" w:color="auto"/>
            </w:tcBorders>
          </w:tcPr>
          <w:p w14:paraId="2A52C9D5"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w:t>
            </w:r>
          </w:p>
        </w:tc>
        <w:tc>
          <w:tcPr>
            <w:tcW w:w="0" w:type="auto"/>
            <w:vMerge/>
            <w:tcBorders>
              <w:top w:val="single" w:sz="4" w:space="0" w:color="auto"/>
              <w:left w:val="single" w:sz="4" w:space="0" w:color="auto"/>
              <w:bottom w:val="single" w:sz="4" w:space="0" w:color="auto"/>
              <w:right w:val="single" w:sz="4" w:space="0" w:color="auto"/>
            </w:tcBorders>
            <w:vAlign w:val="center"/>
          </w:tcPr>
          <w:p w14:paraId="4515B1DE" w14:textId="77777777" w:rsidR="00674F3E" w:rsidRDefault="00674F3E">
            <w:pPr>
              <w:widowControl/>
              <w:jc w:val="left"/>
              <w:rPr>
                <w:rFonts w:ascii="仿宋_GB2312" w:eastAsia="仿宋_GB2312" w:hAnsi="仿宋_GB2312" w:cs="仿宋_GB2312"/>
                <w:b/>
                <w:kern w:val="0"/>
                <w:szCs w:val="21"/>
                <w:lang w:val="zh-CN"/>
              </w:rPr>
            </w:pPr>
          </w:p>
        </w:tc>
        <w:tc>
          <w:tcPr>
            <w:tcW w:w="996" w:type="dxa"/>
            <w:tcBorders>
              <w:top w:val="single" w:sz="4" w:space="0" w:color="auto"/>
              <w:left w:val="single" w:sz="4" w:space="0" w:color="auto"/>
              <w:bottom w:val="single" w:sz="4" w:space="0" w:color="auto"/>
              <w:right w:val="single" w:sz="4" w:space="0" w:color="auto"/>
            </w:tcBorders>
          </w:tcPr>
          <w:p w14:paraId="6C55620B"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w:t>
            </w:r>
          </w:p>
        </w:tc>
      </w:tr>
      <w:tr w:rsidR="00674F3E" w14:paraId="20353359" w14:textId="77777777">
        <w:trPr>
          <w:jc w:val="center"/>
        </w:trPr>
        <w:tc>
          <w:tcPr>
            <w:tcW w:w="696" w:type="dxa"/>
            <w:tcBorders>
              <w:top w:val="single" w:sz="4" w:space="0" w:color="auto"/>
              <w:left w:val="single" w:sz="4" w:space="0" w:color="auto"/>
              <w:bottom w:val="single" w:sz="4" w:space="0" w:color="auto"/>
              <w:right w:val="single" w:sz="4" w:space="0" w:color="auto"/>
            </w:tcBorders>
          </w:tcPr>
          <w:p w14:paraId="51DC1CCB"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133</w:t>
            </w:r>
          </w:p>
        </w:tc>
        <w:tc>
          <w:tcPr>
            <w:tcW w:w="1076" w:type="dxa"/>
            <w:tcBorders>
              <w:top w:val="single" w:sz="4" w:space="0" w:color="auto"/>
              <w:left w:val="single" w:sz="4" w:space="0" w:color="auto"/>
              <w:bottom w:val="single" w:sz="4" w:space="0" w:color="auto"/>
              <w:right w:val="single" w:sz="4" w:space="0" w:color="auto"/>
            </w:tcBorders>
          </w:tcPr>
          <w:p w14:paraId="0449837F"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A333333133</w:t>
            </w:r>
          </w:p>
        </w:tc>
        <w:tc>
          <w:tcPr>
            <w:tcW w:w="989" w:type="dxa"/>
            <w:tcBorders>
              <w:top w:val="single" w:sz="4" w:space="0" w:color="auto"/>
              <w:left w:val="single" w:sz="4" w:space="0" w:color="auto"/>
              <w:bottom w:val="single" w:sz="4" w:space="0" w:color="auto"/>
              <w:right w:val="single" w:sz="4" w:space="0" w:color="auto"/>
            </w:tcBorders>
          </w:tcPr>
          <w:p w14:paraId="13465A42"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6xxxxx</w:t>
            </w:r>
          </w:p>
        </w:tc>
        <w:tc>
          <w:tcPr>
            <w:tcW w:w="0" w:type="auto"/>
            <w:vMerge/>
            <w:tcBorders>
              <w:top w:val="single" w:sz="4" w:space="0" w:color="auto"/>
              <w:left w:val="single" w:sz="4" w:space="0" w:color="auto"/>
              <w:bottom w:val="single" w:sz="4" w:space="0" w:color="auto"/>
              <w:right w:val="single" w:sz="4" w:space="0" w:color="auto"/>
            </w:tcBorders>
            <w:vAlign w:val="center"/>
          </w:tcPr>
          <w:p w14:paraId="0D015585" w14:textId="77777777" w:rsidR="00674F3E" w:rsidRDefault="00674F3E">
            <w:pPr>
              <w:widowControl/>
              <w:jc w:val="left"/>
              <w:rPr>
                <w:rFonts w:ascii="仿宋_GB2312" w:eastAsia="仿宋_GB2312" w:hAnsi="仿宋_GB2312" w:cs="仿宋_GB2312"/>
                <w:b/>
                <w:kern w:val="0"/>
                <w:szCs w:val="21"/>
                <w:lang w:val="zh-CN"/>
              </w:rPr>
            </w:pPr>
          </w:p>
        </w:tc>
        <w:tc>
          <w:tcPr>
            <w:tcW w:w="1169" w:type="dxa"/>
            <w:tcBorders>
              <w:top w:val="single" w:sz="4" w:space="0" w:color="auto"/>
              <w:left w:val="single" w:sz="4" w:space="0" w:color="auto"/>
              <w:bottom w:val="single" w:sz="4" w:space="0" w:color="auto"/>
              <w:right w:val="single" w:sz="4" w:space="0" w:color="auto"/>
            </w:tcBorders>
          </w:tcPr>
          <w:p w14:paraId="073A83FF"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1000</w:t>
            </w:r>
          </w:p>
        </w:tc>
        <w:tc>
          <w:tcPr>
            <w:tcW w:w="0" w:type="auto"/>
            <w:vMerge/>
            <w:tcBorders>
              <w:top w:val="single" w:sz="4" w:space="0" w:color="auto"/>
              <w:left w:val="single" w:sz="4" w:space="0" w:color="auto"/>
              <w:bottom w:val="single" w:sz="4" w:space="0" w:color="auto"/>
              <w:right w:val="single" w:sz="4" w:space="0" w:color="auto"/>
            </w:tcBorders>
            <w:vAlign w:val="center"/>
          </w:tcPr>
          <w:p w14:paraId="6AE67559" w14:textId="77777777" w:rsidR="00674F3E" w:rsidRDefault="00674F3E">
            <w:pPr>
              <w:widowControl/>
              <w:jc w:val="left"/>
              <w:rPr>
                <w:rFonts w:ascii="仿宋_GB2312" w:eastAsia="仿宋_GB2312" w:hAnsi="仿宋_GB2312" w:cs="仿宋_GB2312"/>
                <w:b/>
                <w:kern w:val="0"/>
                <w:szCs w:val="21"/>
                <w:lang w:val="zh-CN"/>
              </w:rPr>
            </w:pPr>
          </w:p>
        </w:tc>
        <w:tc>
          <w:tcPr>
            <w:tcW w:w="1259" w:type="dxa"/>
            <w:tcBorders>
              <w:top w:val="single" w:sz="4" w:space="0" w:color="auto"/>
              <w:left w:val="single" w:sz="4" w:space="0" w:color="auto"/>
              <w:bottom w:val="single" w:sz="4" w:space="0" w:color="auto"/>
              <w:right w:val="single" w:sz="4" w:space="0" w:color="auto"/>
            </w:tcBorders>
          </w:tcPr>
          <w:p w14:paraId="2630BB83"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孙十三</w:t>
            </w:r>
          </w:p>
        </w:tc>
        <w:tc>
          <w:tcPr>
            <w:tcW w:w="988" w:type="dxa"/>
            <w:tcBorders>
              <w:top w:val="single" w:sz="4" w:space="0" w:color="auto"/>
              <w:left w:val="single" w:sz="4" w:space="0" w:color="auto"/>
              <w:bottom w:val="single" w:sz="4" w:space="0" w:color="auto"/>
              <w:right w:val="single" w:sz="4" w:space="0" w:color="auto"/>
            </w:tcBorders>
          </w:tcPr>
          <w:p w14:paraId="369664E3"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孙十三</w:t>
            </w:r>
          </w:p>
        </w:tc>
        <w:tc>
          <w:tcPr>
            <w:tcW w:w="1003" w:type="dxa"/>
            <w:tcBorders>
              <w:top w:val="single" w:sz="4" w:space="0" w:color="auto"/>
              <w:left w:val="single" w:sz="4" w:space="0" w:color="auto"/>
              <w:bottom w:val="single" w:sz="4" w:space="0" w:color="auto"/>
              <w:right w:val="single" w:sz="4" w:space="0" w:color="auto"/>
            </w:tcBorders>
          </w:tcPr>
          <w:p w14:paraId="42A91934"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1000</w:t>
            </w:r>
          </w:p>
        </w:tc>
        <w:tc>
          <w:tcPr>
            <w:tcW w:w="0" w:type="auto"/>
            <w:vMerge/>
            <w:tcBorders>
              <w:top w:val="single" w:sz="4" w:space="0" w:color="auto"/>
              <w:left w:val="single" w:sz="4" w:space="0" w:color="auto"/>
              <w:bottom w:val="single" w:sz="4" w:space="0" w:color="auto"/>
              <w:right w:val="single" w:sz="4" w:space="0" w:color="auto"/>
            </w:tcBorders>
            <w:vAlign w:val="center"/>
          </w:tcPr>
          <w:p w14:paraId="6C38B754" w14:textId="77777777" w:rsidR="00674F3E" w:rsidRDefault="00674F3E">
            <w:pPr>
              <w:widowControl/>
              <w:jc w:val="left"/>
              <w:rPr>
                <w:rFonts w:ascii="仿宋_GB2312" w:eastAsia="仿宋_GB2312" w:hAnsi="仿宋_GB2312" w:cs="仿宋_GB2312"/>
                <w:b/>
                <w:kern w:val="0"/>
                <w:szCs w:val="21"/>
                <w:lang w:val="zh-CN"/>
              </w:rPr>
            </w:pPr>
          </w:p>
        </w:tc>
        <w:tc>
          <w:tcPr>
            <w:tcW w:w="996" w:type="dxa"/>
            <w:tcBorders>
              <w:top w:val="single" w:sz="4" w:space="0" w:color="auto"/>
              <w:left w:val="single" w:sz="4" w:space="0" w:color="auto"/>
              <w:bottom w:val="single" w:sz="4" w:space="0" w:color="auto"/>
              <w:right w:val="single" w:sz="4" w:space="0" w:color="auto"/>
            </w:tcBorders>
          </w:tcPr>
          <w:p w14:paraId="56DE10BE"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M</w:t>
            </w:r>
          </w:p>
        </w:tc>
      </w:tr>
      <w:tr w:rsidR="00674F3E" w14:paraId="67466AD6" w14:textId="77777777">
        <w:trPr>
          <w:jc w:val="center"/>
        </w:trPr>
        <w:tc>
          <w:tcPr>
            <w:tcW w:w="696" w:type="dxa"/>
            <w:tcBorders>
              <w:top w:val="single" w:sz="4" w:space="0" w:color="auto"/>
              <w:left w:val="single" w:sz="4" w:space="0" w:color="auto"/>
              <w:bottom w:val="single" w:sz="4" w:space="0" w:color="auto"/>
              <w:right w:val="single" w:sz="4" w:space="0" w:color="auto"/>
            </w:tcBorders>
          </w:tcPr>
          <w:p w14:paraId="33FFAD82"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134</w:t>
            </w:r>
          </w:p>
        </w:tc>
        <w:tc>
          <w:tcPr>
            <w:tcW w:w="1076" w:type="dxa"/>
            <w:tcBorders>
              <w:top w:val="single" w:sz="4" w:space="0" w:color="auto"/>
              <w:left w:val="single" w:sz="4" w:space="0" w:color="auto"/>
              <w:bottom w:val="single" w:sz="4" w:space="0" w:color="auto"/>
              <w:right w:val="single" w:sz="4" w:space="0" w:color="auto"/>
            </w:tcBorders>
          </w:tcPr>
          <w:p w14:paraId="72B01556"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A333333134</w:t>
            </w:r>
          </w:p>
        </w:tc>
        <w:tc>
          <w:tcPr>
            <w:tcW w:w="989" w:type="dxa"/>
            <w:tcBorders>
              <w:top w:val="single" w:sz="4" w:space="0" w:color="auto"/>
              <w:left w:val="single" w:sz="4" w:space="0" w:color="auto"/>
              <w:bottom w:val="single" w:sz="4" w:space="0" w:color="auto"/>
              <w:right w:val="single" w:sz="4" w:space="0" w:color="auto"/>
            </w:tcBorders>
          </w:tcPr>
          <w:p w14:paraId="682F7E86"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6xxxxx</w:t>
            </w:r>
          </w:p>
        </w:tc>
        <w:tc>
          <w:tcPr>
            <w:tcW w:w="0" w:type="auto"/>
            <w:vMerge/>
            <w:tcBorders>
              <w:top w:val="single" w:sz="4" w:space="0" w:color="auto"/>
              <w:left w:val="single" w:sz="4" w:space="0" w:color="auto"/>
              <w:bottom w:val="single" w:sz="4" w:space="0" w:color="auto"/>
              <w:right w:val="single" w:sz="4" w:space="0" w:color="auto"/>
            </w:tcBorders>
            <w:vAlign w:val="center"/>
          </w:tcPr>
          <w:p w14:paraId="0115C54F" w14:textId="77777777" w:rsidR="00674F3E" w:rsidRDefault="00674F3E">
            <w:pPr>
              <w:widowControl/>
              <w:jc w:val="left"/>
              <w:rPr>
                <w:rFonts w:ascii="仿宋_GB2312" w:eastAsia="仿宋_GB2312" w:hAnsi="仿宋_GB2312" w:cs="仿宋_GB2312"/>
                <w:b/>
                <w:kern w:val="0"/>
                <w:szCs w:val="21"/>
                <w:lang w:val="zh-CN"/>
              </w:rPr>
            </w:pPr>
          </w:p>
        </w:tc>
        <w:tc>
          <w:tcPr>
            <w:tcW w:w="1169" w:type="dxa"/>
            <w:tcBorders>
              <w:top w:val="single" w:sz="4" w:space="0" w:color="auto"/>
              <w:left w:val="single" w:sz="4" w:space="0" w:color="auto"/>
              <w:bottom w:val="single" w:sz="4" w:space="0" w:color="auto"/>
              <w:right w:val="single" w:sz="4" w:space="0" w:color="auto"/>
            </w:tcBorders>
          </w:tcPr>
          <w:p w14:paraId="3B3F0705"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900</w:t>
            </w:r>
          </w:p>
        </w:tc>
        <w:tc>
          <w:tcPr>
            <w:tcW w:w="0" w:type="auto"/>
            <w:vMerge/>
            <w:tcBorders>
              <w:top w:val="single" w:sz="4" w:space="0" w:color="auto"/>
              <w:left w:val="single" w:sz="4" w:space="0" w:color="auto"/>
              <w:bottom w:val="single" w:sz="4" w:space="0" w:color="auto"/>
              <w:right w:val="single" w:sz="4" w:space="0" w:color="auto"/>
            </w:tcBorders>
            <w:vAlign w:val="center"/>
          </w:tcPr>
          <w:p w14:paraId="7BFD21CE" w14:textId="77777777" w:rsidR="00674F3E" w:rsidRDefault="00674F3E">
            <w:pPr>
              <w:widowControl/>
              <w:jc w:val="left"/>
              <w:rPr>
                <w:rFonts w:ascii="仿宋_GB2312" w:eastAsia="仿宋_GB2312" w:hAnsi="仿宋_GB2312" w:cs="仿宋_GB2312"/>
                <w:b/>
                <w:kern w:val="0"/>
                <w:szCs w:val="21"/>
                <w:lang w:val="zh-CN"/>
              </w:rPr>
            </w:pPr>
          </w:p>
        </w:tc>
        <w:tc>
          <w:tcPr>
            <w:tcW w:w="1259" w:type="dxa"/>
            <w:tcBorders>
              <w:top w:val="single" w:sz="4" w:space="0" w:color="auto"/>
              <w:left w:val="single" w:sz="4" w:space="0" w:color="auto"/>
              <w:bottom w:val="single" w:sz="4" w:space="0" w:color="auto"/>
              <w:right w:val="single" w:sz="4" w:space="0" w:color="auto"/>
            </w:tcBorders>
          </w:tcPr>
          <w:p w14:paraId="3906E315"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柯十四</w:t>
            </w:r>
          </w:p>
        </w:tc>
        <w:tc>
          <w:tcPr>
            <w:tcW w:w="988" w:type="dxa"/>
            <w:tcBorders>
              <w:top w:val="single" w:sz="4" w:space="0" w:color="auto"/>
              <w:left w:val="single" w:sz="4" w:space="0" w:color="auto"/>
              <w:bottom w:val="single" w:sz="4" w:space="0" w:color="auto"/>
              <w:right w:val="single" w:sz="4" w:space="0" w:color="auto"/>
            </w:tcBorders>
          </w:tcPr>
          <w:p w14:paraId="58427139"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柯十四</w:t>
            </w:r>
          </w:p>
        </w:tc>
        <w:tc>
          <w:tcPr>
            <w:tcW w:w="1003" w:type="dxa"/>
            <w:tcBorders>
              <w:top w:val="single" w:sz="4" w:space="0" w:color="auto"/>
              <w:left w:val="single" w:sz="4" w:space="0" w:color="auto"/>
              <w:bottom w:val="single" w:sz="4" w:space="0" w:color="auto"/>
              <w:right w:val="single" w:sz="4" w:space="0" w:color="auto"/>
            </w:tcBorders>
          </w:tcPr>
          <w:p w14:paraId="07FE7452"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1000</w:t>
            </w:r>
          </w:p>
        </w:tc>
        <w:tc>
          <w:tcPr>
            <w:tcW w:w="0" w:type="auto"/>
            <w:vMerge/>
            <w:tcBorders>
              <w:top w:val="single" w:sz="4" w:space="0" w:color="auto"/>
              <w:left w:val="single" w:sz="4" w:space="0" w:color="auto"/>
              <w:bottom w:val="single" w:sz="4" w:space="0" w:color="auto"/>
              <w:right w:val="single" w:sz="4" w:space="0" w:color="auto"/>
            </w:tcBorders>
            <w:vAlign w:val="center"/>
          </w:tcPr>
          <w:p w14:paraId="47C134BF" w14:textId="77777777" w:rsidR="00674F3E" w:rsidRDefault="00674F3E">
            <w:pPr>
              <w:widowControl/>
              <w:jc w:val="left"/>
              <w:rPr>
                <w:rFonts w:ascii="仿宋_GB2312" w:eastAsia="仿宋_GB2312" w:hAnsi="仿宋_GB2312" w:cs="仿宋_GB2312"/>
                <w:b/>
                <w:kern w:val="0"/>
                <w:szCs w:val="21"/>
                <w:lang w:val="zh-CN"/>
              </w:rPr>
            </w:pPr>
          </w:p>
        </w:tc>
        <w:tc>
          <w:tcPr>
            <w:tcW w:w="996" w:type="dxa"/>
            <w:tcBorders>
              <w:top w:val="single" w:sz="4" w:space="0" w:color="auto"/>
              <w:left w:val="single" w:sz="4" w:space="0" w:color="auto"/>
              <w:bottom w:val="single" w:sz="4" w:space="0" w:color="auto"/>
              <w:right w:val="single" w:sz="4" w:space="0" w:color="auto"/>
            </w:tcBorders>
          </w:tcPr>
          <w:p w14:paraId="5A115DC0"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N</w:t>
            </w:r>
          </w:p>
        </w:tc>
      </w:tr>
      <w:tr w:rsidR="00674F3E" w14:paraId="3D381847" w14:textId="77777777">
        <w:trPr>
          <w:jc w:val="center"/>
        </w:trPr>
        <w:tc>
          <w:tcPr>
            <w:tcW w:w="696" w:type="dxa"/>
            <w:tcBorders>
              <w:top w:val="single" w:sz="4" w:space="0" w:color="auto"/>
              <w:left w:val="single" w:sz="4" w:space="0" w:color="auto"/>
              <w:bottom w:val="single" w:sz="4" w:space="0" w:color="auto"/>
              <w:right w:val="single" w:sz="4" w:space="0" w:color="auto"/>
            </w:tcBorders>
          </w:tcPr>
          <w:p w14:paraId="137D76A7"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w:t>
            </w:r>
          </w:p>
        </w:tc>
        <w:tc>
          <w:tcPr>
            <w:tcW w:w="1076" w:type="dxa"/>
            <w:tcBorders>
              <w:top w:val="single" w:sz="4" w:space="0" w:color="auto"/>
              <w:left w:val="single" w:sz="4" w:space="0" w:color="auto"/>
              <w:bottom w:val="single" w:sz="4" w:space="0" w:color="auto"/>
              <w:right w:val="single" w:sz="4" w:space="0" w:color="auto"/>
            </w:tcBorders>
          </w:tcPr>
          <w:p w14:paraId="4F3D8F27"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w:t>
            </w:r>
          </w:p>
        </w:tc>
        <w:tc>
          <w:tcPr>
            <w:tcW w:w="989" w:type="dxa"/>
            <w:tcBorders>
              <w:top w:val="single" w:sz="4" w:space="0" w:color="auto"/>
              <w:left w:val="single" w:sz="4" w:space="0" w:color="auto"/>
              <w:bottom w:val="single" w:sz="4" w:space="0" w:color="auto"/>
              <w:right w:val="single" w:sz="4" w:space="0" w:color="auto"/>
            </w:tcBorders>
          </w:tcPr>
          <w:p w14:paraId="07A9A4A3"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w:t>
            </w:r>
          </w:p>
        </w:tc>
        <w:tc>
          <w:tcPr>
            <w:tcW w:w="0" w:type="auto"/>
            <w:vMerge/>
            <w:tcBorders>
              <w:top w:val="single" w:sz="4" w:space="0" w:color="auto"/>
              <w:left w:val="single" w:sz="4" w:space="0" w:color="auto"/>
              <w:bottom w:val="single" w:sz="4" w:space="0" w:color="auto"/>
              <w:right w:val="single" w:sz="4" w:space="0" w:color="auto"/>
            </w:tcBorders>
            <w:vAlign w:val="center"/>
          </w:tcPr>
          <w:p w14:paraId="121DB00C" w14:textId="77777777" w:rsidR="00674F3E" w:rsidRDefault="00674F3E">
            <w:pPr>
              <w:widowControl/>
              <w:jc w:val="left"/>
              <w:rPr>
                <w:rFonts w:ascii="仿宋_GB2312" w:eastAsia="仿宋_GB2312" w:hAnsi="仿宋_GB2312" w:cs="仿宋_GB2312"/>
                <w:b/>
                <w:kern w:val="0"/>
                <w:szCs w:val="21"/>
                <w:lang w:val="zh-CN"/>
              </w:rPr>
            </w:pPr>
          </w:p>
        </w:tc>
        <w:tc>
          <w:tcPr>
            <w:tcW w:w="1169" w:type="dxa"/>
            <w:tcBorders>
              <w:top w:val="single" w:sz="4" w:space="0" w:color="auto"/>
              <w:left w:val="single" w:sz="4" w:space="0" w:color="auto"/>
              <w:bottom w:val="single" w:sz="4" w:space="0" w:color="auto"/>
              <w:right w:val="single" w:sz="4" w:space="0" w:color="auto"/>
            </w:tcBorders>
          </w:tcPr>
          <w:p w14:paraId="17F783FE"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w:t>
            </w:r>
          </w:p>
        </w:tc>
        <w:tc>
          <w:tcPr>
            <w:tcW w:w="0" w:type="auto"/>
            <w:vMerge/>
            <w:tcBorders>
              <w:top w:val="single" w:sz="4" w:space="0" w:color="auto"/>
              <w:left w:val="single" w:sz="4" w:space="0" w:color="auto"/>
              <w:bottom w:val="single" w:sz="4" w:space="0" w:color="auto"/>
              <w:right w:val="single" w:sz="4" w:space="0" w:color="auto"/>
            </w:tcBorders>
            <w:vAlign w:val="center"/>
          </w:tcPr>
          <w:p w14:paraId="0D8F73A1" w14:textId="77777777" w:rsidR="00674F3E" w:rsidRDefault="00674F3E">
            <w:pPr>
              <w:widowControl/>
              <w:jc w:val="left"/>
              <w:rPr>
                <w:rFonts w:ascii="仿宋_GB2312" w:eastAsia="仿宋_GB2312" w:hAnsi="仿宋_GB2312" w:cs="仿宋_GB2312"/>
                <w:b/>
                <w:kern w:val="0"/>
                <w:szCs w:val="21"/>
                <w:lang w:val="zh-CN"/>
              </w:rPr>
            </w:pPr>
          </w:p>
        </w:tc>
        <w:tc>
          <w:tcPr>
            <w:tcW w:w="1259" w:type="dxa"/>
            <w:tcBorders>
              <w:top w:val="single" w:sz="4" w:space="0" w:color="auto"/>
              <w:left w:val="single" w:sz="4" w:space="0" w:color="auto"/>
              <w:bottom w:val="single" w:sz="4" w:space="0" w:color="auto"/>
              <w:right w:val="single" w:sz="4" w:space="0" w:color="auto"/>
            </w:tcBorders>
          </w:tcPr>
          <w:p w14:paraId="53539E7C"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w:t>
            </w:r>
          </w:p>
        </w:tc>
        <w:tc>
          <w:tcPr>
            <w:tcW w:w="988" w:type="dxa"/>
            <w:tcBorders>
              <w:top w:val="single" w:sz="4" w:space="0" w:color="auto"/>
              <w:left w:val="single" w:sz="4" w:space="0" w:color="auto"/>
              <w:bottom w:val="single" w:sz="4" w:space="0" w:color="auto"/>
              <w:right w:val="single" w:sz="4" w:space="0" w:color="auto"/>
            </w:tcBorders>
          </w:tcPr>
          <w:p w14:paraId="49F3E153"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w:t>
            </w:r>
          </w:p>
        </w:tc>
        <w:tc>
          <w:tcPr>
            <w:tcW w:w="1003" w:type="dxa"/>
            <w:tcBorders>
              <w:top w:val="single" w:sz="4" w:space="0" w:color="auto"/>
              <w:left w:val="single" w:sz="4" w:space="0" w:color="auto"/>
              <w:bottom w:val="single" w:sz="4" w:space="0" w:color="auto"/>
              <w:right w:val="single" w:sz="4" w:space="0" w:color="auto"/>
            </w:tcBorders>
          </w:tcPr>
          <w:p w14:paraId="2C1804AC"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w:t>
            </w:r>
          </w:p>
        </w:tc>
        <w:tc>
          <w:tcPr>
            <w:tcW w:w="0" w:type="auto"/>
            <w:vMerge/>
            <w:tcBorders>
              <w:top w:val="single" w:sz="4" w:space="0" w:color="auto"/>
              <w:left w:val="single" w:sz="4" w:space="0" w:color="auto"/>
              <w:bottom w:val="single" w:sz="4" w:space="0" w:color="auto"/>
              <w:right w:val="single" w:sz="4" w:space="0" w:color="auto"/>
            </w:tcBorders>
            <w:vAlign w:val="center"/>
          </w:tcPr>
          <w:p w14:paraId="3077F3F5" w14:textId="77777777" w:rsidR="00674F3E" w:rsidRDefault="00674F3E">
            <w:pPr>
              <w:widowControl/>
              <w:jc w:val="left"/>
              <w:rPr>
                <w:rFonts w:ascii="仿宋_GB2312" w:eastAsia="仿宋_GB2312" w:hAnsi="仿宋_GB2312" w:cs="仿宋_GB2312"/>
                <w:b/>
                <w:kern w:val="0"/>
                <w:szCs w:val="21"/>
                <w:lang w:val="zh-CN"/>
              </w:rPr>
            </w:pPr>
          </w:p>
        </w:tc>
        <w:tc>
          <w:tcPr>
            <w:tcW w:w="996" w:type="dxa"/>
            <w:tcBorders>
              <w:top w:val="single" w:sz="4" w:space="0" w:color="auto"/>
              <w:left w:val="single" w:sz="4" w:space="0" w:color="auto"/>
              <w:bottom w:val="single" w:sz="4" w:space="0" w:color="auto"/>
              <w:right w:val="single" w:sz="4" w:space="0" w:color="auto"/>
            </w:tcBorders>
          </w:tcPr>
          <w:p w14:paraId="04D6BDB2" w14:textId="77777777" w:rsidR="00674F3E" w:rsidRDefault="00C45190">
            <w:pPr>
              <w:ind w:firstLine="30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w:t>
            </w:r>
          </w:p>
        </w:tc>
      </w:tr>
    </w:tbl>
    <w:p w14:paraId="2C0821A1" w14:textId="77777777" w:rsidR="00674F3E" w:rsidRDefault="00C45190">
      <w:pPr>
        <w:spacing w:line="600" w:lineRule="exact"/>
        <w:ind w:firstLine="482"/>
        <w:rPr>
          <w:rFonts w:ascii="仿宋_GB2312" w:eastAsia="仿宋_GB2312" w:hAnsi="仿宋_GB2312" w:cs="仿宋_GB2312"/>
          <w:kern w:val="0"/>
          <w:sz w:val="28"/>
          <w:szCs w:val="28"/>
          <w:lang w:val="zh-CN"/>
        </w:rPr>
      </w:pPr>
      <w:r>
        <w:rPr>
          <w:rFonts w:ascii="仿宋_GB2312" w:eastAsia="仿宋_GB2312" w:hAnsi="仿宋_GB2312" w:cs="仿宋_GB2312" w:hint="eastAsia"/>
          <w:kern w:val="0"/>
          <w:sz w:val="28"/>
          <w:szCs w:val="28"/>
          <w:lang w:val="zh-CN"/>
        </w:rPr>
        <w:lastRenderedPageBreak/>
        <w:t>由于其中的D333333310账户为“客户信用交易担保证券账户”，上市公司还应当从中国结算取得该账户的“投资者信用证券账户明细数据”，假设上市公司取得的明细数据如下表所示：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833"/>
        <w:gridCol w:w="1266"/>
        <w:gridCol w:w="854"/>
        <w:gridCol w:w="1266"/>
        <w:gridCol w:w="851"/>
        <w:gridCol w:w="874"/>
        <w:gridCol w:w="834"/>
        <w:gridCol w:w="853"/>
      </w:tblGrid>
      <w:tr w:rsidR="00674F3E" w14:paraId="7A8C3BA4" w14:textId="77777777">
        <w:tc>
          <w:tcPr>
            <w:tcW w:w="537" w:type="pct"/>
            <w:tcBorders>
              <w:top w:val="single" w:sz="4" w:space="0" w:color="auto"/>
              <w:left w:val="single" w:sz="4" w:space="0" w:color="auto"/>
              <w:bottom w:val="single" w:sz="4" w:space="0" w:color="auto"/>
              <w:right w:val="single" w:sz="4" w:space="0" w:color="auto"/>
            </w:tcBorders>
            <w:vAlign w:val="center"/>
          </w:tcPr>
          <w:p w14:paraId="4EFEDC0E" w14:textId="77777777" w:rsidR="00674F3E" w:rsidRDefault="00C45190">
            <w:pPr>
              <w:rPr>
                <w:rFonts w:ascii="仿宋_GB2312" w:eastAsia="仿宋_GB2312" w:hAnsi="仿宋_GB2312" w:cs="仿宋_GB2312"/>
                <w:b/>
                <w:kern w:val="0"/>
                <w:szCs w:val="21"/>
                <w:lang w:val="zh-CN"/>
              </w:rPr>
            </w:pPr>
            <w:r>
              <w:rPr>
                <w:rFonts w:ascii="仿宋_GB2312" w:eastAsia="仿宋_GB2312" w:hAnsi="仿宋_GB2312" w:cs="仿宋_GB2312" w:hint="eastAsia"/>
                <w:b/>
                <w:kern w:val="0"/>
                <w:szCs w:val="21"/>
                <w:lang w:val="zh-CN"/>
              </w:rPr>
              <w:t>证券代码</w:t>
            </w:r>
          </w:p>
        </w:tc>
        <w:tc>
          <w:tcPr>
            <w:tcW w:w="503" w:type="pct"/>
            <w:vMerge w:val="restart"/>
            <w:tcBorders>
              <w:top w:val="single" w:sz="4" w:space="0" w:color="auto"/>
              <w:left w:val="single" w:sz="4" w:space="0" w:color="auto"/>
              <w:bottom w:val="single" w:sz="4" w:space="0" w:color="auto"/>
              <w:right w:val="single" w:sz="4" w:space="0" w:color="auto"/>
            </w:tcBorders>
            <w:vAlign w:val="center"/>
          </w:tcPr>
          <w:p w14:paraId="224CD244" w14:textId="77777777" w:rsidR="00674F3E" w:rsidRDefault="00C45190">
            <w:pPr>
              <w:ind w:firstLine="321"/>
              <w:rPr>
                <w:rFonts w:ascii="仿宋_GB2312" w:eastAsia="仿宋_GB2312" w:hAnsi="仿宋_GB2312" w:cs="仿宋_GB2312"/>
                <w:b/>
                <w:kern w:val="0"/>
                <w:szCs w:val="21"/>
                <w:lang w:val="zh-CN"/>
              </w:rPr>
            </w:pPr>
            <w:r>
              <w:rPr>
                <w:rFonts w:ascii="仿宋_GB2312" w:eastAsia="仿宋_GB2312" w:hAnsi="仿宋_GB2312" w:cs="仿宋_GB2312" w:hint="eastAsia"/>
                <w:b/>
                <w:kern w:val="0"/>
                <w:szCs w:val="21"/>
                <w:lang w:val="zh-CN"/>
              </w:rPr>
              <w:t>…</w:t>
            </w:r>
          </w:p>
        </w:tc>
        <w:tc>
          <w:tcPr>
            <w:tcW w:w="697" w:type="pct"/>
            <w:tcBorders>
              <w:top w:val="single" w:sz="4" w:space="0" w:color="auto"/>
              <w:left w:val="single" w:sz="4" w:space="0" w:color="auto"/>
              <w:bottom w:val="single" w:sz="4" w:space="0" w:color="auto"/>
              <w:right w:val="single" w:sz="4" w:space="0" w:color="auto"/>
            </w:tcBorders>
            <w:vAlign w:val="center"/>
          </w:tcPr>
          <w:p w14:paraId="782B319F" w14:textId="77777777" w:rsidR="00674F3E" w:rsidRDefault="00C45190">
            <w:pPr>
              <w:rPr>
                <w:rFonts w:ascii="仿宋_GB2312" w:eastAsia="仿宋_GB2312" w:hAnsi="仿宋_GB2312" w:cs="仿宋_GB2312"/>
                <w:b/>
                <w:kern w:val="0"/>
                <w:szCs w:val="21"/>
                <w:lang w:val="zh-CN"/>
              </w:rPr>
            </w:pPr>
            <w:r>
              <w:rPr>
                <w:rFonts w:ascii="仿宋_GB2312" w:eastAsia="仿宋_GB2312" w:hAnsi="仿宋_GB2312" w:cs="仿宋_GB2312" w:hint="eastAsia"/>
                <w:b/>
                <w:kern w:val="0"/>
                <w:szCs w:val="21"/>
                <w:lang w:val="zh-CN"/>
              </w:rPr>
              <w:t>证券公司客户信用交易担保证券账户</w:t>
            </w:r>
          </w:p>
        </w:tc>
        <w:tc>
          <w:tcPr>
            <w:tcW w:w="515" w:type="pct"/>
            <w:tcBorders>
              <w:top w:val="single" w:sz="4" w:space="0" w:color="auto"/>
              <w:left w:val="single" w:sz="4" w:space="0" w:color="auto"/>
              <w:bottom w:val="single" w:sz="4" w:space="0" w:color="auto"/>
              <w:right w:val="single" w:sz="4" w:space="0" w:color="auto"/>
            </w:tcBorders>
            <w:vAlign w:val="center"/>
          </w:tcPr>
          <w:p w14:paraId="2C1BA66F" w14:textId="77777777" w:rsidR="00674F3E" w:rsidRDefault="00C45190">
            <w:pPr>
              <w:rPr>
                <w:rFonts w:ascii="仿宋_GB2312" w:eastAsia="仿宋_GB2312" w:hAnsi="仿宋_GB2312" w:cs="仿宋_GB2312"/>
                <w:b/>
                <w:kern w:val="0"/>
                <w:szCs w:val="21"/>
                <w:lang w:val="zh-CN"/>
              </w:rPr>
            </w:pPr>
            <w:r>
              <w:rPr>
                <w:rFonts w:ascii="仿宋_GB2312" w:eastAsia="仿宋_GB2312" w:hAnsi="仿宋_GB2312" w:cs="仿宋_GB2312" w:hint="eastAsia"/>
                <w:b/>
                <w:kern w:val="0"/>
                <w:szCs w:val="21"/>
                <w:lang w:val="zh-CN"/>
              </w:rPr>
              <w:t>证券公司客户信用交易担保证券账户名称</w:t>
            </w:r>
          </w:p>
        </w:tc>
        <w:tc>
          <w:tcPr>
            <w:tcW w:w="692" w:type="pct"/>
            <w:tcBorders>
              <w:top w:val="single" w:sz="4" w:space="0" w:color="auto"/>
              <w:left w:val="single" w:sz="4" w:space="0" w:color="auto"/>
              <w:bottom w:val="single" w:sz="4" w:space="0" w:color="auto"/>
              <w:right w:val="single" w:sz="4" w:space="0" w:color="auto"/>
            </w:tcBorders>
            <w:vAlign w:val="center"/>
          </w:tcPr>
          <w:p w14:paraId="3BCCCBF6" w14:textId="77777777" w:rsidR="00674F3E" w:rsidRDefault="00C45190">
            <w:pPr>
              <w:rPr>
                <w:rFonts w:ascii="仿宋_GB2312" w:eastAsia="仿宋_GB2312" w:hAnsi="仿宋_GB2312" w:cs="仿宋_GB2312"/>
                <w:b/>
                <w:kern w:val="0"/>
                <w:szCs w:val="21"/>
                <w:lang w:val="zh-CN"/>
              </w:rPr>
            </w:pPr>
            <w:r>
              <w:rPr>
                <w:rFonts w:ascii="仿宋_GB2312" w:eastAsia="仿宋_GB2312" w:hAnsi="仿宋_GB2312" w:cs="仿宋_GB2312" w:hint="eastAsia"/>
                <w:b/>
                <w:kern w:val="0"/>
                <w:szCs w:val="21"/>
                <w:lang w:val="zh-CN"/>
              </w:rPr>
              <w:t>投资者信用证券账户</w:t>
            </w:r>
          </w:p>
        </w:tc>
        <w:tc>
          <w:tcPr>
            <w:tcW w:w="513" w:type="pct"/>
            <w:tcBorders>
              <w:top w:val="single" w:sz="4" w:space="0" w:color="auto"/>
              <w:left w:val="single" w:sz="4" w:space="0" w:color="auto"/>
              <w:bottom w:val="single" w:sz="4" w:space="0" w:color="auto"/>
              <w:right w:val="single" w:sz="4" w:space="0" w:color="auto"/>
            </w:tcBorders>
            <w:vAlign w:val="center"/>
          </w:tcPr>
          <w:p w14:paraId="3AB97BD4" w14:textId="77777777" w:rsidR="00674F3E" w:rsidRDefault="00C45190">
            <w:pPr>
              <w:rPr>
                <w:rFonts w:ascii="仿宋_GB2312" w:eastAsia="仿宋_GB2312" w:hAnsi="仿宋_GB2312" w:cs="仿宋_GB2312"/>
                <w:b/>
                <w:kern w:val="0"/>
                <w:szCs w:val="21"/>
                <w:lang w:val="zh-CN"/>
              </w:rPr>
            </w:pPr>
            <w:r>
              <w:rPr>
                <w:rFonts w:ascii="仿宋_GB2312" w:eastAsia="仿宋_GB2312" w:hAnsi="仿宋_GB2312" w:cs="仿宋_GB2312" w:hint="eastAsia"/>
                <w:b/>
                <w:kern w:val="0"/>
                <w:szCs w:val="21"/>
                <w:lang w:val="zh-CN"/>
              </w:rPr>
              <w:t>投资者信用证券账户名称</w:t>
            </w:r>
          </w:p>
        </w:tc>
        <w:tc>
          <w:tcPr>
            <w:tcW w:w="526" w:type="pct"/>
            <w:tcBorders>
              <w:top w:val="single" w:sz="4" w:space="0" w:color="auto"/>
              <w:left w:val="single" w:sz="4" w:space="0" w:color="auto"/>
              <w:bottom w:val="single" w:sz="4" w:space="0" w:color="auto"/>
              <w:right w:val="single" w:sz="4" w:space="0" w:color="auto"/>
            </w:tcBorders>
            <w:vAlign w:val="center"/>
          </w:tcPr>
          <w:p w14:paraId="78D03739" w14:textId="77777777" w:rsidR="00674F3E" w:rsidRDefault="00C45190">
            <w:pPr>
              <w:rPr>
                <w:rFonts w:ascii="仿宋_GB2312" w:eastAsia="仿宋_GB2312" w:hAnsi="仿宋_GB2312" w:cs="仿宋_GB2312"/>
                <w:b/>
                <w:kern w:val="0"/>
                <w:szCs w:val="21"/>
                <w:lang w:val="zh-CN"/>
              </w:rPr>
            </w:pPr>
            <w:r>
              <w:rPr>
                <w:rFonts w:ascii="仿宋_GB2312" w:eastAsia="仿宋_GB2312" w:hAnsi="仿宋_GB2312" w:cs="仿宋_GB2312" w:hint="eastAsia"/>
                <w:b/>
                <w:kern w:val="0"/>
                <w:szCs w:val="21"/>
                <w:lang w:val="zh-CN"/>
              </w:rPr>
              <w:t>证券明细</w:t>
            </w:r>
          </w:p>
        </w:tc>
        <w:tc>
          <w:tcPr>
            <w:tcW w:w="503" w:type="pct"/>
            <w:vMerge w:val="restart"/>
            <w:tcBorders>
              <w:top w:val="single" w:sz="4" w:space="0" w:color="auto"/>
              <w:left w:val="single" w:sz="4" w:space="0" w:color="auto"/>
              <w:bottom w:val="single" w:sz="4" w:space="0" w:color="auto"/>
              <w:right w:val="single" w:sz="4" w:space="0" w:color="auto"/>
            </w:tcBorders>
            <w:vAlign w:val="center"/>
          </w:tcPr>
          <w:p w14:paraId="66E38349" w14:textId="77777777" w:rsidR="00674F3E" w:rsidRDefault="00C45190">
            <w:pPr>
              <w:ind w:firstLine="321"/>
              <w:rPr>
                <w:rFonts w:ascii="仿宋_GB2312" w:eastAsia="仿宋_GB2312" w:hAnsi="仿宋_GB2312" w:cs="仿宋_GB2312"/>
                <w:b/>
                <w:kern w:val="0"/>
                <w:szCs w:val="21"/>
                <w:lang w:val="zh-CN"/>
              </w:rPr>
            </w:pPr>
            <w:r>
              <w:rPr>
                <w:rFonts w:ascii="仿宋_GB2312" w:eastAsia="仿宋_GB2312" w:hAnsi="仿宋_GB2312" w:cs="仿宋_GB2312" w:hint="eastAsia"/>
                <w:b/>
                <w:kern w:val="0"/>
                <w:szCs w:val="21"/>
                <w:lang w:val="zh-CN"/>
              </w:rPr>
              <w:t>…</w:t>
            </w:r>
          </w:p>
        </w:tc>
        <w:tc>
          <w:tcPr>
            <w:tcW w:w="514" w:type="pct"/>
            <w:tcBorders>
              <w:top w:val="single" w:sz="4" w:space="0" w:color="auto"/>
              <w:left w:val="single" w:sz="4" w:space="0" w:color="auto"/>
              <w:bottom w:val="single" w:sz="4" w:space="0" w:color="auto"/>
              <w:right w:val="single" w:sz="4" w:space="0" w:color="auto"/>
            </w:tcBorders>
            <w:vAlign w:val="center"/>
          </w:tcPr>
          <w:p w14:paraId="413071D8" w14:textId="77777777" w:rsidR="00674F3E" w:rsidRDefault="00C45190">
            <w:pPr>
              <w:rPr>
                <w:rFonts w:ascii="仿宋_GB2312" w:eastAsia="仿宋_GB2312" w:hAnsi="仿宋_GB2312" w:cs="仿宋_GB2312"/>
                <w:b/>
                <w:kern w:val="0"/>
                <w:szCs w:val="21"/>
                <w:lang w:val="zh-CN"/>
              </w:rPr>
            </w:pPr>
            <w:r>
              <w:rPr>
                <w:rFonts w:ascii="仿宋_GB2312" w:eastAsia="仿宋_GB2312" w:hAnsi="仿宋_GB2312" w:cs="仿宋_GB2312" w:hint="eastAsia"/>
                <w:b/>
                <w:kern w:val="0"/>
                <w:szCs w:val="21"/>
                <w:lang w:val="zh-CN"/>
              </w:rPr>
              <w:t>证件代码</w:t>
            </w:r>
          </w:p>
        </w:tc>
      </w:tr>
      <w:tr w:rsidR="00674F3E" w14:paraId="125D558F" w14:textId="77777777">
        <w:tc>
          <w:tcPr>
            <w:tcW w:w="537" w:type="pct"/>
            <w:tcBorders>
              <w:top w:val="single" w:sz="4" w:space="0" w:color="auto"/>
              <w:left w:val="single" w:sz="4" w:space="0" w:color="auto"/>
              <w:bottom w:val="single" w:sz="4" w:space="0" w:color="auto"/>
              <w:right w:val="single" w:sz="4" w:space="0" w:color="auto"/>
            </w:tcBorders>
            <w:vAlign w:val="center"/>
          </w:tcPr>
          <w:p w14:paraId="70D8EA0D"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6xxxxx</w:t>
            </w:r>
          </w:p>
        </w:tc>
        <w:tc>
          <w:tcPr>
            <w:tcW w:w="0" w:type="auto"/>
            <w:vMerge/>
            <w:tcBorders>
              <w:top w:val="single" w:sz="4" w:space="0" w:color="auto"/>
              <w:left w:val="single" w:sz="4" w:space="0" w:color="auto"/>
              <w:bottom w:val="single" w:sz="4" w:space="0" w:color="auto"/>
              <w:right w:val="single" w:sz="4" w:space="0" w:color="auto"/>
            </w:tcBorders>
            <w:vAlign w:val="center"/>
          </w:tcPr>
          <w:p w14:paraId="4C97EF15" w14:textId="77777777" w:rsidR="00674F3E" w:rsidRDefault="00674F3E">
            <w:pPr>
              <w:widowControl/>
              <w:jc w:val="left"/>
              <w:rPr>
                <w:rFonts w:ascii="仿宋_GB2312" w:eastAsia="仿宋_GB2312" w:hAnsi="仿宋_GB2312" w:cs="仿宋_GB2312"/>
                <w:b/>
                <w:kern w:val="0"/>
                <w:szCs w:val="21"/>
                <w:lang w:val="zh-CN"/>
              </w:rPr>
            </w:pPr>
          </w:p>
        </w:tc>
        <w:tc>
          <w:tcPr>
            <w:tcW w:w="697" w:type="pct"/>
            <w:tcBorders>
              <w:top w:val="single" w:sz="4" w:space="0" w:color="auto"/>
              <w:left w:val="single" w:sz="4" w:space="0" w:color="auto"/>
              <w:bottom w:val="single" w:sz="4" w:space="0" w:color="auto"/>
              <w:right w:val="single" w:sz="4" w:space="0" w:color="auto"/>
            </w:tcBorders>
            <w:vAlign w:val="center"/>
          </w:tcPr>
          <w:p w14:paraId="7BBBC3EE"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D333333310</w:t>
            </w:r>
          </w:p>
        </w:tc>
        <w:tc>
          <w:tcPr>
            <w:tcW w:w="515" w:type="pct"/>
            <w:tcBorders>
              <w:top w:val="single" w:sz="4" w:space="0" w:color="auto"/>
              <w:left w:val="single" w:sz="4" w:space="0" w:color="auto"/>
              <w:bottom w:val="single" w:sz="4" w:space="0" w:color="auto"/>
              <w:right w:val="single" w:sz="4" w:space="0" w:color="auto"/>
            </w:tcBorders>
            <w:vAlign w:val="center"/>
          </w:tcPr>
          <w:p w14:paraId="6D58705A"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A证券公司客户信用担保账户</w:t>
            </w:r>
          </w:p>
        </w:tc>
        <w:tc>
          <w:tcPr>
            <w:tcW w:w="692" w:type="pct"/>
            <w:tcBorders>
              <w:top w:val="single" w:sz="4" w:space="0" w:color="auto"/>
              <w:left w:val="single" w:sz="4" w:space="0" w:color="auto"/>
              <w:bottom w:val="single" w:sz="4" w:space="0" w:color="auto"/>
              <w:right w:val="single" w:sz="4" w:space="0" w:color="auto"/>
            </w:tcBorders>
            <w:vAlign w:val="center"/>
          </w:tcPr>
          <w:p w14:paraId="74DB264D"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E666666666</w:t>
            </w:r>
          </w:p>
        </w:tc>
        <w:tc>
          <w:tcPr>
            <w:tcW w:w="513" w:type="pct"/>
            <w:tcBorders>
              <w:top w:val="single" w:sz="4" w:space="0" w:color="auto"/>
              <w:left w:val="single" w:sz="4" w:space="0" w:color="auto"/>
              <w:bottom w:val="single" w:sz="4" w:space="0" w:color="auto"/>
              <w:right w:val="single" w:sz="4" w:space="0" w:color="auto"/>
            </w:tcBorders>
            <w:vAlign w:val="center"/>
          </w:tcPr>
          <w:p w14:paraId="165950AF"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刘八</w:t>
            </w:r>
          </w:p>
        </w:tc>
        <w:tc>
          <w:tcPr>
            <w:tcW w:w="526" w:type="pct"/>
            <w:tcBorders>
              <w:top w:val="single" w:sz="4" w:space="0" w:color="auto"/>
              <w:left w:val="single" w:sz="4" w:space="0" w:color="auto"/>
              <w:bottom w:val="single" w:sz="4" w:space="0" w:color="auto"/>
              <w:right w:val="single" w:sz="4" w:space="0" w:color="auto"/>
            </w:tcBorders>
            <w:vAlign w:val="center"/>
          </w:tcPr>
          <w:p w14:paraId="7B791506"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35000</w:t>
            </w:r>
          </w:p>
        </w:tc>
        <w:tc>
          <w:tcPr>
            <w:tcW w:w="0" w:type="auto"/>
            <w:vMerge/>
            <w:tcBorders>
              <w:top w:val="single" w:sz="4" w:space="0" w:color="auto"/>
              <w:left w:val="single" w:sz="4" w:space="0" w:color="auto"/>
              <w:bottom w:val="single" w:sz="4" w:space="0" w:color="auto"/>
              <w:right w:val="single" w:sz="4" w:space="0" w:color="auto"/>
            </w:tcBorders>
            <w:vAlign w:val="center"/>
          </w:tcPr>
          <w:p w14:paraId="6F288402" w14:textId="77777777" w:rsidR="00674F3E" w:rsidRDefault="00674F3E">
            <w:pPr>
              <w:widowControl/>
              <w:jc w:val="left"/>
              <w:rPr>
                <w:rFonts w:ascii="仿宋_GB2312" w:eastAsia="仿宋_GB2312" w:hAnsi="仿宋_GB2312" w:cs="仿宋_GB2312"/>
                <w:b/>
                <w:kern w:val="0"/>
                <w:szCs w:val="21"/>
                <w:lang w:val="zh-CN"/>
              </w:rPr>
            </w:pPr>
          </w:p>
        </w:tc>
        <w:tc>
          <w:tcPr>
            <w:tcW w:w="514" w:type="pct"/>
            <w:tcBorders>
              <w:top w:val="single" w:sz="4" w:space="0" w:color="auto"/>
              <w:left w:val="single" w:sz="4" w:space="0" w:color="auto"/>
              <w:bottom w:val="single" w:sz="4" w:space="0" w:color="auto"/>
              <w:right w:val="single" w:sz="4" w:space="0" w:color="auto"/>
            </w:tcBorders>
            <w:vAlign w:val="center"/>
          </w:tcPr>
          <w:p w14:paraId="005D323F" w14:textId="77777777" w:rsidR="00674F3E" w:rsidRDefault="00C45190">
            <w:pPr>
              <w:ind w:firstLine="32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H</w:t>
            </w:r>
          </w:p>
        </w:tc>
      </w:tr>
      <w:tr w:rsidR="00674F3E" w14:paraId="24BDF8E8" w14:textId="77777777">
        <w:tc>
          <w:tcPr>
            <w:tcW w:w="537" w:type="pct"/>
            <w:tcBorders>
              <w:top w:val="single" w:sz="4" w:space="0" w:color="auto"/>
              <w:left w:val="single" w:sz="4" w:space="0" w:color="auto"/>
              <w:bottom w:val="single" w:sz="4" w:space="0" w:color="auto"/>
              <w:right w:val="single" w:sz="4" w:space="0" w:color="auto"/>
            </w:tcBorders>
            <w:vAlign w:val="center"/>
          </w:tcPr>
          <w:p w14:paraId="21A80B0C"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6xxxxx</w:t>
            </w:r>
          </w:p>
        </w:tc>
        <w:tc>
          <w:tcPr>
            <w:tcW w:w="0" w:type="auto"/>
            <w:vMerge/>
            <w:tcBorders>
              <w:top w:val="single" w:sz="4" w:space="0" w:color="auto"/>
              <w:left w:val="single" w:sz="4" w:space="0" w:color="auto"/>
              <w:bottom w:val="single" w:sz="4" w:space="0" w:color="auto"/>
              <w:right w:val="single" w:sz="4" w:space="0" w:color="auto"/>
            </w:tcBorders>
            <w:vAlign w:val="center"/>
          </w:tcPr>
          <w:p w14:paraId="46BC80C4" w14:textId="77777777" w:rsidR="00674F3E" w:rsidRDefault="00674F3E">
            <w:pPr>
              <w:widowControl/>
              <w:jc w:val="left"/>
              <w:rPr>
                <w:rFonts w:ascii="仿宋_GB2312" w:eastAsia="仿宋_GB2312" w:hAnsi="仿宋_GB2312" w:cs="仿宋_GB2312"/>
                <w:b/>
                <w:kern w:val="0"/>
                <w:szCs w:val="21"/>
                <w:lang w:val="zh-CN"/>
              </w:rPr>
            </w:pPr>
          </w:p>
        </w:tc>
        <w:tc>
          <w:tcPr>
            <w:tcW w:w="697" w:type="pct"/>
            <w:tcBorders>
              <w:top w:val="single" w:sz="4" w:space="0" w:color="auto"/>
              <w:left w:val="single" w:sz="4" w:space="0" w:color="auto"/>
              <w:bottom w:val="single" w:sz="4" w:space="0" w:color="auto"/>
              <w:right w:val="single" w:sz="4" w:space="0" w:color="auto"/>
            </w:tcBorders>
            <w:vAlign w:val="center"/>
          </w:tcPr>
          <w:p w14:paraId="48A4AE1A"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D333333310</w:t>
            </w:r>
          </w:p>
        </w:tc>
        <w:tc>
          <w:tcPr>
            <w:tcW w:w="515" w:type="pct"/>
            <w:tcBorders>
              <w:top w:val="single" w:sz="4" w:space="0" w:color="auto"/>
              <w:left w:val="single" w:sz="4" w:space="0" w:color="auto"/>
              <w:bottom w:val="single" w:sz="4" w:space="0" w:color="auto"/>
              <w:right w:val="single" w:sz="4" w:space="0" w:color="auto"/>
            </w:tcBorders>
            <w:vAlign w:val="center"/>
          </w:tcPr>
          <w:p w14:paraId="70B7FF8C"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A证券公司客户信用担保账户</w:t>
            </w:r>
          </w:p>
        </w:tc>
        <w:tc>
          <w:tcPr>
            <w:tcW w:w="692" w:type="pct"/>
            <w:tcBorders>
              <w:top w:val="single" w:sz="4" w:space="0" w:color="auto"/>
              <w:left w:val="single" w:sz="4" w:space="0" w:color="auto"/>
              <w:bottom w:val="single" w:sz="4" w:space="0" w:color="auto"/>
              <w:right w:val="single" w:sz="4" w:space="0" w:color="auto"/>
            </w:tcBorders>
            <w:vAlign w:val="center"/>
          </w:tcPr>
          <w:p w14:paraId="5DD39179"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E777777777</w:t>
            </w:r>
          </w:p>
        </w:tc>
        <w:tc>
          <w:tcPr>
            <w:tcW w:w="513" w:type="pct"/>
            <w:tcBorders>
              <w:top w:val="single" w:sz="4" w:space="0" w:color="auto"/>
              <w:left w:val="single" w:sz="4" w:space="0" w:color="auto"/>
              <w:bottom w:val="single" w:sz="4" w:space="0" w:color="auto"/>
              <w:right w:val="single" w:sz="4" w:space="0" w:color="auto"/>
            </w:tcBorders>
            <w:vAlign w:val="center"/>
          </w:tcPr>
          <w:p w14:paraId="1880B34A"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陈七</w:t>
            </w:r>
          </w:p>
        </w:tc>
        <w:tc>
          <w:tcPr>
            <w:tcW w:w="526" w:type="pct"/>
            <w:tcBorders>
              <w:top w:val="single" w:sz="4" w:space="0" w:color="auto"/>
              <w:left w:val="single" w:sz="4" w:space="0" w:color="auto"/>
              <w:bottom w:val="single" w:sz="4" w:space="0" w:color="auto"/>
              <w:right w:val="single" w:sz="4" w:space="0" w:color="auto"/>
            </w:tcBorders>
            <w:vAlign w:val="center"/>
          </w:tcPr>
          <w:p w14:paraId="1C6AD9AE"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20000</w:t>
            </w:r>
          </w:p>
        </w:tc>
        <w:tc>
          <w:tcPr>
            <w:tcW w:w="0" w:type="auto"/>
            <w:vMerge/>
            <w:tcBorders>
              <w:top w:val="single" w:sz="4" w:space="0" w:color="auto"/>
              <w:left w:val="single" w:sz="4" w:space="0" w:color="auto"/>
              <w:bottom w:val="single" w:sz="4" w:space="0" w:color="auto"/>
              <w:right w:val="single" w:sz="4" w:space="0" w:color="auto"/>
            </w:tcBorders>
            <w:vAlign w:val="center"/>
          </w:tcPr>
          <w:p w14:paraId="4A2D99BD" w14:textId="77777777" w:rsidR="00674F3E" w:rsidRDefault="00674F3E">
            <w:pPr>
              <w:widowControl/>
              <w:jc w:val="left"/>
              <w:rPr>
                <w:rFonts w:ascii="仿宋_GB2312" w:eastAsia="仿宋_GB2312" w:hAnsi="仿宋_GB2312" w:cs="仿宋_GB2312"/>
                <w:b/>
                <w:kern w:val="0"/>
                <w:szCs w:val="21"/>
                <w:lang w:val="zh-CN"/>
              </w:rPr>
            </w:pPr>
          </w:p>
        </w:tc>
        <w:tc>
          <w:tcPr>
            <w:tcW w:w="514" w:type="pct"/>
            <w:tcBorders>
              <w:top w:val="single" w:sz="4" w:space="0" w:color="auto"/>
              <w:left w:val="single" w:sz="4" w:space="0" w:color="auto"/>
              <w:bottom w:val="single" w:sz="4" w:space="0" w:color="auto"/>
              <w:right w:val="single" w:sz="4" w:space="0" w:color="auto"/>
            </w:tcBorders>
            <w:vAlign w:val="center"/>
          </w:tcPr>
          <w:p w14:paraId="526FC3F9" w14:textId="77777777" w:rsidR="00674F3E" w:rsidRDefault="00C45190">
            <w:pPr>
              <w:ind w:firstLine="32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G</w:t>
            </w:r>
          </w:p>
        </w:tc>
      </w:tr>
      <w:tr w:rsidR="00674F3E" w14:paraId="3FC25686" w14:textId="77777777">
        <w:tc>
          <w:tcPr>
            <w:tcW w:w="537" w:type="pct"/>
            <w:tcBorders>
              <w:top w:val="single" w:sz="4" w:space="0" w:color="auto"/>
              <w:left w:val="single" w:sz="4" w:space="0" w:color="auto"/>
              <w:bottom w:val="single" w:sz="4" w:space="0" w:color="auto"/>
              <w:right w:val="single" w:sz="4" w:space="0" w:color="auto"/>
            </w:tcBorders>
            <w:vAlign w:val="center"/>
          </w:tcPr>
          <w:p w14:paraId="2702A0C4"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6xxxxx</w:t>
            </w:r>
          </w:p>
        </w:tc>
        <w:tc>
          <w:tcPr>
            <w:tcW w:w="0" w:type="auto"/>
            <w:vMerge/>
            <w:tcBorders>
              <w:top w:val="single" w:sz="4" w:space="0" w:color="auto"/>
              <w:left w:val="single" w:sz="4" w:space="0" w:color="auto"/>
              <w:bottom w:val="single" w:sz="4" w:space="0" w:color="auto"/>
              <w:right w:val="single" w:sz="4" w:space="0" w:color="auto"/>
            </w:tcBorders>
            <w:vAlign w:val="center"/>
          </w:tcPr>
          <w:p w14:paraId="2ADE59CB" w14:textId="77777777" w:rsidR="00674F3E" w:rsidRDefault="00674F3E">
            <w:pPr>
              <w:widowControl/>
              <w:jc w:val="left"/>
              <w:rPr>
                <w:rFonts w:ascii="仿宋_GB2312" w:eastAsia="仿宋_GB2312" w:hAnsi="仿宋_GB2312" w:cs="仿宋_GB2312"/>
                <w:b/>
                <w:kern w:val="0"/>
                <w:szCs w:val="21"/>
                <w:lang w:val="zh-CN"/>
              </w:rPr>
            </w:pPr>
          </w:p>
        </w:tc>
        <w:tc>
          <w:tcPr>
            <w:tcW w:w="697" w:type="pct"/>
            <w:tcBorders>
              <w:top w:val="single" w:sz="4" w:space="0" w:color="auto"/>
              <w:left w:val="single" w:sz="4" w:space="0" w:color="auto"/>
              <w:bottom w:val="single" w:sz="4" w:space="0" w:color="auto"/>
              <w:right w:val="single" w:sz="4" w:space="0" w:color="auto"/>
            </w:tcBorders>
            <w:vAlign w:val="center"/>
          </w:tcPr>
          <w:p w14:paraId="2F278B60"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D333333310</w:t>
            </w:r>
          </w:p>
        </w:tc>
        <w:tc>
          <w:tcPr>
            <w:tcW w:w="515" w:type="pct"/>
            <w:tcBorders>
              <w:top w:val="single" w:sz="4" w:space="0" w:color="auto"/>
              <w:left w:val="single" w:sz="4" w:space="0" w:color="auto"/>
              <w:bottom w:val="single" w:sz="4" w:space="0" w:color="auto"/>
              <w:right w:val="single" w:sz="4" w:space="0" w:color="auto"/>
            </w:tcBorders>
            <w:vAlign w:val="center"/>
          </w:tcPr>
          <w:p w14:paraId="1B1AB86B"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A证券公司客户信用担保账户</w:t>
            </w:r>
          </w:p>
        </w:tc>
        <w:tc>
          <w:tcPr>
            <w:tcW w:w="692" w:type="pct"/>
            <w:tcBorders>
              <w:top w:val="single" w:sz="4" w:space="0" w:color="auto"/>
              <w:left w:val="single" w:sz="4" w:space="0" w:color="auto"/>
              <w:bottom w:val="single" w:sz="4" w:space="0" w:color="auto"/>
              <w:right w:val="single" w:sz="4" w:space="0" w:color="auto"/>
            </w:tcBorders>
            <w:vAlign w:val="center"/>
          </w:tcPr>
          <w:p w14:paraId="6B21B2D7"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E999999999</w:t>
            </w:r>
          </w:p>
        </w:tc>
        <w:tc>
          <w:tcPr>
            <w:tcW w:w="513" w:type="pct"/>
            <w:tcBorders>
              <w:top w:val="single" w:sz="4" w:space="0" w:color="auto"/>
              <w:left w:val="single" w:sz="4" w:space="0" w:color="auto"/>
              <w:bottom w:val="single" w:sz="4" w:space="0" w:color="auto"/>
              <w:right w:val="single" w:sz="4" w:space="0" w:color="auto"/>
            </w:tcBorders>
            <w:vAlign w:val="center"/>
          </w:tcPr>
          <w:p w14:paraId="06D6D75F"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孙十三</w:t>
            </w:r>
          </w:p>
        </w:tc>
        <w:tc>
          <w:tcPr>
            <w:tcW w:w="526" w:type="pct"/>
            <w:tcBorders>
              <w:top w:val="single" w:sz="4" w:space="0" w:color="auto"/>
              <w:left w:val="single" w:sz="4" w:space="0" w:color="auto"/>
              <w:bottom w:val="single" w:sz="4" w:space="0" w:color="auto"/>
              <w:right w:val="single" w:sz="4" w:space="0" w:color="auto"/>
            </w:tcBorders>
            <w:vAlign w:val="center"/>
          </w:tcPr>
          <w:p w14:paraId="7B111553" w14:textId="77777777" w:rsidR="00674F3E" w:rsidRDefault="00C45190">
            <w:pPr>
              <w:ind w:firstLine="32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3000</w:t>
            </w:r>
          </w:p>
        </w:tc>
        <w:tc>
          <w:tcPr>
            <w:tcW w:w="0" w:type="auto"/>
            <w:vMerge/>
            <w:tcBorders>
              <w:top w:val="single" w:sz="4" w:space="0" w:color="auto"/>
              <w:left w:val="single" w:sz="4" w:space="0" w:color="auto"/>
              <w:bottom w:val="single" w:sz="4" w:space="0" w:color="auto"/>
              <w:right w:val="single" w:sz="4" w:space="0" w:color="auto"/>
            </w:tcBorders>
            <w:vAlign w:val="center"/>
          </w:tcPr>
          <w:p w14:paraId="596C0BBC" w14:textId="77777777" w:rsidR="00674F3E" w:rsidRDefault="00674F3E">
            <w:pPr>
              <w:widowControl/>
              <w:jc w:val="left"/>
              <w:rPr>
                <w:rFonts w:ascii="仿宋_GB2312" w:eastAsia="仿宋_GB2312" w:hAnsi="仿宋_GB2312" w:cs="仿宋_GB2312"/>
                <w:b/>
                <w:kern w:val="0"/>
                <w:szCs w:val="21"/>
                <w:lang w:val="zh-CN"/>
              </w:rPr>
            </w:pPr>
          </w:p>
        </w:tc>
        <w:tc>
          <w:tcPr>
            <w:tcW w:w="514" w:type="pct"/>
            <w:tcBorders>
              <w:top w:val="single" w:sz="4" w:space="0" w:color="auto"/>
              <w:left w:val="single" w:sz="4" w:space="0" w:color="auto"/>
              <w:bottom w:val="single" w:sz="4" w:space="0" w:color="auto"/>
              <w:right w:val="single" w:sz="4" w:space="0" w:color="auto"/>
            </w:tcBorders>
            <w:vAlign w:val="center"/>
          </w:tcPr>
          <w:p w14:paraId="210B0B6F" w14:textId="77777777" w:rsidR="00674F3E" w:rsidRDefault="00C45190">
            <w:pPr>
              <w:ind w:firstLine="32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M</w:t>
            </w:r>
          </w:p>
        </w:tc>
      </w:tr>
      <w:tr w:rsidR="00674F3E" w14:paraId="642BA922" w14:textId="77777777">
        <w:trPr>
          <w:trHeight w:val="1655"/>
        </w:trPr>
        <w:tc>
          <w:tcPr>
            <w:tcW w:w="537" w:type="pct"/>
            <w:tcBorders>
              <w:top w:val="single" w:sz="4" w:space="0" w:color="auto"/>
              <w:left w:val="single" w:sz="4" w:space="0" w:color="auto"/>
              <w:bottom w:val="single" w:sz="4" w:space="0" w:color="auto"/>
              <w:right w:val="single" w:sz="4" w:space="0" w:color="auto"/>
            </w:tcBorders>
            <w:vAlign w:val="center"/>
          </w:tcPr>
          <w:p w14:paraId="1D7E2B2C"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6xxxxx</w:t>
            </w:r>
          </w:p>
        </w:tc>
        <w:tc>
          <w:tcPr>
            <w:tcW w:w="0" w:type="auto"/>
            <w:vMerge/>
            <w:tcBorders>
              <w:top w:val="single" w:sz="4" w:space="0" w:color="auto"/>
              <w:left w:val="single" w:sz="4" w:space="0" w:color="auto"/>
              <w:bottom w:val="single" w:sz="4" w:space="0" w:color="auto"/>
              <w:right w:val="single" w:sz="4" w:space="0" w:color="auto"/>
            </w:tcBorders>
            <w:vAlign w:val="center"/>
          </w:tcPr>
          <w:p w14:paraId="0C4AFE52" w14:textId="77777777" w:rsidR="00674F3E" w:rsidRDefault="00674F3E">
            <w:pPr>
              <w:widowControl/>
              <w:jc w:val="left"/>
              <w:rPr>
                <w:rFonts w:ascii="仿宋_GB2312" w:eastAsia="仿宋_GB2312" w:hAnsi="仿宋_GB2312" w:cs="仿宋_GB2312"/>
                <w:b/>
                <w:kern w:val="0"/>
                <w:szCs w:val="21"/>
                <w:lang w:val="zh-CN"/>
              </w:rPr>
            </w:pPr>
          </w:p>
        </w:tc>
        <w:tc>
          <w:tcPr>
            <w:tcW w:w="697" w:type="pct"/>
            <w:tcBorders>
              <w:top w:val="single" w:sz="4" w:space="0" w:color="auto"/>
              <w:left w:val="single" w:sz="4" w:space="0" w:color="auto"/>
              <w:bottom w:val="single" w:sz="4" w:space="0" w:color="auto"/>
              <w:right w:val="single" w:sz="4" w:space="0" w:color="auto"/>
            </w:tcBorders>
            <w:vAlign w:val="center"/>
          </w:tcPr>
          <w:p w14:paraId="340B4045"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D333333310</w:t>
            </w:r>
          </w:p>
        </w:tc>
        <w:tc>
          <w:tcPr>
            <w:tcW w:w="515" w:type="pct"/>
            <w:tcBorders>
              <w:top w:val="single" w:sz="4" w:space="0" w:color="auto"/>
              <w:left w:val="single" w:sz="4" w:space="0" w:color="auto"/>
              <w:bottom w:val="single" w:sz="4" w:space="0" w:color="auto"/>
              <w:right w:val="single" w:sz="4" w:space="0" w:color="auto"/>
            </w:tcBorders>
            <w:vAlign w:val="center"/>
          </w:tcPr>
          <w:p w14:paraId="2EAD5E8D"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A证券公司客户信用担保账户</w:t>
            </w:r>
          </w:p>
        </w:tc>
        <w:tc>
          <w:tcPr>
            <w:tcW w:w="692" w:type="pct"/>
            <w:tcBorders>
              <w:top w:val="single" w:sz="4" w:space="0" w:color="auto"/>
              <w:left w:val="single" w:sz="4" w:space="0" w:color="auto"/>
              <w:bottom w:val="single" w:sz="4" w:space="0" w:color="auto"/>
              <w:right w:val="single" w:sz="4" w:space="0" w:color="auto"/>
            </w:tcBorders>
            <w:vAlign w:val="center"/>
          </w:tcPr>
          <w:p w14:paraId="4C1105A3"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E000000000</w:t>
            </w:r>
          </w:p>
        </w:tc>
        <w:tc>
          <w:tcPr>
            <w:tcW w:w="513" w:type="pct"/>
            <w:tcBorders>
              <w:top w:val="single" w:sz="4" w:space="0" w:color="auto"/>
              <w:left w:val="single" w:sz="4" w:space="0" w:color="auto"/>
              <w:bottom w:val="single" w:sz="4" w:space="0" w:color="auto"/>
              <w:right w:val="single" w:sz="4" w:space="0" w:color="auto"/>
            </w:tcBorders>
            <w:vAlign w:val="center"/>
          </w:tcPr>
          <w:p w14:paraId="441223D1" w14:textId="77777777" w:rsidR="00674F3E" w:rsidRDefault="00C45190">
            <w:pP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柯十四</w:t>
            </w:r>
          </w:p>
        </w:tc>
        <w:tc>
          <w:tcPr>
            <w:tcW w:w="526" w:type="pct"/>
            <w:tcBorders>
              <w:top w:val="single" w:sz="4" w:space="0" w:color="auto"/>
              <w:left w:val="single" w:sz="4" w:space="0" w:color="auto"/>
              <w:bottom w:val="single" w:sz="4" w:space="0" w:color="auto"/>
              <w:right w:val="single" w:sz="4" w:space="0" w:color="auto"/>
            </w:tcBorders>
            <w:vAlign w:val="center"/>
          </w:tcPr>
          <w:p w14:paraId="06F4EE75" w14:textId="77777777" w:rsidR="00674F3E" w:rsidRDefault="00C45190">
            <w:pPr>
              <w:ind w:firstLine="32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2000</w:t>
            </w:r>
          </w:p>
        </w:tc>
        <w:tc>
          <w:tcPr>
            <w:tcW w:w="0" w:type="auto"/>
            <w:vMerge/>
            <w:tcBorders>
              <w:top w:val="single" w:sz="4" w:space="0" w:color="auto"/>
              <w:left w:val="single" w:sz="4" w:space="0" w:color="auto"/>
              <w:bottom w:val="single" w:sz="4" w:space="0" w:color="auto"/>
              <w:right w:val="single" w:sz="4" w:space="0" w:color="auto"/>
            </w:tcBorders>
            <w:vAlign w:val="center"/>
          </w:tcPr>
          <w:p w14:paraId="7D6CB6B2" w14:textId="77777777" w:rsidR="00674F3E" w:rsidRDefault="00674F3E">
            <w:pPr>
              <w:widowControl/>
              <w:jc w:val="left"/>
              <w:rPr>
                <w:rFonts w:ascii="仿宋_GB2312" w:eastAsia="仿宋_GB2312" w:hAnsi="仿宋_GB2312" w:cs="仿宋_GB2312"/>
                <w:b/>
                <w:kern w:val="0"/>
                <w:szCs w:val="21"/>
                <w:lang w:val="zh-CN"/>
              </w:rPr>
            </w:pPr>
          </w:p>
        </w:tc>
        <w:tc>
          <w:tcPr>
            <w:tcW w:w="514" w:type="pct"/>
            <w:tcBorders>
              <w:top w:val="single" w:sz="4" w:space="0" w:color="auto"/>
              <w:left w:val="single" w:sz="4" w:space="0" w:color="auto"/>
              <w:bottom w:val="single" w:sz="4" w:space="0" w:color="auto"/>
              <w:right w:val="single" w:sz="4" w:space="0" w:color="auto"/>
            </w:tcBorders>
            <w:vAlign w:val="center"/>
          </w:tcPr>
          <w:p w14:paraId="4EA9D3B5" w14:textId="77777777" w:rsidR="00674F3E" w:rsidRDefault="00C45190">
            <w:pPr>
              <w:ind w:firstLine="320"/>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N</w:t>
            </w:r>
          </w:p>
        </w:tc>
      </w:tr>
    </w:tbl>
    <w:p w14:paraId="7A046A25" w14:textId="77777777" w:rsidR="00674F3E" w:rsidRDefault="00C45190">
      <w:pPr>
        <w:spacing w:line="600" w:lineRule="exact"/>
        <w:ind w:firstLineChars="196" w:firstLine="549"/>
        <w:rPr>
          <w:rFonts w:ascii="仿宋_GB2312" w:eastAsia="仿宋_GB2312" w:hAnsi="仿宋_GB2312" w:cs="仿宋_GB2312"/>
          <w:kern w:val="0"/>
          <w:sz w:val="28"/>
          <w:szCs w:val="28"/>
          <w:lang w:val="zh-CN"/>
        </w:rPr>
      </w:pPr>
      <w:r>
        <w:rPr>
          <w:rFonts w:ascii="仿宋_GB2312" w:eastAsia="仿宋_GB2312" w:hAnsi="仿宋_GB2312" w:cs="仿宋_GB2312" w:hint="eastAsia"/>
          <w:kern w:val="0"/>
          <w:sz w:val="28"/>
          <w:szCs w:val="28"/>
          <w:lang w:val="zh-CN"/>
        </w:rPr>
        <w:t>两表对比可以发现，股东陈七（证件代码：G）不仅在普通账户中持有90000股，还通过“A证券公司客户信用担保账户”持有20000股。因此，根据前述计算原则，应当将陈七通过普通账户和信用担保账户持有的股份合并计算，陈七合计持有110000股。以此类推，刘八合计持有115000股，孙十三持有4000股，柯十四持有2900股。按照上述方法合并计算后，上市公司应当披露的前十大股东为：</w:t>
      </w:r>
    </w:p>
    <w:tbl>
      <w:tblPr>
        <w:tblW w:w="5388" w:type="dxa"/>
        <w:tblInd w:w="1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2196"/>
        <w:gridCol w:w="1596"/>
      </w:tblGrid>
      <w:tr w:rsidR="00674F3E" w14:paraId="0ECF76F4" w14:textId="77777777">
        <w:tc>
          <w:tcPr>
            <w:tcW w:w="1596" w:type="dxa"/>
            <w:tcBorders>
              <w:top w:val="single" w:sz="4" w:space="0" w:color="auto"/>
              <w:left w:val="single" w:sz="4" w:space="0" w:color="auto"/>
              <w:bottom w:val="single" w:sz="4" w:space="0" w:color="auto"/>
              <w:right w:val="single" w:sz="4" w:space="0" w:color="auto"/>
            </w:tcBorders>
          </w:tcPr>
          <w:p w14:paraId="166903C2" w14:textId="77777777" w:rsidR="00674F3E" w:rsidRDefault="00C45190">
            <w:pPr>
              <w:rPr>
                <w:rFonts w:ascii="仿宋_GB2312" w:eastAsia="仿宋_GB2312" w:hAnsi="仿宋_GB2312" w:cs="仿宋_GB2312"/>
                <w:b/>
                <w:kern w:val="0"/>
                <w:szCs w:val="21"/>
                <w:lang w:val="zh-CN"/>
              </w:rPr>
            </w:pPr>
            <w:r>
              <w:rPr>
                <w:rFonts w:ascii="仿宋_GB2312" w:eastAsia="仿宋_GB2312" w:hAnsi="仿宋_GB2312" w:cs="仿宋_GB2312" w:hint="eastAsia"/>
                <w:b/>
                <w:kern w:val="0"/>
                <w:szCs w:val="21"/>
                <w:lang w:val="zh-CN"/>
              </w:rPr>
              <w:lastRenderedPageBreak/>
              <w:t>股东名称</w:t>
            </w:r>
          </w:p>
        </w:tc>
        <w:tc>
          <w:tcPr>
            <w:tcW w:w="2196" w:type="dxa"/>
            <w:tcBorders>
              <w:top w:val="single" w:sz="4" w:space="0" w:color="auto"/>
              <w:left w:val="single" w:sz="4" w:space="0" w:color="auto"/>
              <w:bottom w:val="single" w:sz="4" w:space="0" w:color="auto"/>
              <w:right w:val="single" w:sz="4" w:space="0" w:color="auto"/>
            </w:tcBorders>
          </w:tcPr>
          <w:p w14:paraId="55C1D5C2" w14:textId="77777777" w:rsidR="00674F3E" w:rsidRDefault="00C45190">
            <w:pPr>
              <w:rPr>
                <w:rFonts w:ascii="仿宋_GB2312" w:eastAsia="仿宋_GB2312" w:hAnsi="仿宋_GB2312" w:cs="仿宋_GB2312"/>
                <w:b/>
                <w:kern w:val="0"/>
                <w:szCs w:val="21"/>
                <w:lang w:val="zh-CN"/>
              </w:rPr>
            </w:pPr>
            <w:r>
              <w:rPr>
                <w:rFonts w:ascii="仿宋_GB2312" w:eastAsia="仿宋_GB2312" w:hAnsi="仿宋_GB2312" w:cs="仿宋_GB2312" w:hint="eastAsia"/>
                <w:b/>
                <w:kern w:val="0"/>
                <w:szCs w:val="21"/>
                <w:lang w:val="zh-CN"/>
              </w:rPr>
              <w:t>持有股份数量</w:t>
            </w:r>
          </w:p>
        </w:tc>
        <w:tc>
          <w:tcPr>
            <w:tcW w:w="1596" w:type="dxa"/>
            <w:tcBorders>
              <w:top w:val="single" w:sz="4" w:space="0" w:color="auto"/>
              <w:left w:val="single" w:sz="4" w:space="0" w:color="auto"/>
              <w:bottom w:val="single" w:sz="4" w:space="0" w:color="auto"/>
              <w:right w:val="single" w:sz="4" w:space="0" w:color="auto"/>
            </w:tcBorders>
          </w:tcPr>
          <w:p w14:paraId="08325ABB" w14:textId="77777777" w:rsidR="00674F3E" w:rsidRDefault="00C45190">
            <w:pPr>
              <w:rPr>
                <w:rFonts w:ascii="仿宋_GB2312" w:eastAsia="仿宋_GB2312" w:hAnsi="仿宋_GB2312" w:cs="仿宋_GB2312"/>
                <w:b/>
                <w:kern w:val="0"/>
                <w:szCs w:val="21"/>
                <w:lang w:val="zh-CN"/>
              </w:rPr>
            </w:pPr>
            <w:r>
              <w:rPr>
                <w:rFonts w:ascii="仿宋_GB2312" w:eastAsia="仿宋_GB2312" w:hAnsi="仿宋_GB2312" w:cs="仿宋_GB2312" w:hint="eastAsia"/>
                <w:b/>
                <w:kern w:val="0"/>
                <w:szCs w:val="21"/>
                <w:lang w:val="zh-CN"/>
              </w:rPr>
              <w:t>股份种类</w:t>
            </w:r>
          </w:p>
        </w:tc>
      </w:tr>
      <w:tr w:rsidR="00674F3E" w14:paraId="2243CD3F" w14:textId="77777777">
        <w:trPr>
          <w:trHeight w:val="107"/>
        </w:trPr>
        <w:tc>
          <w:tcPr>
            <w:tcW w:w="1596" w:type="dxa"/>
            <w:tcBorders>
              <w:top w:val="single" w:sz="4" w:space="0" w:color="auto"/>
              <w:left w:val="single" w:sz="4" w:space="0" w:color="auto"/>
              <w:bottom w:val="single" w:sz="4" w:space="0" w:color="auto"/>
              <w:right w:val="single" w:sz="4" w:space="0" w:color="auto"/>
            </w:tcBorders>
          </w:tcPr>
          <w:p w14:paraId="481318E6" w14:textId="77777777" w:rsidR="00674F3E" w:rsidRDefault="00C45190">
            <w:pPr>
              <w:ind w:firstLine="440"/>
              <w:jc w:val="cente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张一</w:t>
            </w:r>
          </w:p>
        </w:tc>
        <w:tc>
          <w:tcPr>
            <w:tcW w:w="2196" w:type="dxa"/>
            <w:tcBorders>
              <w:top w:val="single" w:sz="4" w:space="0" w:color="auto"/>
              <w:left w:val="single" w:sz="4" w:space="0" w:color="auto"/>
              <w:bottom w:val="single" w:sz="4" w:space="0" w:color="auto"/>
              <w:right w:val="single" w:sz="4" w:space="0" w:color="auto"/>
            </w:tcBorders>
          </w:tcPr>
          <w:p w14:paraId="1FAF1A7B" w14:textId="77777777" w:rsidR="00674F3E" w:rsidRDefault="00C45190">
            <w:pPr>
              <w:ind w:firstLine="440"/>
              <w:jc w:val="cente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250000</w:t>
            </w:r>
          </w:p>
        </w:tc>
        <w:tc>
          <w:tcPr>
            <w:tcW w:w="1596" w:type="dxa"/>
            <w:vMerge w:val="restart"/>
            <w:tcBorders>
              <w:top w:val="single" w:sz="4" w:space="0" w:color="auto"/>
              <w:left w:val="single" w:sz="4" w:space="0" w:color="auto"/>
              <w:bottom w:val="single" w:sz="4" w:space="0" w:color="auto"/>
              <w:right w:val="single" w:sz="4" w:space="0" w:color="auto"/>
            </w:tcBorders>
            <w:vAlign w:val="center"/>
          </w:tcPr>
          <w:p w14:paraId="1B979BE1" w14:textId="77777777" w:rsidR="00674F3E" w:rsidRDefault="00C45190">
            <w:pPr>
              <w:ind w:firstLine="440"/>
              <w:jc w:val="cente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w:t>
            </w:r>
          </w:p>
        </w:tc>
      </w:tr>
      <w:tr w:rsidR="00674F3E" w14:paraId="77812652" w14:textId="77777777">
        <w:trPr>
          <w:trHeight w:val="59"/>
        </w:trPr>
        <w:tc>
          <w:tcPr>
            <w:tcW w:w="1596" w:type="dxa"/>
            <w:tcBorders>
              <w:top w:val="single" w:sz="4" w:space="0" w:color="auto"/>
              <w:left w:val="single" w:sz="4" w:space="0" w:color="auto"/>
              <w:bottom w:val="single" w:sz="4" w:space="0" w:color="auto"/>
              <w:right w:val="single" w:sz="4" w:space="0" w:color="auto"/>
            </w:tcBorders>
          </w:tcPr>
          <w:p w14:paraId="1E25C0CE" w14:textId="77777777" w:rsidR="00674F3E" w:rsidRDefault="00C45190">
            <w:pPr>
              <w:ind w:firstLine="440"/>
              <w:jc w:val="cente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王二</w:t>
            </w:r>
          </w:p>
        </w:tc>
        <w:tc>
          <w:tcPr>
            <w:tcW w:w="2196" w:type="dxa"/>
            <w:tcBorders>
              <w:top w:val="single" w:sz="4" w:space="0" w:color="auto"/>
              <w:left w:val="single" w:sz="4" w:space="0" w:color="auto"/>
              <w:bottom w:val="single" w:sz="4" w:space="0" w:color="auto"/>
              <w:right w:val="single" w:sz="4" w:space="0" w:color="auto"/>
            </w:tcBorders>
          </w:tcPr>
          <w:p w14:paraId="29626D4A" w14:textId="77777777" w:rsidR="00674F3E" w:rsidRDefault="00C45190">
            <w:pPr>
              <w:ind w:firstLine="440"/>
              <w:jc w:val="cente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240000</w:t>
            </w:r>
          </w:p>
        </w:tc>
        <w:tc>
          <w:tcPr>
            <w:tcW w:w="0" w:type="auto"/>
            <w:vMerge/>
            <w:tcBorders>
              <w:top w:val="single" w:sz="4" w:space="0" w:color="auto"/>
              <w:left w:val="single" w:sz="4" w:space="0" w:color="auto"/>
              <w:bottom w:val="single" w:sz="4" w:space="0" w:color="auto"/>
              <w:right w:val="single" w:sz="4" w:space="0" w:color="auto"/>
            </w:tcBorders>
            <w:vAlign w:val="center"/>
          </w:tcPr>
          <w:p w14:paraId="40076A2D" w14:textId="77777777" w:rsidR="00674F3E" w:rsidRDefault="00674F3E">
            <w:pPr>
              <w:widowControl/>
              <w:jc w:val="left"/>
              <w:rPr>
                <w:rFonts w:ascii="仿宋_GB2312" w:eastAsia="仿宋_GB2312" w:hAnsi="仿宋_GB2312" w:cs="仿宋_GB2312"/>
                <w:kern w:val="0"/>
                <w:szCs w:val="21"/>
                <w:lang w:val="zh-CN"/>
              </w:rPr>
            </w:pPr>
          </w:p>
        </w:tc>
      </w:tr>
      <w:tr w:rsidR="00674F3E" w14:paraId="320C49AA" w14:textId="77777777">
        <w:trPr>
          <w:trHeight w:val="58"/>
        </w:trPr>
        <w:tc>
          <w:tcPr>
            <w:tcW w:w="1596" w:type="dxa"/>
            <w:tcBorders>
              <w:top w:val="single" w:sz="4" w:space="0" w:color="auto"/>
              <w:left w:val="single" w:sz="4" w:space="0" w:color="auto"/>
              <w:bottom w:val="single" w:sz="4" w:space="0" w:color="auto"/>
              <w:right w:val="single" w:sz="4" w:space="0" w:color="auto"/>
            </w:tcBorders>
          </w:tcPr>
          <w:p w14:paraId="30A82029" w14:textId="77777777" w:rsidR="00674F3E" w:rsidRDefault="00C45190">
            <w:pPr>
              <w:ind w:firstLine="440"/>
              <w:jc w:val="cente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李三</w:t>
            </w:r>
          </w:p>
        </w:tc>
        <w:tc>
          <w:tcPr>
            <w:tcW w:w="2196" w:type="dxa"/>
            <w:tcBorders>
              <w:top w:val="single" w:sz="4" w:space="0" w:color="auto"/>
              <w:left w:val="single" w:sz="4" w:space="0" w:color="auto"/>
              <w:bottom w:val="single" w:sz="4" w:space="0" w:color="auto"/>
              <w:right w:val="single" w:sz="4" w:space="0" w:color="auto"/>
            </w:tcBorders>
          </w:tcPr>
          <w:p w14:paraId="3CE68ED9" w14:textId="77777777" w:rsidR="00674F3E" w:rsidRDefault="00C45190">
            <w:pPr>
              <w:ind w:firstLine="440"/>
              <w:jc w:val="cente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230000</w:t>
            </w:r>
          </w:p>
        </w:tc>
        <w:tc>
          <w:tcPr>
            <w:tcW w:w="0" w:type="auto"/>
            <w:vMerge/>
            <w:tcBorders>
              <w:top w:val="single" w:sz="4" w:space="0" w:color="auto"/>
              <w:left w:val="single" w:sz="4" w:space="0" w:color="auto"/>
              <w:bottom w:val="single" w:sz="4" w:space="0" w:color="auto"/>
              <w:right w:val="single" w:sz="4" w:space="0" w:color="auto"/>
            </w:tcBorders>
            <w:vAlign w:val="center"/>
          </w:tcPr>
          <w:p w14:paraId="7402FF62" w14:textId="77777777" w:rsidR="00674F3E" w:rsidRDefault="00674F3E">
            <w:pPr>
              <w:widowControl/>
              <w:jc w:val="left"/>
              <w:rPr>
                <w:rFonts w:ascii="仿宋_GB2312" w:eastAsia="仿宋_GB2312" w:hAnsi="仿宋_GB2312" w:cs="仿宋_GB2312"/>
                <w:kern w:val="0"/>
                <w:szCs w:val="21"/>
                <w:lang w:val="zh-CN"/>
              </w:rPr>
            </w:pPr>
          </w:p>
        </w:tc>
      </w:tr>
      <w:tr w:rsidR="00674F3E" w14:paraId="5D1A7823" w14:textId="77777777">
        <w:tc>
          <w:tcPr>
            <w:tcW w:w="1596" w:type="dxa"/>
            <w:tcBorders>
              <w:top w:val="single" w:sz="4" w:space="0" w:color="auto"/>
              <w:left w:val="single" w:sz="4" w:space="0" w:color="auto"/>
              <w:bottom w:val="single" w:sz="4" w:space="0" w:color="auto"/>
              <w:right w:val="single" w:sz="4" w:space="0" w:color="auto"/>
            </w:tcBorders>
          </w:tcPr>
          <w:p w14:paraId="1C72CA5D" w14:textId="77777777" w:rsidR="00674F3E" w:rsidRDefault="00C45190">
            <w:pPr>
              <w:ind w:firstLine="440"/>
              <w:jc w:val="cente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赵四</w:t>
            </w:r>
          </w:p>
        </w:tc>
        <w:tc>
          <w:tcPr>
            <w:tcW w:w="2196" w:type="dxa"/>
            <w:tcBorders>
              <w:top w:val="single" w:sz="4" w:space="0" w:color="auto"/>
              <w:left w:val="single" w:sz="4" w:space="0" w:color="auto"/>
              <w:bottom w:val="single" w:sz="4" w:space="0" w:color="auto"/>
              <w:right w:val="single" w:sz="4" w:space="0" w:color="auto"/>
            </w:tcBorders>
          </w:tcPr>
          <w:p w14:paraId="7ACA0FD3" w14:textId="77777777" w:rsidR="00674F3E" w:rsidRDefault="00C45190">
            <w:pPr>
              <w:ind w:firstLine="440"/>
              <w:jc w:val="cente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220000</w:t>
            </w:r>
          </w:p>
        </w:tc>
        <w:tc>
          <w:tcPr>
            <w:tcW w:w="0" w:type="auto"/>
            <w:vMerge/>
            <w:tcBorders>
              <w:top w:val="single" w:sz="4" w:space="0" w:color="auto"/>
              <w:left w:val="single" w:sz="4" w:space="0" w:color="auto"/>
              <w:bottom w:val="single" w:sz="4" w:space="0" w:color="auto"/>
              <w:right w:val="single" w:sz="4" w:space="0" w:color="auto"/>
            </w:tcBorders>
            <w:vAlign w:val="center"/>
          </w:tcPr>
          <w:p w14:paraId="34CDFAC7" w14:textId="77777777" w:rsidR="00674F3E" w:rsidRDefault="00674F3E">
            <w:pPr>
              <w:widowControl/>
              <w:jc w:val="left"/>
              <w:rPr>
                <w:rFonts w:ascii="仿宋_GB2312" w:eastAsia="仿宋_GB2312" w:hAnsi="仿宋_GB2312" w:cs="仿宋_GB2312"/>
                <w:kern w:val="0"/>
                <w:szCs w:val="21"/>
                <w:lang w:val="zh-CN"/>
              </w:rPr>
            </w:pPr>
          </w:p>
        </w:tc>
      </w:tr>
      <w:tr w:rsidR="00674F3E" w14:paraId="3EB1A8F0" w14:textId="77777777">
        <w:trPr>
          <w:trHeight w:val="132"/>
        </w:trPr>
        <w:tc>
          <w:tcPr>
            <w:tcW w:w="1596" w:type="dxa"/>
            <w:tcBorders>
              <w:top w:val="single" w:sz="4" w:space="0" w:color="auto"/>
              <w:left w:val="single" w:sz="4" w:space="0" w:color="auto"/>
              <w:bottom w:val="single" w:sz="4" w:space="0" w:color="auto"/>
              <w:right w:val="single" w:sz="4" w:space="0" w:color="auto"/>
            </w:tcBorders>
          </w:tcPr>
          <w:p w14:paraId="5B7FBA5E" w14:textId="77777777" w:rsidR="00674F3E" w:rsidRDefault="00C45190">
            <w:pPr>
              <w:ind w:firstLine="440"/>
              <w:jc w:val="cente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周五</w:t>
            </w:r>
          </w:p>
        </w:tc>
        <w:tc>
          <w:tcPr>
            <w:tcW w:w="2196" w:type="dxa"/>
            <w:tcBorders>
              <w:top w:val="single" w:sz="4" w:space="0" w:color="auto"/>
              <w:left w:val="single" w:sz="4" w:space="0" w:color="auto"/>
              <w:bottom w:val="single" w:sz="4" w:space="0" w:color="auto"/>
              <w:right w:val="single" w:sz="4" w:space="0" w:color="auto"/>
            </w:tcBorders>
          </w:tcPr>
          <w:p w14:paraId="4E1D9851" w14:textId="77777777" w:rsidR="00674F3E" w:rsidRDefault="00C45190">
            <w:pPr>
              <w:ind w:firstLine="440"/>
              <w:jc w:val="cente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210000</w:t>
            </w:r>
          </w:p>
        </w:tc>
        <w:tc>
          <w:tcPr>
            <w:tcW w:w="0" w:type="auto"/>
            <w:vMerge/>
            <w:tcBorders>
              <w:top w:val="single" w:sz="4" w:space="0" w:color="auto"/>
              <w:left w:val="single" w:sz="4" w:space="0" w:color="auto"/>
              <w:bottom w:val="single" w:sz="4" w:space="0" w:color="auto"/>
              <w:right w:val="single" w:sz="4" w:space="0" w:color="auto"/>
            </w:tcBorders>
            <w:vAlign w:val="center"/>
          </w:tcPr>
          <w:p w14:paraId="6069320B" w14:textId="77777777" w:rsidR="00674F3E" w:rsidRDefault="00674F3E">
            <w:pPr>
              <w:widowControl/>
              <w:jc w:val="left"/>
              <w:rPr>
                <w:rFonts w:ascii="仿宋_GB2312" w:eastAsia="仿宋_GB2312" w:hAnsi="仿宋_GB2312" w:cs="仿宋_GB2312"/>
                <w:kern w:val="0"/>
                <w:szCs w:val="21"/>
                <w:lang w:val="zh-CN"/>
              </w:rPr>
            </w:pPr>
          </w:p>
        </w:tc>
      </w:tr>
      <w:tr w:rsidR="00674F3E" w14:paraId="30EAF7FB" w14:textId="77777777">
        <w:tc>
          <w:tcPr>
            <w:tcW w:w="1596" w:type="dxa"/>
            <w:tcBorders>
              <w:top w:val="single" w:sz="4" w:space="0" w:color="auto"/>
              <w:left w:val="single" w:sz="4" w:space="0" w:color="auto"/>
              <w:bottom w:val="single" w:sz="4" w:space="0" w:color="auto"/>
              <w:right w:val="single" w:sz="4" w:space="0" w:color="auto"/>
            </w:tcBorders>
          </w:tcPr>
          <w:p w14:paraId="40AAC9F7" w14:textId="77777777" w:rsidR="00674F3E" w:rsidRDefault="00C45190">
            <w:pPr>
              <w:ind w:firstLine="440"/>
              <w:jc w:val="cente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周六</w:t>
            </w:r>
          </w:p>
        </w:tc>
        <w:tc>
          <w:tcPr>
            <w:tcW w:w="2196" w:type="dxa"/>
            <w:tcBorders>
              <w:top w:val="single" w:sz="4" w:space="0" w:color="auto"/>
              <w:left w:val="single" w:sz="4" w:space="0" w:color="auto"/>
              <w:bottom w:val="single" w:sz="4" w:space="0" w:color="auto"/>
              <w:right w:val="single" w:sz="4" w:space="0" w:color="auto"/>
            </w:tcBorders>
          </w:tcPr>
          <w:p w14:paraId="7312ED35" w14:textId="77777777" w:rsidR="00674F3E" w:rsidRDefault="00C45190">
            <w:pPr>
              <w:ind w:firstLine="440"/>
              <w:jc w:val="cente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200000</w:t>
            </w:r>
          </w:p>
        </w:tc>
        <w:tc>
          <w:tcPr>
            <w:tcW w:w="0" w:type="auto"/>
            <w:vMerge/>
            <w:tcBorders>
              <w:top w:val="single" w:sz="4" w:space="0" w:color="auto"/>
              <w:left w:val="single" w:sz="4" w:space="0" w:color="auto"/>
              <w:bottom w:val="single" w:sz="4" w:space="0" w:color="auto"/>
              <w:right w:val="single" w:sz="4" w:space="0" w:color="auto"/>
            </w:tcBorders>
            <w:vAlign w:val="center"/>
          </w:tcPr>
          <w:p w14:paraId="3822FA59" w14:textId="77777777" w:rsidR="00674F3E" w:rsidRDefault="00674F3E">
            <w:pPr>
              <w:widowControl/>
              <w:jc w:val="left"/>
              <w:rPr>
                <w:rFonts w:ascii="仿宋_GB2312" w:eastAsia="仿宋_GB2312" w:hAnsi="仿宋_GB2312" w:cs="仿宋_GB2312"/>
                <w:kern w:val="0"/>
                <w:szCs w:val="21"/>
                <w:lang w:val="zh-CN"/>
              </w:rPr>
            </w:pPr>
          </w:p>
        </w:tc>
      </w:tr>
      <w:tr w:rsidR="00674F3E" w14:paraId="141E5E70" w14:textId="77777777">
        <w:tc>
          <w:tcPr>
            <w:tcW w:w="1596" w:type="dxa"/>
            <w:tcBorders>
              <w:top w:val="single" w:sz="4" w:space="0" w:color="auto"/>
              <w:left w:val="single" w:sz="4" w:space="0" w:color="auto"/>
              <w:bottom w:val="single" w:sz="4" w:space="0" w:color="auto"/>
              <w:right w:val="single" w:sz="4" w:space="0" w:color="auto"/>
            </w:tcBorders>
          </w:tcPr>
          <w:p w14:paraId="4138353F" w14:textId="77777777" w:rsidR="00674F3E" w:rsidRDefault="00C45190">
            <w:pPr>
              <w:ind w:firstLine="440"/>
              <w:jc w:val="cente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刘八</w:t>
            </w:r>
          </w:p>
        </w:tc>
        <w:tc>
          <w:tcPr>
            <w:tcW w:w="2196" w:type="dxa"/>
            <w:tcBorders>
              <w:top w:val="single" w:sz="4" w:space="0" w:color="auto"/>
              <w:left w:val="single" w:sz="4" w:space="0" w:color="auto"/>
              <w:bottom w:val="single" w:sz="4" w:space="0" w:color="auto"/>
              <w:right w:val="single" w:sz="4" w:space="0" w:color="auto"/>
            </w:tcBorders>
          </w:tcPr>
          <w:p w14:paraId="245F7C4B" w14:textId="77777777" w:rsidR="00674F3E" w:rsidRDefault="00C45190">
            <w:pPr>
              <w:ind w:firstLine="440"/>
              <w:jc w:val="cente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115000</w:t>
            </w:r>
          </w:p>
        </w:tc>
        <w:tc>
          <w:tcPr>
            <w:tcW w:w="0" w:type="auto"/>
            <w:vMerge/>
            <w:tcBorders>
              <w:top w:val="single" w:sz="4" w:space="0" w:color="auto"/>
              <w:left w:val="single" w:sz="4" w:space="0" w:color="auto"/>
              <w:bottom w:val="single" w:sz="4" w:space="0" w:color="auto"/>
              <w:right w:val="single" w:sz="4" w:space="0" w:color="auto"/>
            </w:tcBorders>
            <w:vAlign w:val="center"/>
          </w:tcPr>
          <w:p w14:paraId="7E300AE1" w14:textId="77777777" w:rsidR="00674F3E" w:rsidRDefault="00674F3E">
            <w:pPr>
              <w:widowControl/>
              <w:jc w:val="left"/>
              <w:rPr>
                <w:rFonts w:ascii="仿宋_GB2312" w:eastAsia="仿宋_GB2312" w:hAnsi="仿宋_GB2312" w:cs="仿宋_GB2312"/>
                <w:kern w:val="0"/>
                <w:szCs w:val="21"/>
                <w:lang w:val="zh-CN"/>
              </w:rPr>
            </w:pPr>
          </w:p>
        </w:tc>
      </w:tr>
      <w:tr w:rsidR="00674F3E" w14:paraId="22F03D8A" w14:textId="77777777">
        <w:tc>
          <w:tcPr>
            <w:tcW w:w="1596" w:type="dxa"/>
            <w:tcBorders>
              <w:top w:val="single" w:sz="4" w:space="0" w:color="auto"/>
              <w:left w:val="single" w:sz="4" w:space="0" w:color="auto"/>
              <w:bottom w:val="single" w:sz="4" w:space="0" w:color="auto"/>
              <w:right w:val="single" w:sz="4" w:space="0" w:color="auto"/>
            </w:tcBorders>
          </w:tcPr>
          <w:p w14:paraId="6C19BC89" w14:textId="77777777" w:rsidR="00674F3E" w:rsidRDefault="00C45190">
            <w:pPr>
              <w:ind w:firstLine="440"/>
              <w:jc w:val="cente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陈七</w:t>
            </w:r>
          </w:p>
        </w:tc>
        <w:tc>
          <w:tcPr>
            <w:tcW w:w="2196" w:type="dxa"/>
            <w:tcBorders>
              <w:top w:val="single" w:sz="4" w:space="0" w:color="auto"/>
              <w:left w:val="single" w:sz="4" w:space="0" w:color="auto"/>
              <w:bottom w:val="single" w:sz="4" w:space="0" w:color="auto"/>
              <w:right w:val="single" w:sz="4" w:space="0" w:color="auto"/>
            </w:tcBorders>
          </w:tcPr>
          <w:p w14:paraId="3262C968" w14:textId="77777777" w:rsidR="00674F3E" w:rsidRDefault="00C45190">
            <w:pPr>
              <w:ind w:firstLine="440"/>
              <w:jc w:val="cente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110000</w:t>
            </w:r>
          </w:p>
        </w:tc>
        <w:tc>
          <w:tcPr>
            <w:tcW w:w="0" w:type="auto"/>
            <w:vMerge/>
            <w:tcBorders>
              <w:top w:val="single" w:sz="4" w:space="0" w:color="auto"/>
              <w:left w:val="single" w:sz="4" w:space="0" w:color="auto"/>
              <w:bottom w:val="single" w:sz="4" w:space="0" w:color="auto"/>
              <w:right w:val="single" w:sz="4" w:space="0" w:color="auto"/>
            </w:tcBorders>
            <w:vAlign w:val="center"/>
          </w:tcPr>
          <w:p w14:paraId="12D57B84" w14:textId="77777777" w:rsidR="00674F3E" w:rsidRDefault="00674F3E">
            <w:pPr>
              <w:widowControl/>
              <w:jc w:val="left"/>
              <w:rPr>
                <w:rFonts w:ascii="仿宋_GB2312" w:eastAsia="仿宋_GB2312" w:hAnsi="仿宋_GB2312" w:cs="仿宋_GB2312"/>
                <w:kern w:val="0"/>
                <w:szCs w:val="21"/>
                <w:lang w:val="zh-CN"/>
              </w:rPr>
            </w:pPr>
          </w:p>
        </w:tc>
      </w:tr>
      <w:tr w:rsidR="00674F3E" w14:paraId="366FBB99" w14:textId="77777777">
        <w:tc>
          <w:tcPr>
            <w:tcW w:w="1596" w:type="dxa"/>
            <w:tcBorders>
              <w:top w:val="single" w:sz="4" w:space="0" w:color="auto"/>
              <w:left w:val="single" w:sz="4" w:space="0" w:color="auto"/>
              <w:bottom w:val="single" w:sz="4" w:space="0" w:color="auto"/>
              <w:right w:val="single" w:sz="4" w:space="0" w:color="auto"/>
            </w:tcBorders>
          </w:tcPr>
          <w:p w14:paraId="75758EA7" w14:textId="77777777" w:rsidR="00674F3E" w:rsidRDefault="00C45190">
            <w:pPr>
              <w:ind w:firstLine="440"/>
              <w:jc w:val="cente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王九</w:t>
            </w:r>
          </w:p>
        </w:tc>
        <w:tc>
          <w:tcPr>
            <w:tcW w:w="2196" w:type="dxa"/>
            <w:tcBorders>
              <w:top w:val="single" w:sz="4" w:space="0" w:color="auto"/>
              <w:left w:val="single" w:sz="4" w:space="0" w:color="auto"/>
              <w:bottom w:val="single" w:sz="4" w:space="0" w:color="auto"/>
              <w:right w:val="single" w:sz="4" w:space="0" w:color="auto"/>
            </w:tcBorders>
          </w:tcPr>
          <w:p w14:paraId="39EE8D5C" w14:textId="77777777" w:rsidR="00674F3E" w:rsidRDefault="00C45190">
            <w:pPr>
              <w:ind w:firstLine="440"/>
              <w:jc w:val="cente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70000</w:t>
            </w:r>
          </w:p>
        </w:tc>
        <w:tc>
          <w:tcPr>
            <w:tcW w:w="0" w:type="auto"/>
            <w:vMerge/>
            <w:tcBorders>
              <w:top w:val="single" w:sz="4" w:space="0" w:color="auto"/>
              <w:left w:val="single" w:sz="4" w:space="0" w:color="auto"/>
              <w:bottom w:val="single" w:sz="4" w:space="0" w:color="auto"/>
              <w:right w:val="single" w:sz="4" w:space="0" w:color="auto"/>
            </w:tcBorders>
            <w:vAlign w:val="center"/>
          </w:tcPr>
          <w:p w14:paraId="0FB1E375" w14:textId="77777777" w:rsidR="00674F3E" w:rsidRDefault="00674F3E">
            <w:pPr>
              <w:widowControl/>
              <w:jc w:val="left"/>
              <w:rPr>
                <w:rFonts w:ascii="仿宋_GB2312" w:eastAsia="仿宋_GB2312" w:hAnsi="仿宋_GB2312" w:cs="仿宋_GB2312"/>
                <w:kern w:val="0"/>
                <w:szCs w:val="21"/>
                <w:lang w:val="zh-CN"/>
              </w:rPr>
            </w:pPr>
          </w:p>
        </w:tc>
      </w:tr>
      <w:tr w:rsidR="00674F3E" w14:paraId="61A92A0C" w14:textId="77777777">
        <w:tc>
          <w:tcPr>
            <w:tcW w:w="1596" w:type="dxa"/>
            <w:tcBorders>
              <w:top w:val="single" w:sz="4" w:space="0" w:color="auto"/>
              <w:left w:val="single" w:sz="4" w:space="0" w:color="auto"/>
              <w:bottom w:val="single" w:sz="4" w:space="0" w:color="auto"/>
              <w:right w:val="single" w:sz="4" w:space="0" w:color="auto"/>
            </w:tcBorders>
          </w:tcPr>
          <w:p w14:paraId="777CA9FB" w14:textId="77777777" w:rsidR="00674F3E" w:rsidRDefault="00C45190">
            <w:pPr>
              <w:ind w:firstLine="440"/>
              <w:jc w:val="cente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郑十一</w:t>
            </w:r>
          </w:p>
        </w:tc>
        <w:tc>
          <w:tcPr>
            <w:tcW w:w="2196" w:type="dxa"/>
            <w:tcBorders>
              <w:top w:val="single" w:sz="4" w:space="0" w:color="auto"/>
              <w:left w:val="single" w:sz="4" w:space="0" w:color="auto"/>
              <w:bottom w:val="single" w:sz="4" w:space="0" w:color="auto"/>
              <w:right w:val="single" w:sz="4" w:space="0" w:color="auto"/>
            </w:tcBorders>
          </w:tcPr>
          <w:p w14:paraId="0491F461" w14:textId="77777777" w:rsidR="00674F3E" w:rsidRDefault="00C45190">
            <w:pPr>
              <w:ind w:firstLine="440"/>
              <w:jc w:val="center"/>
              <w:rPr>
                <w:rFonts w:ascii="仿宋_GB2312" w:eastAsia="仿宋_GB2312" w:hAnsi="仿宋_GB2312" w:cs="仿宋_GB2312"/>
                <w:kern w:val="0"/>
                <w:szCs w:val="21"/>
                <w:lang w:val="zh-CN"/>
              </w:rPr>
            </w:pPr>
            <w:r>
              <w:rPr>
                <w:rFonts w:ascii="仿宋_GB2312" w:eastAsia="仿宋_GB2312" w:hAnsi="仿宋_GB2312" w:cs="仿宋_GB2312" w:hint="eastAsia"/>
                <w:kern w:val="0"/>
                <w:szCs w:val="21"/>
                <w:lang w:val="zh-CN"/>
              </w:rPr>
              <w:t>50000</w:t>
            </w:r>
          </w:p>
        </w:tc>
        <w:tc>
          <w:tcPr>
            <w:tcW w:w="0" w:type="auto"/>
            <w:vMerge/>
            <w:tcBorders>
              <w:top w:val="single" w:sz="4" w:space="0" w:color="auto"/>
              <w:left w:val="single" w:sz="4" w:space="0" w:color="auto"/>
              <w:bottom w:val="single" w:sz="4" w:space="0" w:color="auto"/>
              <w:right w:val="single" w:sz="4" w:space="0" w:color="auto"/>
            </w:tcBorders>
            <w:vAlign w:val="center"/>
          </w:tcPr>
          <w:p w14:paraId="6E58D9D1" w14:textId="77777777" w:rsidR="00674F3E" w:rsidRDefault="00674F3E">
            <w:pPr>
              <w:widowControl/>
              <w:jc w:val="left"/>
              <w:rPr>
                <w:rFonts w:ascii="仿宋_GB2312" w:eastAsia="仿宋_GB2312" w:hAnsi="仿宋_GB2312" w:cs="仿宋_GB2312"/>
                <w:kern w:val="0"/>
                <w:szCs w:val="21"/>
                <w:lang w:val="zh-CN"/>
              </w:rPr>
            </w:pPr>
          </w:p>
        </w:tc>
      </w:tr>
    </w:tbl>
    <w:p w14:paraId="31BF09C4" w14:textId="77777777" w:rsidR="00674F3E" w:rsidRDefault="00674F3E">
      <w:pPr>
        <w:rPr>
          <w:rFonts w:ascii="仿宋_GB2312" w:eastAsia="仿宋_GB2312" w:hAnsi="仿宋_GB2312" w:cs="仿宋_GB2312"/>
          <w:sz w:val="28"/>
          <w:szCs w:val="28"/>
        </w:rPr>
        <w:sectPr w:rsidR="00674F3E">
          <w:pgSz w:w="11906" w:h="16838"/>
          <w:pgMar w:top="1440" w:right="1800" w:bottom="1440" w:left="1800" w:header="851" w:footer="992" w:gutter="0"/>
          <w:cols w:space="425"/>
          <w:docGrid w:type="lines" w:linePitch="312"/>
        </w:sectPr>
      </w:pPr>
    </w:p>
    <w:p w14:paraId="08E68444" w14:textId="77777777" w:rsidR="00674F3E" w:rsidRDefault="00C45190">
      <w:pPr>
        <w:widowControl/>
        <w:jc w:val="left"/>
        <w:rPr>
          <w:rFonts w:ascii="仿宋_GB2312" w:eastAsia="仿宋_GB2312" w:hAnsi="仿宋_GB2312" w:cs="仿宋_GB2312"/>
          <w:kern w:val="0"/>
          <w:sz w:val="28"/>
          <w:szCs w:val="28"/>
          <w:shd w:val="clear" w:color="auto" w:fill="FFFFFF"/>
        </w:rPr>
      </w:pPr>
      <w:r>
        <w:rPr>
          <w:rFonts w:ascii="仿宋_GB2312" w:eastAsia="仿宋_GB2312" w:hAnsi="仿宋_GB2312" w:cs="仿宋_GB2312" w:hint="eastAsia"/>
          <w:kern w:val="0"/>
          <w:sz w:val="28"/>
          <w:szCs w:val="28"/>
          <w:shd w:val="clear" w:color="auto" w:fill="FFFFFF"/>
        </w:rPr>
        <w:lastRenderedPageBreak/>
        <w:t>附件5：</w:t>
      </w:r>
    </w:p>
    <w:p w14:paraId="0E6CD2F0" w14:textId="77777777" w:rsidR="00674F3E" w:rsidRDefault="00C45190">
      <w:pPr>
        <w:pStyle w:val="2"/>
        <w:spacing w:beforeAutospacing="0" w:afterAutospacing="0" w:line="600" w:lineRule="exact"/>
        <w:jc w:val="center"/>
        <w:rPr>
          <w:rFonts w:ascii="仿宋_GB2312" w:eastAsia="仿宋_GB2312" w:hAnsi="仿宋_GB2312" w:cs="仿宋_GB2312" w:hint="default"/>
          <w:sz w:val="28"/>
          <w:szCs w:val="28"/>
        </w:rPr>
      </w:pPr>
      <w:bookmarkStart w:id="4" w:name="_Toc47105074"/>
      <w:r>
        <w:rPr>
          <w:rFonts w:ascii="仿宋_GB2312" w:eastAsia="仿宋_GB2312" w:hAnsi="仿宋_GB2312" w:cs="仿宋_GB2312"/>
          <w:bCs w:val="0"/>
          <w:sz w:val="28"/>
          <w:szCs w:val="28"/>
        </w:rPr>
        <w:t>XBRL文件的编制和报送</w:t>
      </w:r>
      <w:bookmarkEnd w:id="4"/>
    </w:p>
    <w:p w14:paraId="7FE4F76F" w14:textId="77777777" w:rsidR="00674F3E" w:rsidRDefault="00674F3E">
      <w:pPr>
        <w:spacing w:line="600" w:lineRule="exact"/>
        <w:ind w:firstLine="480"/>
        <w:rPr>
          <w:rFonts w:ascii="仿宋_GB2312" w:eastAsia="仿宋_GB2312" w:hAnsi="仿宋_GB2312" w:cs="仿宋_GB2312"/>
          <w:kern w:val="0"/>
          <w:sz w:val="28"/>
          <w:szCs w:val="28"/>
          <w:shd w:val="clear" w:color="auto" w:fill="FFFFFF"/>
        </w:rPr>
      </w:pPr>
    </w:p>
    <w:p w14:paraId="0DF54AA6" w14:textId="77777777" w:rsidR="00674F3E" w:rsidRDefault="00C45190">
      <w:pPr>
        <w:spacing w:line="600" w:lineRule="exact"/>
        <w:ind w:firstLine="480"/>
        <w:rPr>
          <w:rFonts w:ascii="仿宋_GB2312" w:eastAsia="仿宋_GB2312" w:hAnsi="仿宋_GB2312" w:cs="仿宋_GB2312"/>
          <w:kern w:val="0"/>
          <w:sz w:val="28"/>
          <w:szCs w:val="28"/>
          <w:shd w:val="clear" w:color="auto" w:fill="FFFFFF"/>
        </w:rPr>
      </w:pPr>
      <w:r>
        <w:rPr>
          <w:rFonts w:ascii="仿宋_GB2312" w:eastAsia="仿宋_GB2312" w:hAnsi="仿宋_GB2312" w:cs="仿宋_GB2312" w:hint="eastAsia"/>
          <w:kern w:val="0"/>
          <w:sz w:val="28"/>
          <w:szCs w:val="28"/>
          <w:shd w:val="clear" w:color="auto" w:fill="FFFFFF"/>
        </w:rPr>
        <w:t>一、XBRL文件的编制要求</w:t>
      </w:r>
    </w:p>
    <w:p w14:paraId="163D7662" w14:textId="77777777" w:rsidR="00674F3E" w:rsidRDefault="00C45190">
      <w:pPr>
        <w:spacing w:line="600" w:lineRule="exact"/>
        <w:ind w:firstLine="480"/>
        <w:rPr>
          <w:rFonts w:ascii="仿宋_GB2312" w:eastAsia="仿宋_GB2312" w:hAnsi="仿宋_GB2312" w:cs="仿宋_GB2312"/>
          <w:kern w:val="0"/>
          <w:sz w:val="28"/>
          <w:szCs w:val="28"/>
          <w:shd w:val="clear" w:color="auto" w:fill="FFFFFF"/>
        </w:rPr>
      </w:pPr>
      <w:r>
        <w:rPr>
          <w:rFonts w:ascii="仿宋_GB2312" w:eastAsia="仿宋_GB2312" w:hAnsi="仿宋_GB2312" w:cs="仿宋_GB2312" w:hint="eastAsia"/>
          <w:kern w:val="0"/>
          <w:sz w:val="28"/>
          <w:szCs w:val="28"/>
          <w:shd w:val="clear" w:color="auto" w:fill="FFFFFF"/>
        </w:rPr>
        <w:t>XBRL文件是定期报告报送的重要组成部分，上市公司要高度重视XBRL文件的报送工作，不断提高XBRL文件编制的质量。</w:t>
      </w:r>
    </w:p>
    <w:p w14:paraId="4EF34A4B" w14:textId="77777777" w:rsidR="00674F3E" w:rsidRDefault="00C45190">
      <w:pPr>
        <w:spacing w:line="600" w:lineRule="exact"/>
        <w:ind w:firstLine="480"/>
        <w:rPr>
          <w:rFonts w:ascii="仿宋_GB2312" w:eastAsia="仿宋_GB2312" w:hAnsi="仿宋_GB2312" w:cs="仿宋_GB2312"/>
          <w:kern w:val="0"/>
          <w:sz w:val="28"/>
          <w:szCs w:val="28"/>
          <w:shd w:val="clear" w:color="auto" w:fill="FFFFFF"/>
        </w:rPr>
      </w:pPr>
      <w:r>
        <w:rPr>
          <w:rFonts w:ascii="仿宋_GB2312" w:eastAsia="仿宋_GB2312" w:hAnsi="仿宋_GB2312" w:cs="仿宋_GB2312" w:hint="eastAsia"/>
          <w:kern w:val="0"/>
          <w:sz w:val="28"/>
          <w:szCs w:val="28"/>
          <w:shd w:val="clear" w:color="auto" w:fill="FFFFFF"/>
        </w:rPr>
        <w:t>上市公司要根据本所提供的最新定期报告“XBRL文件”模板编制提交定期报告，准确完整地进行填报。本所将对XBRL文件实施事后校验，各上市公司收到校验结果后要注意及时修改并再次提交。</w:t>
      </w:r>
    </w:p>
    <w:p w14:paraId="6675FE07" w14:textId="77777777" w:rsidR="00674F3E" w:rsidRDefault="00C45190">
      <w:pPr>
        <w:spacing w:line="600" w:lineRule="exact"/>
        <w:ind w:firstLine="480"/>
        <w:rPr>
          <w:rFonts w:ascii="仿宋_GB2312" w:eastAsia="仿宋_GB2312" w:hAnsi="仿宋_GB2312" w:cs="仿宋_GB2312"/>
          <w:kern w:val="0"/>
          <w:sz w:val="28"/>
          <w:szCs w:val="28"/>
          <w:shd w:val="clear" w:color="auto" w:fill="FFFFFF"/>
        </w:rPr>
      </w:pPr>
      <w:r>
        <w:rPr>
          <w:rFonts w:ascii="仿宋_GB2312" w:eastAsia="仿宋_GB2312" w:hAnsi="仿宋_GB2312" w:cs="仿宋_GB2312" w:hint="eastAsia"/>
          <w:kern w:val="0"/>
          <w:sz w:val="28"/>
          <w:szCs w:val="28"/>
          <w:shd w:val="clear" w:color="auto" w:fill="FFFFFF"/>
        </w:rPr>
        <w:t>二、XBRL文件的报送流程</w:t>
      </w:r>
    </w:p>
    <w:p w14:paraId="579F4A21" w14:textId="77777777" w:rsidR="00674F3E" w:rsidRDefault="00C45190">
      <w:pPr>
        <w:spacing w:line="600" w:lineRule="exact"/>
        <w:ind w:firstLine="480"/>
        <w:rPr>
          <w:rFonts w:ascii="仿宋_GB2312" w:eastAsia="仿宋_GB2312" w:hAnsi="仿宋_GB2312" w:cs="仿宋_GB2312"/>
          <w:kern w:val="0"/>
          <w:sz w:val="28"/>
          <w:szCs w:val="28"/>
          <w:shd w:val="clear" w:color="auto" w:fill="FFFFFF"/>
        </w:rPr>
      </w:pPr>
      <w:r>
        <w:rPr>
          <w:rFonts w:ascii="仿宋_GB2312" w:eastAsia="仿宋_GB2312" w:hAnsi="仿宋_GB2312" w:cs="仿宋_GB2312" w:hint="eastAsia"/>
          <w:kern w:val="0"/>
          <w:sz w:val="28"/>
          <w:szCs w:val="28"/>
          <w:shd w:val="clear" w:color="auto" w:fill="FFFFFF"/>
        </w:rPr>
        <w:t>（一）XBRL文件的自我校验</w:t>
      </w:r>
    </w:p>
    <w:p w14:paraId="14EBA9EF" w14:textId="77777777" w:rsidR="00674F3E" w:rsidRDefault="00C45190">
      <w:pPr>
        <w:spacing w:line="600" w:lineRule="exact"/>
        <w:ind w:firstLine="480"/>
        <w:rPr>
          <w:rFonts w:ascii="仿宋_GB2312" w:eastAsia="仿宋_GB2312" w:hAnsi="仿宋_GB2312" w:cs="仿宋_GB2312"/>
          <w:kern w:val="0"/>
          <w:sz w:val="28"/>
          <w:szCs w:val="28"/>
          <w:shd w:val="clear" w:color="auto" w:fill="FFFFFF"/>
        </w:rPr>
      </w:pPr>
      <w:r>
        <w:rPr>
          <w:rFonts w:ascii="仿宋_GB2312" w:eastAsia="仿宋_GB2312" w:hAnsi="仿宋_GB2312" w:cs="仿宋_GB2312" w:hint="eastAsia"/>
          <w:kern w:val="0"/>
          <w:sz w:val="28"/>
          <w:szCs w:val="28"/>
          <w:shd w:val="clear" w:color="auto" w:fill="FFFFFF"/>
        </w:rPr>
        <w:t>上市公司在提交前按照要求认真完成自我校验工作，相关校验工作的重点要求如下：</w:t>
      </w:r>
    </w:p>
    <w:p w14:paraId="2FE2F66A" w14:textId="77777777" w:rsidR="00674F3E" w:rsidRDefault="00C45190">
      <w:pPr>
        <w:spacing w:line="600" w:lineRule="exact"/>
        <w:ind w:firstLine="480"/>
        <w:rPr>
          <w:rFonts w:ascii="仿宋_GB2312" w:eastAsia="仿宋_GB2312" w:hAnsi="仿宋_GB2312" w:cs="仿宋_GB2312"/>
          <w:kern w:val="0"/>
          <w:sz w:val="28"/>
          <w:szCs w:val="28"/>
          <w:shd w:val="clear" w:color="auto" w:fill="FFFFFF"/>
        </w:rPr>
      </w:pPr>
      <w:r>
        <w:rPr>
          <w:rFonts w:ascii="仿宋_GB2312" w:eastAsia="仿宋_GB2312" w:hAnsi="仿宋_GB2312" w:cs="仿宋_GB2312" w:hint="eastAsia"/>
          <w:kern w:val="0"/>
          <w:sz w:val="28"/>
          <w:szCs w:val="28"/>
          <w:shd w:val="clear" w:color="auto" w:fill="FFFFFF"/>
        </w:rPr>
        <w:t>1.确认提交的报告是合法有效的当期报告XBRL文件；</w:t>
      </w:r>
    </w:p>
    <w:p w14:paraId="31140A04" w14:textId="77777777" w:rsidR="00674F3E" w:rsidRDefault="00C45190">
      <w:pPr>
        <w:spacing w:line="600" w:lineRule="exact"/>
        <w:ind w:firstLine="480"/>
        <w:rPr>
          <w:rFonts w:ascii="仿宋_GB2312" w:eastAsia="仿宋_GB2312" w:hAnsi="仿宋_GB2312" w:cs="仿宋_GB2312"/>
          <w:kern w:val="0"/>
          <w:sz w:val="28"/>
          <w:szCs w:val="28"/>
          <w:shd w:val="clear" w:color="auto" w:fill="FFFFFF"/>
        </w:rPr>
      </w:pPr>
      <w:r>
        <w:rPr>
          <w:rFonts w:ascii="仿宋_GB2312" w:eastAsia="仿宋_GB2312" w:hAnsi="仿宋_GB2312" w:cs="仿宋_GB2312" w:hint="eastAsia"/>
          <w:kern w:val="0"/>
          <w:sz w:val="28"/>
          <w:szCs w:val="28"/>
          <w:shd w:val="clear" w:color="auto" w:fill="FFFFFF"/>
        </w:rPr>
        <w:t>2.保持XBRL文件与定期报告全文共有部分一致；</w:t>
      </w:r>
    </w:p>
    <w:p w14:paraId="68D0F632" w14:textId="77777777" w:rsidR="00674F3E" w:rsidRDefault="00C45190">
      <w:pPr>
        <w:spacing w:line="600" w:lineRule="exact"/>
        <w:ind w:firstLine="480"/>
        <w:rPr>
          <w:rFonts w:ascii="仿宋_GB2312" w:eastAsia="仿宋_GB2312" w:hAnsi="仿宋_GB2312" w:cs="仿宋_GB2312"/>
          <w:kern w:val="0"/>
          <w:sz w:val="28"/>
          <w:szCs w:val="28"/>
          <w:shd w:val="clear" w:color="auto" w:fill="FFFFFF"/>
        </w:rPr>
      </w:pPr>
      <w:r>
        <w:rPr>
          <w:rFonts w:ascii="仿宋_GB2312" w:eastAsia="仿宋_GB2312" w:hAnsi="仿宋_GB2312" w:cs="仿宋_GB2312" w:hint="eastAsia"/>
          <w:kern w:val="0"/>
          <w:sz w:val="28"/>
          <w:szCs w:val="28"/>
          <w:shd w:val="clear" w:color="auto" w:fill="FFFFFF"/>
        </w:rPr>
        <w:t>3.确保XBRL文件报送时“合法校验”三项内容全部通过，包括：必填科目校验通过、勾稽关系校验通过（允许存在因自定义科目引起的校验不通过情况）、数据类型校验通过。</w:t>
      </w:r>
    </w:p>
    <w:p w14:paraId="3381C597" w14:textId="77777777" w:rsidR="00674F3E" w:rsidRDefault="00C45190">
      <w:pPr>
        <w:spacing w:line="600" w:lineRule="exact"/>
        <w:ind w:firstLine="480"/>
        <w:rPr>
          <w:rFonts w:ascii="仿宋_GB2312" w:eastAsia="仿宋_GB2312" w:hAnsi="仿宋_GB2312" w:cs="仿宋_GB2312"/>
          <w:kern w:val="0"/>
          <w:sz w:val="28"/>
          <w:szCs w:val="28"/>
          <w:shd w:val="clear" w:color="auto" w:fill="FFFFFF"/>
        </w:rPr>
      </w:pPr>
      <w:r>
        <w:rPr>
          <w:rFonts w:ascii="仿宋_GB2312" w:eastAsia="仿宋_GB2312" w:hAnsi="仿宋_GB2312" w:cs="仿宋_GB2312" w:hint="eastAsia"/>
          <w:kern w:val="0"/>
          <w:sz w:val="28"/>
          <w:szCs w:val="28"/>
          <w:shd w:val="clear" w:color="auto" w:fill="FFFFFF"/>
        </w:rPr>
        <w:t>上市公司要在确认XBRL文件达到上述三项要求后再行提交。</w:t>
      </w:r>
    </w:p>
    <w:p w14:paraId="1485FB23" w14:textId="77777777" w:rsidR="00674F3E" w:rsidRDefault="00C45190">
      <w:pPr>
        <w:spacing w:line="600" w:lineRule="exact"/>
        <w:ind w:firstLine="480"/>
        <w:rPr>
          <w:rFonts w:ascii="仿宋_GB2312" w:eastAsia="仿宋_GB2312" w:hAnsi="仿宋_GB2312" w:cs="仿宋_GB2312"/>
          <w:kern w:val="0"/>
          <w:sz w:val="28"/>
          <w:szCs w:val="28"/>
          <w:shd w:val="clear" w:color="auto" w:fill="FFFFFF"/>
        </w:rPr>
      </w:pPr>
      <w:r>
        <w:rPr>
          <w:rFonts w:ascii="仿宋_GB2312" w:eastAsia="仿宋_GB2312" w:hAnsi="仿宋_GB2312" w:cs="仿宋_GB2312" w:hint="eastAsia"/>
          <w:kern w:val="0"/>
          <w:sz w:val="28"/>
          <w:szCs w:val="28"/>
          <w:shd w:val="clear" w:color="auto" w:fill="FFFFFF"/>
        </w:rPr>
        <w:t>（二）XBRL文件的提交</w:t>
      </w:r>
    </w:p>
    <w:p w14:paraId="730039EA" w14:textId="77777777" w:rsidR="00674F3E" w:rsidRDefault="00C45190">
      <w:pPr>
        <w:spacing w:line="600" w:lineRule="exact"/>
        <w:ind w:firstLine="480"/>
        <w:rPr>
          <w:rFonts w:ascii="仿宋_GB2312" w:eastAsia="仿宋_GB2312" w:hAnsi="仿宋_GB2312" w:cs="仿宋_GB2312"/>
          <w:kern w:val="0"/>
          <w:sz w:val="28"/>
          <w:szCs w:val="28"/>
          <w:shd w:val="clear" w:color="auto" w:fill="FFFFFF"/>
        </w:rPr>
      </w:pPr>
      <w:r>
        <w:rPr>
          <w:rFonts w:ascii="仿宋_GB2312" w:eastAsia="仿宋_GB2312" w:hAnsi="仿宋_GB2312" w:cs="仿宋_GB2312" w:hint="eastAsia"/>
          <w:kern w:val="0"/>
          <w:sz w:val="28"/>
          <w:szCs w:val="28"/>
          <w:shd w:val="clear" w:color="auto" w:fill="FFFFFF"/>
        </w:rPr>
        <w:t>上市公司在定期报告提交当日通过公司业务管理系统报送XBRL文件。在公司业务管理系统中，上市公司创建信息披露申请后，注意认真填写“基本信息”部分的经办人、经办人手机号码和电子邮件等</w:t>
      </w:r>
      <w:r>
        <w:rPr>
          <w:rFonts w:ascii="仿宋_GB2312" w:eastAsia="仿宋_GB2312" w:hAnsi="仿宋_GB2312" w:cs="仿宋_GB2312" w:hint="eastAsia"/>
          <w:kern w:val="0"/>
          <w:sz w:val="28"/>
          <w:szCs w:val="28"/>
          <w:shd w:val="clear" w:color="auto" w:fill="FFFFFF"/>
        </w:rPr>
        <w:lastRenderedPageBreak/>
        <w:t>信息，以便及时接收XBRL文件的反馈结果。</w:t>
      </w:r>
    </w:p>
    <w:p w14:paraId="6ABABBCB" w14:textId="77777777" w:rsidR="00674F3E" w:rsidRDefault="00C45190">
      <w:pPr>
        <w:spacing w:line="600" w:lineRule="exact"/>
        <w:ind w:firstLine="480"/>
        <w:rPr>
          <w:rFonts w:ascii="仿宋_GB2312" w:eastAsia="仿宋_GB2312" w:hAnsi="仿宋_GB2312" w:cs="仿宋_GB2312"/>
          <w:kern w:val="0"/>
          <w:sz w:val="28"/>
          <w:szCs w:val="28"/>
          <w:shd w:val="clear" w:color="auto" w:fill="FFFFFF"/>
        </w:rPr>
      </w:pPr>
      <w:r>
        <w:rPr>
          <w:rFonts w:ascii="仿宋_GB2312" w:eastAsia="仿宋_GB2312" w:hAnsi="仿宋_GB2312" w:cs="仿宋_GB2312" w:hint="eastAsia"/>
          <w:kern w:val="0"/>
          <w:sz w:val="28"/>
          <w:szCs w:val="28"/>
          <w:shd w:val="clear" w:color="auto" w:fill="FFFFFF"/>
        </w:rPr>
        <w:t>在添加公告类别时候，选择“01.定期报告”类别下合适的定期报告类型并将XBRL文件作为定期报告的附件提交，并确保勾选“上网”。</w:t>
      </w:r>
    </w:p>
    <w:p w14:paraId="18C34945" w14:textId="77777777" w:rsidR="00674F3E" w:rsidRDefault="00C45190">
      <w:pPr>
        <w:spacing w:line="600" w:lineRule="exact"/>
        <w:ind w:firstLine="480"/>
        <w:rPr>
          <w:rFonts w:ascii="仿宋_GB2312" w:eastAsia="仿宋_GB2312" w:hAnsi="仿宋_GB2312" w:cs="仿宋_GB2312"/>
          <w:kern w:val="0"/>
          <w:sz w:val="28"/>
          <w:szCs w:val="28"/>
          <w:shd w:val="clear" w:color="auto" w:fill="FFFFFF"/>
        </w:rPr>
      </w:pPr>
      <w:r>
        <w:rPr>
          <w:rFonts w:ascii="仿宋_GB2312" w:eastAsia="仿宋_GB2312" w:hAnsi="仿宋_GB2312" w:cs="仿宋_GB2312" w:hint="eastAsia"/>
          <w:kern w:val="0"/>
          <w:sz w:val="28"/>
          <w:szCs w:val="28"/>
          <w:shd w:val="clear" w:color="auto" w:fill="FFFFFF"/>
        </w:rPr>
        <w:t>（三）XBRL文件的发布</w:t>
      </w:r>
    </w:p>
    <w:p w14:paraId="16DE8C79" w14:textId="77777777" w:rsidR="00674F3E" w:rsidRDefault="00C45190">
      <w:pPr>
        <w:spacing w:line="600" w:lineRule="exact"/>
        <w:ind w:firstLine="480"/>
        <w:rPr>
          <w:rFonts w:ascii="仿宋_GB2312" w:eastAsia="仿宋_GB2312" w:hAnsi="仿宋_GB2312" w:cs="仿宋_GB2312"/>
          <w:kern w:val="0"/>
          <w:sz w:val="28"/>
          <w:szCs w:val="28"/>
          <w:shd w:val="clear" w:color="auto" w:fill="FFFFFF"/>
        </w:rPr>
      </w:pPr>
      <w:r>
        <w:rPr>
          <w:rFonts w:ascii="仿宋_GB2312" w:eastAsia="仿宋_GB2312" w:hAnsi="仿宋_GB2312" w:cs="仿宋_GB2312" w:hint="eastAsia"/>
          <w:kern w:val="0"/>
          <w:sz w:val="28"/>
          <w:szCs w:val="28"/>
          <w:shd w:val="clear" w:color="auto" w:fill="FFFFFF"/>
        </w:rPr>
        <w:t>XBRL文件经上市公司提交后，将直接在本所网站披露。本所对XBRL文件实施事后校验。</w:t>
      </w:r>
    </w:p>
    <w:p w14:paraId="72BFBE78" w14:textId="77777777" w:rsidR="00674F3E" w:rsidRDefault="00C45190">
      <w:pPr>
        <w:spacing w:line="600" w:lineRule="exact"/>
        <w:ind w:firstLine="480"/>
        <w:rPr>
          <w:rFonts w:ascii="仿宋_GB2312" w:eastAsia="仿宋_GB2312" w:hAnsi="仿宋_GB2312" w:cs="仿宋_GB2312"/>
          <w:kern w:val="0"/>
          <w:sz w:val="28"/>
          <w:szCs w:val="28"/>
          <w:shd w:val="clear" w:color="auto" w:fill="FFFFFF"/>
        </w:rPr>
      </w:pPr>
      <w:r>
        <w:rPr>
          <w:rFonts w:ascii="仿宋_GB2312" w:eastAsia="仿宋_GB2312" w:hAnsi="仿宋_GB2312" w:cs="仿宋_GB2312" w:hint="eastAsia"/>
          <w:kern w:val="0"/>
          <w:sz w:val="28"/>
          <w:szCs w:val="28"/>
          <w:shd w:val="clear" w:color="auto" w:fill="FFFFFF"/>
        </w:rPr>
        <w:t>（四）XBRL文件的校验</w:t>
      </w:r>
    </w:p>
    <w:p w14:paraId="40FAEA7E" w14:textId="77777777" w:rsidR="00674F3E" w:rsidRDefault="00C45190">
      <w:pPr>
        <w:spacing w:line="600" w:lineRule="exact"/>
        <w:ind w:firstLine="480"/>
        <w:rPr>
          <w:rFonts w:ascii="仿宋_GB2312" w:eastAsia="仿宋_GB2312" w:hAnsi="仿宋_GB2312" w:cs="仿宋_GB2312"/>
          <w:kern w:val="0"/>
          <w:sz w:val="28"/>
          <w:szCs w:val="28"/>
          <w:shd w:val="clear" w:color="auto" w:fill="FFFFFF"/>
        </w:rPr>
      </w:pPr>
      <w:r>
        <w:rPr>
          <w:rFonts w:ascii="仿宋_GB2312" w:eastAsia="仿宋_GB2312" w:hAnsi="仿宋_GB2312" w:cs="仿宋_GB2312" w:hint="eastAsia"/>
          <w:kern w:val="0"/>
          <w:sz w:val="28"/>
          <w:szCs w:val="28"/>
          <w:shd w:val="clear" w:color="auto" w:fill="FFFFFF"/>
        </w:rPr>
        <w:t>本所XBRL校验小组（以下简称XBRL小组）在定期报告全文的信息披露申请上网后，开始校验对应XBRL文件。</w:t>
      </w:r>
    </w:p>
    <w:p w14:paraId="7502C900" w14:textId="77777777" w:rsidR="00674F3E" w:rsidRDefault="00C45190">
      <w:pPr>
        <w:spacing w:line="600" w:lineRule="exact"/>
        <w:ind w:firstLine="480"/>
        <w:rPr>
          <w:rFonts w:ascii="仿宋_GB2312" w:eastAsia="仿宋_GB2312" w:hAnsi="仿宋_GB2312" w:cs="仿宋_GB2312"/>
          <w:kern w:val="0"/>
          <w:sz w:val="28"/>
          <w:szCs w:val="28"/>
          <w:shd w:val="clear" w:color="auto" w:fill="FFFFFF"/>
        </w:rPr>
      </w:pPr>
      <w:r>
        <w:rPr>
          <w:rFonts w:ascii="仿宋_GB2312" w:eastAsia="仿宋_GB2312" w:hAnsi="仿宋_GB2312" w:cs="仿宋_GB2312" w:hint="eastAsia"/>
          <w:kern w:val="0"/>
          <w:sz w:val="28"/>
          <w:szCs w:val="28"/>
          <w:shd w:val="clear" w:color="auto" w:fill="FFFFFF"/>
        </w:rPr>
        <w:t>（五）校验结果的反馈</w:t>
      </w:r>
    </w:p>
    <w:p w14:paraId="06E5EE0E" w14:textId="77777777" w:rsidR="00674F3E" w:rsidRDefault="00C45190">
      <w:pPr>
        <w:spacing w:line="600" w:lineRule="exact"/>
        <w:ind w:firstLine="480"/>
        <w:rPr>
          <w:rFonts w:ascii="仿宋_GB2312" w:eastAsia="仿宋_GB2312" w:hAnsi="仿宋_GB2312" w:cs="仿宋_GB2312"/>
          <w:kern w:val="0"/>
          <w:sz w:val="28"/>
          <w:szCs w:val="28"/>
          <w:shd w:val="clear" w:color="auto" w:fill="FFFFFF"/>
        </w:rPr>
      </w:pPr>
      <w:r>
        <w:rPr>
          <w:rFonts w:ascii="仿宋_GB2312" w:eastAsia="仿宋_GB2312" w:hAnsi="仿宋_GB2312" w:cs="仿宋_GB2312" w:hint="eastAsia"/>
          <w:kern w:val="0"/>
          <w:sz w:val="28"/>
          <w:szCs w:val="28"/>
          <w:shd w:val="clear" w:color="auto" w:fill="FFFFFF"/>
        </w:rPr>
        <w:t>在上市公司首次提交的当天（T日）晚上，XBRL小组将通过电子邮件方式向各上市公司集中发送校验结果。因此，如果“基本信息”部分填写的经办人、经办人手机号码和电子邮件等信息有误，上市公司将无法及时接收校验结果。</w:t>
      </w:r>
    </w:p>
    <w:p w14:paraId="3DEA35AD" w14:textId="77777777" w:rsidR="00674F3E" w:rsidRDefault="00C45190">
      <w:pPr>
        <w:spacing w:line="600" w:lineRule="exact"/>
        <w:ind w:firstLine="480"/>
        <w:rPr>
          <w:rFonts w:ascii="仿宋_GB2312" w:eastAsia="仿宋_GB2312" w:hAnsi="仿宋_GB2312" w:cs="仿宋_GB2312"/>
          <w:kern w:val="0"/>
          <w:sz w:val="28"/>
          <w:szCs w:val="28"/>
          <w:shd w:val="clear" w:color="auto" w:fill="FFFFFF"/>
        </w:rPr>
      </w:pPr>
      <w:r>
        <w:rPr>
          <w:rFonts w:ascii="仿宋_GB2312" w:eastAsia="仿宋_GB2312" w:hAnsi="仿宋_GB2312" w:cs="仿宋_GB2312" w:hint="eastAsia"/>
          <w:kern w:val="0"/>
          <w:sz w:val="28"/>
          <w:szCs w:val="28"/>
          <w:shd w:val="clear" w:color="auto" w:fill="FFFFFF"/>
        </w:rPr>
        <w:t>若未收到校验结果，请于首次提交的第二个工作日（T+1日）及时与XBRL小组联系，联系电话为：021-68811783、021-68800110，联系邮箱为：XBRL@sse.com.cn。</w:t>
      </w:r>
    </w:p>
    <w:p w14:paraId="5D19F63A" w14:textId="77777777" w:rsidR="00674F3E" w:rsidRDefault="00C45190">
      <w:pPr>
        <w:spacing w:line="600" w:lineRule="exact"/>
        <w:ind w:firstLine="480"/>
        <w:rPr>
          <w:rFonts w:ascii="仿宋_GB2312" w:eastAsia="仿宋_GB2312" w:hAnsi="仿宋_GB2312" w:cs="仿宋_GB2312"/>
          <w:kern w:val="0"/>
          <w:sz w:val="28"/>
          <w:szCs w:val="28"/>
          <w:shd w:val="clear" w:color="auto" w:fill="FFFFFF"/>
        </w:rPr>
      </w:pPr>
      <w:r>
        <w:rPr>
          <w:rFonts w:ascii="仿宋_GB2312" w:eastAsia="仿宋_GB2312" w:hAnsi="仿宋_GB2312" w:cs="仿宋_GB2312" w:hint="eastAsia"/>
          <w:kern w:val="0"/>
          <w:sz w:val="28"/>
          <w:szCs w:val="28"/>
          <w:shd w:val="clear" w:color="auto" w:fill="FFFFFF"/>
        </w:rPr>
        <w:t>（六）XBRL文件的修改</w:t>
      </w:r>
    </w:p>
    <w:p w14:paraId="4807FABE" w14:textId="77777777" w:rsidR="00674F3E" w:rsidRDefault="00C45190">
      <w:pPr>
        <w:spacing w:line="600" w:lineRule="exact"/>
        <w:ind w:firstLine="480"/>
        <w:rPr>
          <w:rFonts w:ascii="仿宋_GB2312" w:eastAsia="仿宋_GB2312" w:hAnsi="仿宋_GB2312" w:cs="仿宋_GB2312"/>
          <w:kern w:val="0"/>
          <w:sz w:val="28"/>
          <w:szCs w:val="28"/>
          <w:shd w:val="clear" w:color="auto" w:fill="FFFFFF"/>
        </w:rPr>
      </w:pPr>
      <w:r>
        <w:rPr>
          <w:rFonts w:ascii="仿宋_GB2312" w:eastAsia="仿宋_GB2312" w:hAnsi="仿宋_GB2312" w:cs="仿宋_GB2312" w:hint="eastAsia"/>
          <w:kern w:val="0"/>
          <w:sz w:val="28"/>
          <w:szCs w:val="28"/>
          <w:shd w:val="clear" w:color="auto" w:fill="FFFFFF"/>
        </w:rPr>
        <w:t>上市公司在提交当天（T日）收到校验结果后，若无需修改XBRL文件，则XBRL文件报送流程结束。若需同时修改定期报告的全文或摘要等已见报上网信息，须在第二个工作日（T+1日）添加公告类别为“30.补充更正公告”的公告并将修改后的XBRL文件作为附件提交；</w:t>
      </w:r>
      <w:r>
        <w:rPr>
          <w:rFonts w:ascii="仿宋_GB2312" w:eastAsia="仿宋_GB2312" w:hAnsi="仿宋_GB2312" w:cs="仿宋_GB2312" w:hint="eastAsia"/>
          <w:kern w:val="0"/>
          <w:sz w:val="28"/>
          <w:szCs w:val="28"/>
          <w:shd w:val="clear" w:color="auto" w:fill="FFFFFF"/>
        </w:rPr>
        <w:lastRenderedPageBreak/>
        <w:t>若仅需修改XBRL文件而无需修改定期报告或全文或摘要等已见报上网信息，也请在第二个工作日（T+1日）通过“资料填报”下的“定期报告XBRL实例文档报送”通道重新提交。</w:t>
      </w:r>
    </w:p>
    <w:p w14:paraId="752B2589" w14:textId="77777777" w:rsidR="00674F3E" w:rsidRDefault="00C45190">
      <w:pPr>
        <w:spacing w:line="600" w:lineRule="exact"/>
        <w:ind w:firstLine="480"/>
        <w:rPr>
          <w:rFonts w:ascii="仿宋_GB2312" w:eastAsia="仿宋_GB2312" w:hAnsi="仿宋_GB2312" w:cs="仿宋_GB2312"/>
          <w:sz w:val="28"/>
          <w:szCs w:val="28"/>
        </w:rPr>
      </w:pPr>
      <w:r>
        <w:rPr>
          <w:rFonts w:ascii="仿宋_GB2312" w:eastAsia="仿宋_GB2312" w:hAnsi="仿宋_GB2312" w:cs="仿宋_GB2312" w:hint="eastAsia"/>
          <w:kern w:val="0"/>
          <w:sz w:val="28"/>
          <w:szCs w:val="28"/>
          <w:shd w:val="clear" w:color="auto" w:fill="FFFFFF"/>
        </w:rPr>
        <w:t>XBRL小组将在收到修改的XBRL文件后再次校验，并再次发送校验结果。</w:t>
      </w:r>
    </w:p>
    <w:sectPr w:rsidR="00674F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5C078" w14:textId="77777777" w:rsidR="002B7677" w:rsidRDefault="002B7677">
      <w:r>
        <w:separator/>
      </w:r>
    </w:p>
  </w:endnote>
  <w:endnote w:type="continuationSeparator" w:id="0">
    <w:p w14:paraId="628F3EE5" w14:textId="77777777" w:rsidR="002B7677" w:rsidRDefault="002B7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633110"/>
    </w:sdtPr>
    <w:sdtContent>
      <w:p w14:paraId="0775A6A1" w14:textId="676366B9" w:rsidR="00674F3E" w:rsidRDefault="00C45190">
        <w:pPr>
          <w:pStyle w:val="a7"/>
          <w:jc w:val="center"/>
        </w:pPr>
        <w:r>
          <w:fldChar w:fldCharType="begin"/>
        </w:r>
        <w:r>
          <w:instrText xml:space="preserve"> PAGE   \* MERGEFORMAT </w:instrText>
        </w:r>
        <w:r>
          <w:fldChar w:fldCharType="separate"/>
        </w:r>
        <w:r w:rsidR="00151772" w:rsidRPr="00151772">
          <w:rPr>
            <w:noProof/>
            <w:lang w:val="zh-CN"/>
          </w:rPr>
          <w:t>23</w:t>
        </w:r>
        <w:r>
          <w:rPr>
            <w:lang w:val="zh-C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61D01" w14:textId="77777777" w:rsidR="00674F3E" w:rsidRDefault="00C45190">
    <w:pPr>
      <w:pStyle w:val="a7"/>
      <w:framePr w:wrap="around" w:vAnchor="text" w:hAnchor="margin" w:xAlign="right" w:y="1"/>
      <w:ind w:firstLine="360"/>
      <w:rPr>
        <w:rStyle w:val="af"/>
      </w:rPr>
    </w:pPr>
    <w:r>
      <w:rPr>
        <w:rStyle w:val="af"/>
      </w:rPr>
      <w:fldChar w:fldCharType="begin"/>
    </w:r>
    <w:r>
      <w:rPr>
        <w:rStyle w:val="af"/>
      </w:rPr>
      <w:instrText xml:space="preserve">PAGE  </w:instrText>
    </w:r>
    <w:r>
      <w:rPr>
        <w:rStyle w:val="af"/>
      </w:rPr>
      <w:fldChar w:fldCharType="end"/>
    </w:r>
  </w:p>
  <w:p w14:paraId="5CF3A7C6" w14:textId="77777777" w:rsidR="00674F3E" w:rsidRDefault="00674F3E">
    <w:pPr>
      <w:pStyle w:val="a7"/>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E4DF7" w14:textId="4341C8BD" w:rsidR="00674F3E" w:rsidRDefault="00C45190">
    <w:pPr>
      <w:pStyle w:val="a7"/>
      <w:ind w:firstLine="360"/>
      <w:jc w:val="center"/>
    </w:pPr>
    <w:r>
      <w:fldChar w:fldCharType="begin"/>
    </w:r>
    <w:r>
      <w:instrText xml:space="preserve"> PAGE   \* MERGEFORMAT </w:instrText>
    </w:r>
    <w:r>
      <w:fldChar w:fldCharType="separate"/>
    </w:r>
    <w:r w:rsidR="00151772" w:rsidRPr="00151772">
      <w:rPr>
        <w:noProof/>
        <w:lang w:val="zh-CN"/>
      </w:rPr>
      <w:t>33</w:t>
    </w:r>
    <w:r>
      <w:rPr>
        <w:lang w:val="zh-CN"/>
      </w:rPr>
      <w:fldChar w:fldCharType="end"/>
    </w:r>
  </w:p>
  <w:p w14:paraId="1FE1C63D" w14:textId="77777777" w:rsidR="00674F3E" w:rsidRDefault="00674F3E">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EB52B" w14:textId="77777777" w:rsidR="002B7677" w:rsidRDefault="002B7677">
      <w:r>
        <w:separator/>
      </w:r>
    </w:p>
  </w:footnote>
  <w:footnote w:type="continuationSeparator" w:id="0">
    <w:p w14:paraId="52891FCA" w14:textId="77777777" w:rsidR="002B7677" w:rsidRDefault="002B76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0DA4"/>
    <w:rsid w:val="EB7D0791"/>
    <w:rsid w:val="000031C3"/>
    <w:rsid w:val="000109DD"/>
    <w:rsid w:val="00017E9E"/>
    <w:rsid w:val="00030345"/>
    <w:rsid w:val="00036C63"/>
    <w:rsid w:val="000416EF"/>
    <w:rsid w:val="000575B1"/>
    <w:rsid w:val="00083440"/>
    <w:rsid w:val="00093256"/>
    <w:rsid w:val="000A119D"/>
    <w:rsid w:val="000C4730"/>
    <w:rsid w:val="000C7147"/>
    <w:rsid w:val="000D04C8"/>
    <w:rsid w:val="000D49DB"/>
    <w:rsid w:val="000D7CEE"/>
    <w:rsid w:val="000E380F"/>
    <w:rsid w:val="000F69EF"/>
    <w:rsid w:val="00116168"/>
    <w:rsid w:val="001302AD"/>
    <w:rsid w:val="00136CF3"/>
    <w:rsid w:val="00147FD5"/>
    <w:rsid w:val="00151772"/>
    <w:rsid w:val="00154505"/>
    <w:rsid w:val="00155636"/>
    <w:rsid w:val="00173CDE"/>
    <w:rsid w:val="001805D4"/>
    <w:rsid w:val="001805DF"/>
    <w:rsid w:val="00182A96"/>
    <w:rsid w:val="00190AE3"/>
    <w:rsid w:val="00193E25"/>
    <w:rsid w:val="00194122"/>
    <w:rsid w:val="001972B7"/>
    <w:rsid w:val="001A6854"/>
    <w:rsid w:val="001B0903"/>
    <w:rsid w:val="001C6979"/>
    <w:rsid w:val="001D1453"/>
    <w:rsid w:val="001F40F9"/>
    <w:rsid w:val="0021318B"/>
    <w:rsid w:val="002200FD"/>
    <w:rsid w:val="002203BF"/>
    <w:rsid w:val="00220C82"/>
    <w:rsid w:val="00221A33"/>
    <w:rsid w:val="00235C64"/>
    <w:rsid w:val="0023673E"/>
    <w:rsid w:val="00237F95"/>
    <w:rsid w:val="00242B0E"/>
    <w:rsid w:val="002550BA"/>
    <w:rsid w:val="00255FAD"/>
    <w:rsid w:val="002B7677"/>
    <w:rsid w:val="002C3F03"/>
    <w:rsid w:val="00327516"/>
    <w:rsid w:val="00333671"/>
    <w:rsid w:val="00352424"/>
    <w:rsid w:val="00362ADD"/>
    <w:rsid w:val="00366108"/>
    <w:rsid w:val="003822FD"/>
    <w:rsid w:val="00395115"/>
    <w:rsid w:val="003A52BA"/>
    <w:rsid w:val="003B146A"/>
    <w:rsid w:val="003F27A4"/>
    <w:rsid w:val="003F589A"/>
    <w:rsid w:val="0040174C"/>
    <w:rsid w:val="00401F0D"/>
    <w:rsid w:val="004038CD"/>
    <w:rsid w:val="00426BFD"/>
    <w:rsid w:val="004628DE"/>
    <w:rsid w:val="00481122"/>
    <w:rsid w:val="00482217"/>
    <w:rsid w:val="00482FDD"/>
    <w:rsid w:val="004A0EE2"/>
    <w:rsid w:val="004B6290"/>
    <w:rsid w:val="004C4D00"/>
    <w:rsid w:val="004D20AB"/>
    <w:rsid w:val="004D4EF5"/>
    <w:rsid w:val="004D61CD"/>
    <w:rsid w:val="004E264D"/>
    <w:rsid w:val="004F7B41"/>
    <w:rsid w:val="005169E7"/>
    <w:rsid w:val="00516DC5"/>
    <w:rsid w:val="005258B2"/>
    <w:rsid w:val="0053142F"/>
    <w:rsid w:val="00535261"/>
    <w:rsid w:val="00541E60"/>
    <w:rsid w:val="00543AF7"/>
    <w:rsid w:val="00552089"/>
    <w:rsid w:val="005616F4"/>
    <w:rsid w:val="00567247"/>
    <w:rsid w:val="005856FD"/>
    <w:rsid w:val="005A18AB"/>
    <w:rsid w:val="005A25E0"/>
    <w:rsid w:val="005E2346"/>
    <w:rsid w:val="005E6D8E"/>
    <w:rsid w:val="005F76CA"/>
    <w:rsid w:val="0060103B"/>
    <w:rsid w:val="00601796"/>
    <w:rsid w:val="00606067"/>
    <w:rsid w:val="006478B0"/>
    <w:rsid w:val="006648A8"/>
    <w:rsid w:val="00674F3E"/>
    <w:rsid w:val="00680DDD"/>
    <w:rsid w:val="0068180A"/>
    <w:rsid w:val="00684165"/>
    <w:rsid w:val="00685D3A"/>
    <w:rsid w:val="00693BC2"/>
    <w:rsid w:val="00697F31"/>
    <w:rsid w:val="006C4E05"/>
    <w:rsid w:val="006D3F03"/>
    <w:rsid w:val="006E3E31"/>
    <w:rsid w:val="006E49DF"/>
    <w:rsid w:val="006F5761"/>
    <w:rsid w:val="006F5F67"/>
    <w:rsid w:val="007049C3"/>
    <w:rsid w:val="0072084D"/>
    <w:rsid w:val="00721DE4"/>
    <w:rsid w:val="0073713F"/>
    <w:rsid w:val="00750047"/>
    <w:rsid w:val="0075266D"/>
    <w:rsid w:val="0077215E"/>
    <w:rsid w:val="00774B1B"/>
    <w:rsid w:val="007848DC"/>
    <w:rsid w:val="007942B3"/>
    <w:rsid w:val="007A2FEC"/>
    <w:rsid w:val="007A67B5"/>
    <w:rsid w:val="007B272D"/>
    <w:rsid w:val="007E08AF"/>
    <w:rsid w:val="007E49B3"/>
    <w:rsid w:val="00816247"/>
    <w:rsid w:val="00827D6F"/>
    <w:rsid w:val="00844F67"/>
    <w:rsid w:val="00846AF0"/>
    <w:rsid w:val="00853233"/>
    <w:rsid w:val="00854A76"/>
    <w:rsid w:val="00854E4B"/>
    <w:rsid w:val="008C52B4"/>
    <w:rsid w:val="008C5687"/>
    <w:rsid w:val="008E6B57"/>
    <w:rsid w:val="00945EF3"/>
    <w:rsid w:val="009740F4"/>
    <w:rsid w:val="00992CDE"/>
    <w:rsid w:val="009B3FA0"/>
    <w:rsid w:val="009F361A"/>
    <w:rsid w:val="009F4981"/>
    <w:rsid w:val="009F7A2F"/>
    <w:rsid w:val="00A11043"/>
    <w:rsid w:val="00A421A4"/>
    <w:rsid w:val="00A46072"/>
    <w:rsid w:val="00A64EAD"/>
    <w:rsid w:val="00A75192"/>
    <w:rsid w:val="00A81D5D"/>
    <w:rsid w:val="00AB17D0"/>
    <w:rsid w:val="00AD7994"/>
    <w:rsid w:val="00AE026D"/>
    <w:rsid w:val="00AE0FAF"/>
    <w:rsid w:val="00AF31E1"/>
    <w:rsid w:val="00B01C61"/>
    <w:rsid w:val="00B0757E"/>
    <w:rsid w:val="00B30DA4"/>
    <w:rsid w:val="00B422B8"/>
    <w:rsid w:val="00B545B9"/>
    <w:rsid w:val="00B659DF"/>
    <w:rsid w:val="00B832EB"/>
    <w:rsid w:val="00B90D8E"/>
    <w:rsid w:val="00B91B40"/>
    <w:rsid w:val="00B94C6F"/>
    <w:rsid w:val="00BA5428"/>
    <w:rsid w:val="00BB5F88"/>
    <w:rsid w:val="00BB7416"/>
    <w:rsid w:val="00BC43C0"/>
    <w:rsid w:val="00BE0EAB"/>
    <w:rsid w:val="00BE2C9D"/>
    <w:rsid w:val="00BE4586"/>
    <w:rsid w:val="00BE53E4"/>
    <w:rsid w:val="00BF615D"/>
    <w:rsid w:val="00C01E8C"/>
    <w:rsid w:val="00C03AC1"/>
    <w:rsid w:val="00C042A0"/>
    <w:rsid w:val="00C10961"/>
    <w:rsid w:val="00C140B5"/>
    <w:rsid w:val="00C25A77"/>
    <w:rsid w:val="00C268B6"/>
    <w:rsid w:val="00C33910"/>
    <w:rsid w:val="00C35B37"/>
    <w:rsid w:val="00C37FB3"/>
    <w:rsid w:val="00C45190"/>
    <w:rsid w:val="00C512BE"/>
    <w:rsid w:val="00C74CF3"/>
    <w:rsid w:val="00C76DF3"/>
    <w:rsid w:val="00C7765F"/>
    <w:rsid w:val="00C83B86"/>
    <w:rsid w:val="00C90494"/>
    <w:rsid w:val="00C92979"/>
    <w:rsid w:val="00CB560C"/>
    <w:rsid w:val="00CB77C1"/>
    <w:rsid w:val="00CC28C4"/>
    <w:rsid w:val="00CD029C"/>
    <w:rsid w:val="00CD14D7"/>
    <w:rsid w:val="00CD3788"/>
    <w:rsid w:val="00CE2CB6"/>
    <w:rsid w:val="00CE5928"/>
    <w:rsid w:val="00CF4A64"/>
    <w:rsid w:val="00D13795"/>
    <w:rsid w:val="00D2244F"/>
    <w:rsid w:val="00D43AC9"/>
    <w:rsid w:val="00D52B04"/>
    <w:rsid w:val="00D55A0A"/>
    <w:rsid w:val="00D560E1"/>
    <w:rsid w:val="00D71D4A"/>
    <w:rsid w:val="00D87C7D"/>
    <w:rsid w:val="00DE4ED0"/>
    <w:rsid w:val="00DF7044"/>
    <w:rsid w:val="00E011F2"/>
    <w:rsid w:val="00E152ED"/>
    <w:rsid w:val="00E203DA"/>
    <w:rsid w:val="00E24234"/>
    <w:rsid w:val="00E264BD"/>
    <w:rsid w:val="00E55350"/>
    <w:rsid w:val="00E632DC"/>
    <w:rsid w:val="00E667EE"/>
    <w:rsid w:val="00E81BDD"/>
    <w:rsid w:val="00E95065"/>
    <w:rsid w:val="00EB02D4"/>
    <w:rsid w:val="00EB24DB"/>
    <w:rsid w:val="00EB501A"/>
    <w:rsid w:val="00EC30EB"/>
    <w:rsid w:val="00EC469C"/>
    <w:rsid w:val="00EE0664"/>
    <w:rsid w:val="00F14F16"/>
    <w:rsid w:val="00F21B10"/>
    <w:rsid w:val="00F33F9B"/>
    <w:rsid w:val="00F34B14"/>
    <w:rsid w:val="00F41982"/>
    <w:rsid w:val="00F50008"/>
    <w:rsid w:val="00F50661"/>
    <w:rsid w:val="00F53A82"/>
    <w:rsid w:val="00F6368C"/>
    <w:rsid w:val="00F72863"/>
    <w:rsid w:val="00F87A68"/>
    <w:rsid w:val="00FB2D6C"/>
    <w:rsid w:val="00FB5BBD"/>
    <w:rsid w:val="00FD7CCE"/>
    <w:rsid w:val="00FF43D9"/>
    <w:rsid w:val="00FF7348"/>
    <w:rsid w:val="07AC1A80"/>
    <w:rsid w:val="12FA23E5"/>
    <w:rsid w:val="2B5E0937"/>
    <w:rsid w:val="316311C9"/>
    <w:rsid w:val="3DC44E2A"/>
    <w:rsid w:val="4E57365F"/>
    <w:rsid w:val="57FDB2D6"/>
    <w:rsid w:val="58207215"/>
    <w:rsid w:val="6A175017"/>
    <w:rsid w:val="6E57400C"/>
    <w:rsid w:val="70B037B9"/>
    <w:rsid w:val="7DFD8C96"/>
    <w:rsid w:val="7EBDB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51D374"/>
  <w15:docId w15:val="{251A9220-08AD-478D-97E1-02BEA23DE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rFonts w:ascii="Calibri" w:eastAsia="宋体" w:hAnsi="Calibri"/>
      <w:kern w:val="0"/>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rFonts w:cs="Times New Roman"/>
      <w:kern w:val="0"/>
      <w:sz w:val="24"/>
    </w:rPr>
  </w:style>
  <w:style w:type="paragraph" w:styleId="ac">
    <w:name w:val="annotation subject"/>
    <w:basedOn w:val="a3"/>
    <w:next w:val="a3"/>
    <w:link w:val="ad"/>
    <w:qFormat/>
    <w:rPr>
      <w:b/>
      <w:bCs/>
    </w:rPr>
  </w:style>
  <w:style w:type="character" w:styleId="ae">
    <w:name w:val="Strong"/>
    <w:basedOn w:val="a0"/>
    <w:qFormat/>
    <w:rPr>
      <w:b/>
    </w:rPr>
  </w:style>
  <w:style w:type="character" w:styleId="af">
    <w:name w:val="page number"/>
    <w:basedOn w:val="a0"/>
    <w:qFormat/>
  </w:style>
  <w:style w:type="character" w:styleId="af0">
    <w:name w:val="FollowedHyperlink"/>
    <w:basedOn w:val="a0"/>
    <w:semiHidden/>
    <w:unhideWhenUsed/>
    <w:qFormat/>
    <w:rPr>
      <w:color w:val="954F72" w:themeColor="followedHyperlink"/>
      <w:u w:val="single"/>
    </w:rPr>
  </w:style>
  <w:style w:type="character" w:styleId="af1">
    <w:name w:val="Hyperlink"/>
    <w:basedOn w:val="a0"/>
    <w:qFormat/>
    <w:rPr>
      <w:color w:val="0000FF"/>
      <w:u w:val="single"/>
    </w:rPr>
  </w:style>
  <w:style w:type="character" w:styleId="af2">
    <w:name w:val="annotation reference"/>
    <w:basedOn w:val="a0"/>
    <w:qFormat/>
    <w:rPr>
      <w:sz w:val="21"/>
      <w:szCs w:val="21"/>
    </w:r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d">
    <w:name w:val="批注主题 字符"/>
    <w:basedOn w:val="a4"/>
    <w:link w:val="ac"/>
    <w:qFormat/>
    <w:rPr>
      <w:rFonts w:asciiTheme="minorHAnsi" w:eastAsiaTheme="minorEastAsia" w:hAnsiTheme="minorHAnsi" w:cstheme="minorBidi"/>
      <w:b/>
      <w:bCs/>
      <w:kern w:val="2"/>
      <w:sz w:val="21"/>
      <w:szCs w:val="24"/>
    </w:r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character" w:customStyle="1" w:styleId="fontstyle01">
    <w:name w:val="fontstyle01"/>
    <w:basedOn w:val="a0"/>
    <w:qFormat/>
    <w:rPr>
      <w:rFonts w:ascii="仿宋_GB2312" w:eastAsia="仿宋_GB2312" w:hint="eastAsia"/>
      <w:color w:val="000000"/>
      <w:sz w:val="30"/>
      <w:szCs w:val="30"/>
    </w:rPr>
  </w:style>
  <w:style w:type="character" w:customStyle="1" w:styleId="a8">
    <w:name w:val="页脚 字符"/>
    <w:basedOn w:val="a0"/>
    <w:link w:val="a7"/>
    <w:uiPriority w:val="99"/>
    <w:qFormat/>
    <w:rPr>
      <w:rFonts w:ascii="Calibri" w:hAnsi="Calibri" w:cstheme="minorBidi"/>
      <w:sz w:val="18"/>
      <w:szCs w:val="18"/>
    </w:rPr>
  </w:style>
  <w:style w:type="paragraph" w:customStyle="1" w:styleId="20">
    <w:name w:val="修订2"/>
    <w:hidden/>
    <w:uiPriority w:val="99"/>
    <w:unhideWhenUsed/>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3130</Words>
  <Characters>17842</Characters>
  <Application>Microsoft Office Word</Application>
  <DocSecurity>0</DocSecurity>
  <Lines>148</Lines>
  <Paragraphs>41</Paragraphs>
  <ScaleCrop>false</ScaleCrop>
  <Company/>
  <LinksUpToDate>false</LinksUpToDate>
  <CharactersWithSpaces>20931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2021-12-31T01:11:00Z</cp:lastPrinted>
  <dcterms:created xsi:type="dcterms:W3CDTF">2023-08-04T02:51:00Z</dcterms:created>
  <dcterms:modified xsi:type="dcterms:W3CDTF">2023-08-04T02:51:00Z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EC6E4D2A18BD445BB85B5125E62B1EA0</vt:lpwstr>
  </property>
</Properties>
</file>