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p>
    <w:p>
      <w:pPr>
        <w:jc w:val="center"/>
        <w:rPr>
          <w:rFonts w:ascii="黑体" w:hAnsi="黑体" w:eastAsia="黑体"/>
          <w:b/>
          <w:bCs/>
          <w:sz w:val="36"/>
          <w:szCs w:val="36"/>
        </w:rPr>
      </w:pPr>
      <w:r>
        <w:rPr>
          <w:rFonts w:ascii="黑体" w:hAnsi="黑体" w:eastAsia="黑体"/>
          <w:b/>
          <w:bCs/>
          <w:sz w:val="36"/>
          <w:szCs w:val="36"/>
        </w:rPr>
        <w:t>第三十</w:t>
      </w:r>
      <w:r>
        <w:rPr>
          <w:rFonts w:hint="eastAsia" w:ascii="黑体" w:hAnsi="黑体" w:eastAsia="黑体"/>
          <w:b/>
          <w:bCs/>
          <w:sz w:val="36"/>
          <w:szCs w:val="36"/>
        </w:rPr>
        <w:t>六</w:t>
      </w:r>
      <w:r>
        <w:rPr>
          <w:rFonts w:ascii="黑体" w:hAnsi="黑体" w:eastAsia="黑体"/>
          <w:b/>
          <w:bCs/>
          <w:sz w:val="36"/>
          <w:szCs w:val="36"/>
        </w:rPr>
        <w:t xml:space="preserve">号 </w:t>
      </w:r>
      <w:r>
        <w:rPr>
          <w:rFonts w:hint="eastAsia" w:ascii="黑体" w:hAnsi="黑体" w:eastAsia="黑体"/>
          <w:b/>
          <w:bCs/>
          <w:sz w:val="36"/>
          <w:szCs w:val="36"/>
        </w:rPr>
        <w:t>上市公司权益分派实施（结果）公告</w:t>
      </w: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仿宋_GB2312" w:hAnsi="黑体" w:eastAsia="仿宋_GB2312"/>
          <w:b/>
          <w:bCs/>
          <w:sz w:val="30"/>
          <w:szCs w:val="30"/>
        </w:rPr>
      </w:pPr>
    </w:p>
    <w:p>
      <w:pPr>
        <w:pStyle w:val="7"/>
        <w:ind w:left="0"/>
        <w:rPr>
          <w:rFonts w:ascii="仿宋_GB2312" w:eastAsia="仿宋_GB2312"/>
          <w:kern w:val="2"/>
          <w:sz w:val="30"/>
          <w:szCs w:val="30"/>
        </w:rPr>
      </w:pPr>
      <w:r>
        <w:rPr>
          <w:rFonts w:hint="eastAsia" w:ascii="仿宋_GB2312" w:hAnsi="黑体" w:eastAsia="仿宋_GB2312"/>
          <w:b/>
          <w:bCs/>
          <w:sz w:val="30"/>
          <w:szCs w:val="30"/>
        </w:rPr>
        <w:fldChar w:fldCharType="begin"/>
      </w:r>
      <w:r>
        <w:rPr>
          <w:rFonts w:hint="eastAsia" w:ascii="仿宋_GB2312" w:hAnsi="黑体" w:eastAsia="仿宋_GB2312"/>
          <w:b/>
          <w:bCs/>
          <w:sz w:val="30"/>
          <w:szCs w:val="30"/>
        </w:rPr>
        <w:instrText xml:space="preserve"> TOC \o "1-3" \h \z \u </w:instrText>
      </w:r>
      <w:r>
        <w:rPr>
          <w:rFonts w:hint="eastAsia" w:ascii="仿宋_GB2312" w:hAnsi="黑体" w:eastAsia="仿宋_GB2312"/>
          <w:b/>
          <w:bCs/>
          <w:sz w:val="30"/>
          <w:szCs w:val="30"/>
        </w:rPr>
        <w:fldChar w:fldCharType="separate"/>
      </w:r>
      <w:r>
        <w:fldChar w:fldCharType="begin"/>
      </w:r>
      <w:r>
        <w:instrText xml:space="preserve"> HYPERLINK \l "_Toc131775727" </w:instrText>
      </w:r>
      <w:r>
        <w:fldChar w:fldCharType="separate"/>
      </w:r>
      <w:r>
        <w:rPr>
          <w:rStyle w:val="17"/>
          <w:rFonts w:hint="eastAsia" w:ascii="仿宋_GB2312" w:eastAsia="仿宋_GB2312"/>
          <w:sz w:val="30"/>
          <w:szCs w:val="30"/>
        </w:rPr>
        <w:t>1.上市公司权益分派实施公告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_Toc131775727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p>
    <w:p>
      <w:pPr>
        <w:pStyle w:val="7"/>
        <w:ind w:left="0"/>
        <w:rPr>
          <w:rFonts w:ascii="仿宋_GB2312" w:eastAsia="仿宋_GB2312"/>
          <w:kern w:val="2"/>
          <w:sz w:val="30"/>
          <w:szCs w:val="30"/>
        </w:rPr>
      </w:pPr>
      <w:r>
        <w:fldChar w:fldCharType="begin"/>
      </w:r>
      <w:r>
        <w:instrText xml:space="preserve"> HYPERLINK \l "_Toc131775728" </w:instrText>
      </w:r>
      <w:r>
        <w:fldChar w:fldCharType="separate"/>
      </w:r>
      <w:r>
        <w:rPr>
          <w:rStyle w:val="17"/>
          <w:rFonts w:hint="eastAsia" w:ascii="仿宋_GB2312" w:eastAsia="仿宋_GB2312"/>
          <w:sz w:val="30"/>
          <w:szCs w:val="30"/>
        </w:rPr>
        <w:t>2.上市公司权益分派实施结果暨股份上市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_Toc131775728 \h </w:instrText>
      </w:r>
      <w:r>
        <w:rPr>
          <w:rFonts w:hint="eastAsia" w:ascii="仿宋_GB2312" w:eastAsia="仿宋_GB2312"/>
          <w:sz w:val="30"/>
          <w:szCs w:val="30"/>
        </w:rPr>
        <w:fldChar w:fldCharType="separate"/>
      </w:r>
      <w:r>
        <w:rPr>
          <w:rFonts w:ascii="仿宋_GB2312" w:eastAsia="仿宋_GB2312"/>
          <w:sz w:val="30"/>
          <w:szCs w:val="30"/>
        </w:rPr>
        <w:t>8</w:t>
      </w:r>
      <w:r>
        <w:rPr>
          <w:rFonts w:hint="eastAsia" w:ascii="仿宋_GB2312" w:eastAsia="仿宋_GB2312"/>
          <w:sz w:val="30"/>
          <w:szCs w:val="30"/>
        </w:rPr>
        <w:fldChar w:fldCharType="end"/>
      </w:r>
      <w:r>
        <w:rPr>
          <w:rFonts w:hint="eastAsia" w:ascii="仿宋_GB2312" w:eastAsia="仿宋_GB2312"/>
          <w:sz w:val="30"/>
          <w:szCs w:val="30"/>
        </w:rPr>
        <w:fldChar w:fldCharType="end"/>
      </w:r>
    </w:p>
    <w:p>
      <w:pPr>
        <w:jc w:val="center"/>
        <w:rPr>
          <w:rFonts w:ascii="仿宋_GB2312" w:hAnsi="黑体" w:eastAsia="仿宋_GB2312"/>
          <w:b/>
          <w:bCs/>
          <w:sz w:val="30"/>
          <w:szCs w:val="30"/>
        </w:rPr>
      </w:pPr>
      <w:r>
        <w:rPr>
          <w:rFonts w:hint="eastAsia" w:ascii="仿宋_GB2312" w:hAnsi="黑体" w:eastAsia="仿宋_GB2312"/>
          <w:b/>
          <w:bCs/>
          <w:sz w:val="30"/>
          <w:szCs w:val="30"/>
        </w:rPr>
        <w:fldChar w:fldCharType="end"/>
      </w:r>
    </w:p>
    <w:p>
      <w:pP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jc w:val="center"/>
        <w:rPr>
          <w:rFonts w:ascii="黑体" w:hAnsi="黑体" w:eastAsia="黑体"/>
          <w:b/>
          <w:bCs/>
          <w:sz w:val="36"/>
          <w:szCs w:val="36"/>
        </w:rPr>
      </w:pPr>
    </w:p>
    <w:p>
      <w:pPr>
        <w:pStyle w:val="3"/>
        <w:rPr>
          <w:sz w:val="32"/>
          <w:szCs w:val="32"/>
        </w:rPr>
      </w:pPr>
      <w:bookmarkStart w:id="0" w:name="_Toc131775727"/>
      <w:r>
        <w:rPr>
          <w:sz w:val="32"/>
          <w:szCs w:val="32"/>
        </w:rPr>
        <w:t>1.上市公司权益分派实施公告</w:t>
      </w:r>
      <w:bookmarkEnd w:id="0"/>
    </w:p>
    <w:p>
      <w:pPr>
        <w:adjustRightInd w:val="0"/>
        <w:snapToGrid w:val="0"/>
        <w:spacing w:line="560" w:lineRule="exact"/>
        <w:jc w:val="center"/>
        <w:rPr>
          <w:rFonts w:ascii="Times New Roman" w:hAnsi="Times New Roman" w:eastAsia="楷体"/>
          <w:sz w:val="28"/>
          <w:szCs w:val="28"/>
        </w:rPr>
      </w:pPr>
      <w:r>
        <w:rPr>
          <w:rFonts w:ascii="Times New Roman" w:hAnsi="Times New Roman" w:eastAsia="楷体"/>
          <w:kern w:val="0"/>
          <w:sz w:val="28"/>
          <w:szCs w:val="28"/>
        </w:rPr>
        <w:t>（*本公告应当使用本所公告编制软件编制）</w:t>
      </w:r>
    </w:p>
    <w:p>
      <w:pPr>
        <w:spacing w:line="560" w:lineRule="exact"/>
        <w:rPr>
          <w:rFonts w:ascii="Times New Roman" w:hAnsi="Times New Roman" w:eastAsia="仿宋_GB2312"/>
          <w:sz w:val="30"/>
          <w:szCs w:val="30"/>
        </w:rPr>
      </w:pPr>
    </w:p>
    <w:p>
      <w:pPr>
        <w:spacing w:line="560" w:lineRule="exact"/>
        <w:rPr>
          <w:rFonts w:ascii="Times New Roman" w:hAnsi="Times New Roman" w:eastAsia="仿宋_GB2312"/>
          <w:sz w:val="30"/>
          <w:szCs w:val="30"/>
        </w:rPr>
      </w:pPr>
      <w:r>
        <w:rPr>
          <w:rFonts w:hint="eastAsia" w:ascii="Times New Roman" w:hAnsi="Times New Roman" w:eastAsia="仿宋_GB2312"/>
          <w:sz w:val="30"/>
          <w:szCs w:val="30"/>
        </w:rPr>
        <w:t>适用情形：</w:t>
      </w:r>
    </w:p>
    <w:p>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上市公司普通股和特别表决权股份权益分派（包括派发现金红利、送股、公积金转增股本），以及权益分派新增无限售流通股上市，需履行信息披露义务，适用本指引。</w:t>
      </w:r>
    </w:p>
    <w:p>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上市公司优先股权益分派、可转换公司债券与公司债券付息，不适用本指引。</w:t>
      </w:r>
    </w:p>
    <w:p>
      <w:pPr>
        <w:spacing w:line="560" w:lineRule="exact"/>
        <w:rPr>
          <w:rFonts w:ascii="Times New Roman" w:hAnsi="Times New Roman" w:eastAsia="仿宋_GB2312"/>
          <w:sz w:val="30"/>
          <w:szCs w:val="30"/>
        </w:rPr>
      </w:pPr>
    </w:p>
    <w:p>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pPr>
        <w:adjustRightInd w:val="0"/>
        <w:snapToGrid w:val="0"/>
        <w:spacing w:line="560" w:lineRule="exact"/>
        <w:jc w:val="center"/>
        <w:rPr>
          <w:rFonts w:ascii="Times New Roman" w:hAnsi="Times New Roman" w:eastAsia="仿宋_GB2312"/>
          <w:color w:val="000000"/>
          <w:sz w:val="30"/>
          <w:szCs w:val="30"/>
        </w:rPr>
      </w:pPr>
    </w:p>
    <w:p>
      <w:pPr>
        <w:snapToGrid w:val="0"/>
        <w:spacing w:line="560" w:lineRule="exact"/>
        <w:jc w:val="center"/>
        <w:rPr>
          <w:rFonts w:ascii="仿宋_GB2312" w:hAnsi="Times New Roman" w:eastAsia="仿宋_GB2312"/>
          <w:kern w:val="0"/>
          <w:sz w:val="30"/>
          <w:szCs w:val="30"/>
        </w:rPr>
      </w:pPr>
      <w:r>
        <w:rPr>
          <w:rFonts w:hint="eastAsia" w:ascii="仿宋_GB2312" w:hAnsi="Times New Roman" w:eastAsia="仿宋_GB2312"/>
          <w:color w:val="000000"/>
          <w:sz w:val="30"/>
          <w:szCs w:val="30"/>
        </w:rPr>
        <w:t>XXXX股份有限公司XXXX年XX权益分派实施公告</w:t>
      </w:r>
    </w:p>
    <w:p>
      <w:pPr>
        <w:snapToGrid w:val="0"/>
        <w:spacing w:line="560" w:lineRule="exact"/>
        <w:jc w:val="center"/>
        <w:rPr>
          <w:rFonts w:ascii="Times New Roman" w:hAnsi="Times New Roman"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Times New Roman" w:hAnsi="Times New Roman" w:eastAsia="仿宋_GB2312"/>
          <w:sz w:val="30"/>
          <w:szCs w:val="30"/>
        </w:rPr>
      </w:pPr>
    </w:p>
    <w:p>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pPr>
        <w:pStyle w:val="20"/>
        <w:numPr>
          <w:ilvl w:val="0"/>
          <w:numId w:val="1"/>
        </w:numPr>
        <w:adjustRightInd w:val="0"/>
        <w:snapToGrid w:val="0"/>
        <w:spacing w:line="560" w:lineRule="exact"/>
        <w:ind w:firstLineChars="0"/>
        <w:rPr>
          <w:rFonts w:ascii="仿宋_GB2312" w:hAnsi="Times New Roman" w:eastAsia="仿宋_GB2312"/>
          <w:sz w:val="30"/>
          <w:szCs w:val="30"/>
        </w:rPr>
      </w:pPr>
      <w:r>
        <w:rPr>
          <w:rFonts w:hint="eastAsia" w:ascii="仿宋_GB2312" w:hAnsi="宋体" w:eastAsia="仿宋_GB2312" w:cs="宋体"/>
          <w:color w:val="000000"/>
          <w:kern w:val="0"/>
          <w:sz w:val="30"/>
          <w:szCs w:val="30"/>
        </w:rPr>
        <w:t>首发战略配售股份是否已全部上市流通：是或否（如为“是”，则应当披露</w:t>
      </w:r>
      <w:r>
        <w:rPr>
          <w:rFonts w:hint="eastAsia" w:ascii="仿宋_GB2312" w:hAnsi="宋体" w:eastAsia="仿宋_GB2312"/>
          <w:sz w:val="30"/>
          <w:szCs w:val="30"/>
        </w:rPr>
        <w:t>本次权益分派新增无限售条件流通股为</w:t>
      </w:r>
      <w:r>
        <w:rPr>
          <w:rFonts w:hint="eastAsia" w:ascii="仿宋_GB2312" w:hAnsi="宋体" w:eastAsia="仿宋_GB2312" w:cs="宋体"/>
          <w:color w:val="000000"/>
          <w:kern w:val="0"/>
          <w:sz w:val="30"/>
          <w:szCs w:val="30"/>
        </w:rPr>
        <w:t>xxx,xxx,xxx</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sz w:val="30"/>
          <w:szCs w:val="30"/>
        </w:rPr>
        <w:t>每股分配比例，每股转增比例</w:t>
      </w:r>
    </w:p>
    <w:p>
      <w:pPr>
        <w:pStyle w:val="20"/>
        <w:adjustRightInd w:val="0"/>
        <w:snapToGrid w:val="0"/>
        <w:spacing w:line="560" w:lineRule="exact"/>
        <w:ind w:left="1020" w:firstLine="0" w:firstLineChars="0"/>
        <w:rPr>
          <w:rFonts w:ascii="仿宋_GB2312" w:hAnsi="Times New Roman" w:eastAsia="仿宋_GB2312"/>
          <w:sz w:val="30"/>
          <w:szCs w:val="30"/>
        </w:rPr>
      </w:pPr>
      <w:r>
        <w:rPr>
          <w:rFonts w:hint="eastAsia" w:ascii="仿宋_GB2312" w:hAnsi="Times New Roman" w:eastAsia="仿宋_GB2312"/>
          <w:sz w:val="30"/>
          <w:szCs w:val="30"/>
        </w:rPr>
        <w:t>A股每股现金红利</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元，B股每股现金红利</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美元</w:t>
      </w:r>
    </w:p>
    <w:p>
      <w:pPr>
        <w:adjustRightInd w:val="0"/>
        <w:snapToGrid w:val="0"/>
        <w:spacing w:line="560" w:lineRule="exact"/>
        <w:ind w:left="481" w:leftChars="229" w:firstLine="600" w:firstLineChars="200"/>
        <w:rPr>
          <w:rFonts w:ascii="仿宋_GB2312" w:hAnsi="Times New Roman" w:eastAsia="仿宋_GB2312"/>
          <w:sz w:val="30"/>
          <w:szCs w:val="30"/>
        </w:rPr>
      </w:pPr>
      <w:r>
        <w:rPr>
          <w:rFonts w:hint="eastAsia" w:ascii="仿宋_GB2312" w:hAnsi="Times New Roman" w:eastAsia="仿宋_GB2312"/>
          <w:sz w:val="30"/>
          <w:szCs w:val="30"/>
        </w:rPr>
        <w:t>每股派送红股</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股，每股转增</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股</w:t>
      </w:r>
    </w:p>
    <w:p>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sz w:val="30"/>
          <w:szCs w:val="30"/>
        </w:rPr>
        <w:t>相关日期</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3"/>
        <w:gridCol w:w="1420"/>
        <w:gridCol w:w="1421"/>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9" w:type="pct"/>
          </w:tcPr>
          <w:p>
            <w:pPr>
              <w:widowControl/>
              <w:adjustRightInd w:val="0"/>
              <w:snapToGrid w:val="0"/>
              <w:spacing w:before="468" w:beforeLines="150"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股份类别</w:t>
            </w:r>
          </w:p>
        </w:tc>
        <w:tc>
          <w:tcPr>
            <w:tcW w:w="688" w:type="pct"/>
          </w:tcPr>
          <w:p>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kern w:val="0"/>
                <w:sz w:val="24"/>
                <w:szCs w:val="24"/>
              </w:rPr>
              <w:t>股权登记日</w:t>
            </w:r>
          </w:p>
        </w:tc>
        <w:tc>
          <w:tcPr>
            <w:tcW w:w="833" w:type="pct"/>
          </w:tcPr>
          <w:p>
            <w:pPr>
              <w:widowControl/>
              <w:adjustRightInd w:val="0"/>
              <w:snapToGrid w:val="0"/>
              <w:spacing w:before="468" w:beforeLines="150"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最后交易日</w:t>
            </w:r>
          </w:p>
        </w:tc>
        <w:tc>
          <w:tcPr>
            <w:tcW w:w="834" w:type="pct"/>
          </w:tcPr>
          <w:p>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kern w:val="0"/>
                <w:sz w:val="24"/>
                <w:szCs w:val="24"/>
              </w:rPr>
              <w:t>除权（息）日</w:t>
            </w:r>
          </w:p>
        </w:tc>
        <w:tc>
          <w:tcPr>
            <w:tcW w:w="833" w:type="pct"/>
          </w:tcPr>
          <w:p>
            <w:pPr>
              <w:widowControl/>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sz w:val="24"/>
                <w:szCs w:val="24"/>
              </w:rPr>
              <w:t>新增无限售条件流通股份上市日</w:t>
            </w:r>
          </w:p>
        </w:tc>
        <w:tc>
          <w:tcPr>
            <w:tcW w:w="833" w:type="pct"/>
          </w:tcPr>
          <w:p>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现金红利发放日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Ａ股</w:t>
            </w:r>
          </w:p>
        </w:tc>
        <w:tc>
          <w:tcPr>
            <w:tcW w:w="688" w:type="pct"/>
          </w:tcPr>
          <w:p>
            <w:pPr>
              <w:adjustRightInd w:val="0"/>
              <w:snapToGrid w:val="0"/>
              <w:spacing w:line="560" w:lineRule="exact"/>
              <w:jc w:val="right"/>
              <w:rPr>
                <w:rFonts w:ascii="Times New Roman" w:hAnsi="Times New Roman" w:eastAsia="仿宋_GB2312"/>
                <w:sz w:val="24"/>
                <w:szCs w:val="24"/>
              </w:rPr>
            </w:pPr>
          </w:p>
        </w:tc>
        <w:tc>
          <w:tcPr>
            <w:tcW w:w="833" w:type="pct"/>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w:t>
            </w:r>
          </w:p>
        </w:tc>
        <w:tc>
          <w:tcPr>
            <w:tcW w:w="834" w:type="pct"/>
          </w:tcPr>
          <w:p>
            <w:pPr>
              <w:adjustRightInd w:val="0"/>
              <w:snapToGrid w:val="0"/>
              <w:spacing w:line="560" w:lineRule="exact"/>
              <w:jc w:val="right"/>
              <w:rPr>
                <w:rFonts w:ascii="Times New Roman" w:hAnsi="Times New Roman" w:eastAsia="仿宋"/>
                <w:kern w:val="0"/>
                <w:sz w:val="24"/>
                <w:szCs w:val="24"/>
              </w:rPr>
            </w:pPr>
          </w:p>
        </w:tc>
        <w:tc>
          <w:tcPr>
            <w:tcW w:w="833" w:type="pct"/>
          </w:tcPr>
          <w:p>
            <w:pPr>
              <w:adjustRightInd w:val="0"/>
              <w:snapToGrid w:val="0"/>
              <w:spacing w:line="560" w:lineRule="exact"/>
              <w:jc w:val="right"/>
              <w:rPr>
                <w:rFonts w:ascii="Times New Roman" w:hAnsi="Times New Roman" w:eastAsia="仿宋_GB2312"/>
                <w:kern w:val="0"/>
                <w:sz w:val="24"/>
                <w:szCs w:val="24"/>
              </w:rPr>
            </w:pPr>
          </w:p>
        </w:tc>
        <w:tc>
          <w:tcPr>
            <w:tcW w:w="833" w:type="pct"/>
          </w:tcPr>
          <w:p>
            <w:pPr>
              <w:adjustRightInd w:val="0"/>
              <w:snapToGrid w:val="0"/>
              <w:spacing w:line="560" w:lineRule="exact"/>
              <w:jc w:val="right"/>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pPr>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Ｂ股（如适用）</w:t>
            </w:r>
          </w:p>
        </w:tc>
        <w:tc>
          <w:tcPr>
            <w:tcW w:w="688" w:type="pct"/>
          </w:tcPr>
          <w:p>
            <w:pPr>
              <w:adjustRightInd w:val="0"/>
              <w:snapToGrid w:val="0"/>
              <w:spacing w:line="560" w:lineRule="exact"/>
              <w:jc w:val="right"/>
              <w:rPr>
                <w:rFonts w:ascii="Times New Roman" w:hAnsi="Times New Roman" w:eastAsia="仿宋_GB2312"/>
                <w:sz w:val="24"/>
                <w:szCs w:val="24"/>
              </w:rPr>
            </w:pPr>
          </w:p>
        </w:tc>
        <w:tc>
          <w:tcPr>
            <w:tcW w:w="833" w:type="pct"/>
          </w:tcPr>
          <w:p>
            <w:pPr>
              <w:adjustRightInd w:val="0"/>
              <w:snapToGrid w:val="0"/>
              <w:spacing w:line="560" w:lineRule="exact"/>
              <w:jc w:val="center"/>
              <w:rPr>
                <w:rFonts w:ascii="Times New Roman" w:hAnsi="Times New Roman" w:eastAsia="仿宋_GB2312"/>
                <w:kern w:val="0"/>
                <w:sz w:val="24"/>
                <w:szCs w:val="24"/>
              </w:rPr>
            </w:pPr>
          </w:p>
        </w:tc>
        <w:tc>
          <w:tcPr>
            <w:tcW w:w="834" w:type="pct"/>
          </w:tcPr>
          <w:p>
            <w:pPr>
              <w:adjustRightInd w:val="0"/>
              <w:snapToGrid w:val="0"/>
              <w:spacing w:line="560" w:lineRule="exact"/>
              <w:jc w:val="right"/>
              <w:rPr>
                <w:rFonts w:ascii="Times New Roman" w:hAnsi="Times New Roman" w:eastAsia="仿宋"/>
                <w:kern w:val="0"/>
                <w:sz w:val="24"/>
                <w:szCs w:val="24"/>
              </w:rPr>
            </w:pPr>
          </w:p>
        </w:tc>
        <w:tc>
          <w:tcPr>
            <w:tcW w:w="833" w:type="pct"/>
          </w:tcPr>
          <w:p>
            <w:pPr>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833" w:type="pct"/>
          </w:tcPr>
          <w:p>
            <w:pPr>
              <w:adjustRightInd w:val="0"/>
              <w:snapToGrid w:val="0"/>
              <w:spacing w:line="560" w:lineRule="exact"/>
              <w:jc w:val="right"/>
              <w:rPr>
                <w:rFonts w:ascii="Times New Roman" w:hAnsi="Times New Roman" w:eastAsia="仿宋_GB2312"/>
                <w:kern w:val="0"/>
                <w:sz w:val="24"/>
                <w:szCs w:val="24"/>
              </w:rPr>
            </w:pPr>
          </w:p>
        </w:tc>
      </w:tr>
    </w:tbl>
    <w:p>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color w:val="000000"/>
          <w:sz w:val="30"/>
          <w:szCs w:val="30"/>
        </w:rPr>
        <w:t>差异化分红送转：是或否</w:t>
      </w:r>
    </w:p>
    <w:p>
      <w:pPr>
        <w:autoSpaceDE w:val="0"/>
        <w:autoSpaceDN w:val="0"/>
        <w:adjustRightInd w:val="0"/>
        <w:spacing w:line="560" w:lineRule="exact"/>
        <w:ind w:firstLine="576" w:firstLineChars="192"/>
        <w:jc w:val="left"/>
        <w:rPr>
          <w:rFonts w:ascii="Times New Roman" w:hAnsi="Times New Roman" w:eastAsia="仿宋_GB2312"/>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一、通过分配、转增股本方案的股东会届次和日期</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本次利润分配及转增股本方案经公司****年**月**日的****年年度（第*次临时）股东会审议通过。</w:t>
      </w:r>
    </w:p>
    <w:p>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（股东会通过分配、转增股本方案2个月内未实施方案的，公司董事会应当说明原因并向股东致歉。）</w:t>
      </w:r>
    </w:p>
    <w:p>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p>
    <w:p>
      <w:pPr>
        <w:autoSpaceDE w:val="0"/>
        <w:autoSpaceDN w:val="0"/>
        <w:adjustRightInd w:val="0"/>
        <w:spacing w:line="560" w:lineRule="exact"/>
        <w:ind w:firstLine="578" w:firstLineChars="192"/>
        <w:jc w:val="left"/>
        <w:rPr>
          <w:rFonts w:ascii="Times New Roman" w:hAnsi="Times New Roman" w:eastAsia="黑体"/>
          <w:b/>
          <w:color w:val="000000"/>
          <w:kern w:val="0"/>
          <w:sz w:val="30"/>
          <w:szCs w:val="30"/>
        </w:rPr>
      </w:pPr>
      <w:r>
        <w:rPr>
          <w:rFonts w:ascii="Times New Roman" w:hAnsi="Times New Roman" w:eastAsia="黑体"/>
          <w:b/>
          <w:color w:val="000000"/>
          <w:kern w:val="0"/>
          <w:sz w:val="30"/>
          <w:szCs w:val="30"/>
        </w:rPr>
        <w:t>二、分配、转增股本方案</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w:t>
      </w:r>
      <w:r>
        <w:rPr>
          <w:rFonts w:ascii="Times New Roman" w:hAnsi="Times New Roman" w:eastAsia="仿宋_GB2312"/>
          <w:color w:val="000000"/>
          <w:sz w:val="30"/>
          <w:szCs w:val="30"/>
        </w:rPr>
        <w:t>发放年度</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****年度（中期）。</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w:t>
      </w:r>
      <w:r>
        <w:rPr>
          <w:rFonts w:ascii="Times New Roman" w:hAnsi="Times New Roman" w:eastAsia="仿宋_GB2312"/>
          <w:color w:val="000000"/>
          <w:sz w:val="30"/>
          <w:szCs w:val="30"/>
        </w:rPr>
        <w:t>分派对象</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截至股权登记日下午上海证券交易所收市后，在中国证券登记结算有限责任公司上海分公司（以下简称中国结算上海分公司）登记在册的本公司全体股东。（如涉及差异化权益分派，需明确不参与本次分派的股东或账户，如回购账户等。）</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w:t>
      </w:r>
      <w:r>
        <w:rPr>
          <w:rFonts w:ascii="Times New Roman" w:hAnsi="Times New Roman" w:eastAsia="仿宋_GB2312"/>
          <w:color w:val="000000"/>
          <w:sz w:val="30"/>
          <w:szCs w:val="30"/>
        </w:rPr>
        <w:t>分配方案</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次利润分配及转增股本以方案实施前的公司总股本__为基数，向全体股东每股派发现金红利__元，每股派送红股__股，以资本公积金向全体股东每股转增__股，共计派发现金红利__元，派送红股__股，转增__股，本次分配后总股本为__股。</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（四）</w:t>
      </w:r>
      <w:r>
        <w:rPr>
          <w:rFonts w:ascii="Times New Roman" w:hAnsi="Times New Roman" w:eastAsia="仿宋_GB2312"/>
          <w:color w:val="000000"/>
          <w:sz w:val="30"/>
          <w:szCs w:val="30"/>
        </w:rPr>
        <w:t>差异化分红送转方案</w:t>
      </w:r>
    </w:p>
    <w:p>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若存在差异化分红送转方案，应当就具体的分派情况和除权除息方法进行说明。</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5.特别表决权股份数量及其权益变动。</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若公司存在特别表决权股份，应当就本次权益分派方案对特别表决权股份数量和其代表权益的具体影响进行说明。</w:t>
      </w:r>
    </w:p>
    <w:p>
      <w:pPr>
        <w:adjustRightInd w:val="0"/>
        <w:snapToGrid w:val="0"/>
        <w:spacing w:line="600" w:lineRule="exact"/>
        <w:ind w:firstLine="482" w:firstLineChars="200"/>
        <w:jc w:val="center"/>
        <w:rPr>
          <w:rFonts w:ascii="黑体" w:hAnsi="黑体" w:eastAsia="黑体"/>
          <w:b/>
          <w:sz w:val="24"/>
        </w:rPr>
      </w:pPr>
      <w:r>
        <w:rPr>
          <w:rFonts w:hint="eastAsia" w:ascii="黑体" w:hAnsi="黑体" w:eastAsia="黑体"/>
          <w:b/>
          <w:sz w:val="24"/>
        </w:rPr>
        <w:t>特别表决权股份数量及其权益变动情况（如适用）</w:t>
      </w:r>
    </w:p>
    <w:tbl>
      <w:tblPr>
        <w:tblStyle w:val="14"/>
        <w:tblW w:w="5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4"/>
        <w:gridCol w:w="1417"/>
        <w:gridCol w:w="1515"/>
        <w:gridCol w:w="1274"/>
        <w:gridCol w:w="1322"/>
        <w:gridCol w:w="1415"/>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561" w:type="pct"/>
            <w:vMerge w:val="restar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特别表决权股东名称</w:t>
            </w:r>
          </w:p>
        </w:tc>
        <w:tc>
          <w:tcPr>
            <w:tcW w:w="2304" w:type="pct"/>
            <w:gridSpan w:val="3"/>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2135" w:type="pct"/>
            <w:gridSpan w:val="3"/>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561" w:type="pct"/>
            <w:vMerge w:val="continue"/>
            <w:vAlign w:val="center"/>
          </w:tcPr>
          <w:p>
            <w:pPr>
              <w:adjustRightInd w:val="0"/>
              <w:snapToGrid w:val="0"/>
              <w:rPr>
                <w:rFonts w:ascii="仿宋_GB2312" w:hAnsi="宋体" w:eastAsia="仿宋_GB2312"/>
                <w:sz w:val="24"/>
              </w:rPr>
            </w:pPr>
          </w:p>
        </w:tc>
        <w:tc>
          <w:tcPr>
            <w:tcW w:w="776" w:type="pc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830" w:type="pc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98" w:type="pc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c>
          <w:tcPr>
            <w:tcW w:w="724" w:type="pc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75" w:type="pc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36" w:type="pct"/>
            <w:vAlign w:val="center"/>
          </w:tcPr>
          <w:p>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561" w:type="pct"/>
            <w:vAlign w:val="center"/>
          </w:tcPr>
          <w:p>
            <w:pPr>
              <w:adjustRightInd w:val="0"/>
              <w:snapToGrid w:val="0"/>
              <w:rPr>
                <w:rFonts w:ascii="仿宋_GB2312" w:hAnsi="宋体" w:eastAsia="仿宋_GB2312"/>
              </w:rPr>
            </w:pPr>
          </w:p>
        </w:tc>
        <w:tc>
          <w:tcPr>
            <w:tcW w:w="776" w:type="pct"/>
            <w:vAlign w:val="center"/>
          </w:tcPr>
          <w:p>
            <w:pPr>
              <w:adjustRightInd w:val="0"/>
              <w:snapToGrid w:val="0"/>
              <w:rPr>
                <w:rFonts w:ascii="仿宋_GB2312" w:hAnsi="宋体" w:eastAsia="仿宋_GB2312"/>
              </w:rPr>
            </w:pPr>
          </w:p>
        </w:tc>
        <w:tc>
          <w:tcPr>
            <w:tcW w:w="830" w:type="pct"/>
            <w:vAlign w:val="center"/>
          </w:tcPr>
          <w:p>
            <w:pPr>
              <w:adjustRightInd w:val="0"/>
              <w:snapToGrid w:val="0"/>
              <w:rPr>
                <w:rFonts w:ascii="仿宋_GB2312" w:hAnsi="宋体" w:eastAsia="仿宋_GB2312"/>
              </w:rPr>
            </w:pPr>
          </w:p>
        </w:tc>
        <w:tc>
          <w:tcPr>
            <w:tcW w:w="698" w:type="pct"/>
          </w:tcPr>
          <w:p>
            <w:pPr>
              <w:adjustRightInd w:val="0"/>
              <w:snapToGrid w:val="0"/>
              <w:rPr>
                <w:rFonts w:ascii="仿宋_GB2312" w:hAnsi="宋体" w:eastAsia="仿宋_GB2312"/>
              </w:rPr>
            </w:pPr>
          </w:p>
        </w:tc>
        <w:tc>
          <w:tcPr>
            <w:tcW w:w="724" w:type="pct"/>
            <w:vAlign w:val="center"/>
          </w:tcPr>
          <w:p>
            <w:pPr>
              <w:adjustRightInd w:val="0"/>
              <w:snapToGrid w:val="0"/>
              <w:rPr>
                <w:rFonts w:ascii="仿宋_GB2312" w:hAnsi="宋体" w:eastAsia="仿宋_GB2312"/>
              </w:rPr>
            </w:pPr>
          </w:p>
        </w:tc>
        <w:tc>
          <w:tcPr>
            <w:tcW w:w="775" w:type="pct"/>
            <w:vAlign w:val="center"/>
          </w:tcPr>
          <w:p>
            <w:pPr>
              <w:adjustRightInd w:val="0"/>
              <w:snapToGrid w:val="0"/>
              <w:rPr>
                <w:rFonts w:ascii="仿宋_GB2312" w:hAnsi="宋体" w:eastAsia="仿宋_GB2312"/>
              </w:rPr>
            </w:pPr>
          </w:p>
        </w:tc>
        <w:tc>
          <w:tcPr>
            <w:tcW w:w="636" w:type="pct"/>
          </w:tcPr>
          <w:p>
            <w:pPr>
              <w:adjustRightInd w:val="0"/>
              <w:snapToGrid w:val="0"/>
              <w:rPr>
                <w:rFonts w:ascii="仿宋_GB2312" w:hAnsi="宋体"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1" w:type="pct"/>
            <w:vAlign w:val="center"/>
          </w:tcPr>
          <w:p>
            <w:pPr>
              <w:adjustRightInd w:val="0"/>
              <w:snapToGrid w:val="0"/>
              <w:rPr>
                <w:rFonts w:ascii="仿宋_GB2312" w:hAnsi="宋体" w:eastAsia="仿宋_GB2312"/>
              </w:rPr>
            </w:pPr>
          </w:p>
        </w:tc>
        <w:tc>
          <w:tcPr>
            <w:tcW w:w="776" w:type="pct"/>
            <w:vAlign w:val="center"/>
          </w:tcPr>
          <w:p>
            <w:pPr>
              <w:adjustRightInd w:val="0"/>
              <w:snapToGrid w:val="0"/>
              <w:rPr>
                <w:rFonts w:ascii="仿宋_GB2312" w:hAnsi="宋体" w:eastAsia="仿宋_GB2312"/>
              </w:rPr>
            </w:pPr>
          </w:p>
        </w:tc>
        <w:tc>
          <w:tcPr>
            <w:tcW w:w="830" w:type="pct"/>
            <w:vAlign w:val="center"/>
          </w:tcPr>
          <w:p>
            <w:pPr>
              <w:adjustRightInd w:val="0"/>
              <w:snapToGrid w:val="0"/>
              <w:rPr>
                <w:rFonts w:ascii="仿宋_GB2312" w:hAnsi="宋体" w:eastAsia="仿宋_GB2312"/>
              </w:rPr>
            </w:pPr>
          </w:p>
        </w:tc>
        <w:tc>
          <w:tcPr>
            <w:tcW w:w="698" w:type="pct"/>
          </w:tcPr>
          <w:p>
            <w:pPr>
              <w:adjustRightInd w:val="0"/>
              <w:snapToGrid w:val="0"/>
              <w:rPr>
                <w:rFonts w:ascii="仿宋_GB2312" w:hAnsi="宋体" w:eastAsia="仿宋_GB2312"/>
              </w:rPr>
            </w:pPr>
          </w:p>
        </w:tc>
        <w:tc>
          <w:tcPr>
            <w:tcW w:w="724" w:type="pct"/>
            <w:vAlign w:val="center"/>
          </w:tcPr>
          <w:p>
            <w:pPr>
              <w:adjustRightInd w:val="0"/>
              <w:snapToGrid w:val="0"/>
              <w:rPr>
                <w:rFonts w:ascii="仿宋_GB2312" w:hAnsi="宋体" w:eastAsia="仿宋_GB2312"/>
              </w:rPr>
            </w:pPr>
          </w:p>
        </w:tc>
        <w:tc>
          <w:tcPr>
            <w:tcW w:w="775" w:type="pct"/>
            <w:vAlign w:val="center"/>
          </w:tcPr>
          <w:p>
            <w:pPr>
              <w:adjustRightInd w:val="0"/>
              <w:snapToGrid w:val="0"/>
              <w:rPr>
                <w:rFonts w:ascii="仿宋_GB2312" w:hAnsi="宋体" w:eastAsia="仿宋_GB2312"/>
              </w:rPr>
            </w:pPr>
          </w:p>
        </w:tc>
        <w:tc>
          <w:tcPr>
            <w:tcW w:w="636" w:type="pct"/>
          </w:tcPr>
          <w:p>
            <w:pPr>
              <w:adjustRightInd w:val="0"/>
              <w:snapToGrid w:val="0"/>
              <w:rPr>
                <w:rFonts w:ascii="仿宋_GB2312" w:hAnsi="宋体" w:eastAsia="仿宋_GB2312"/>
              </w:rPr>
            </w:pPr>
          </w:p>
        </w:tc>
      </w:tr>
    </w:tbl>
    <w:p>
      <w:pPr>
        <w:widowControl/>
        <w:ind w:firstLine="480" w:firstLineChars="200"/>
        <w:rPr>
          <w:rFonts w:ascii="仿宋_GB2312" w:hAnsi="宋体" w:eastAsia="仿宋_GB2312" w:cs="宋体"/>
          <w:color w:val="000000"/>
          <w:kern w:val="0"/>
          <w:sz w:val="24"/>
        </w:rPr>
      </w:pPr>
      <w:bookmarkStart w:id="1" w:name="OLE_LINK2"/>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bookmarkEnd w:id="1"/>
    <w:p>
      <w:pPr>
        <w:autoSpaceDE w:val="0"/>
        <w:autoSpaceDN w:val="0"/>
        <w:adjustRightInd w:val="0"/>
        <w:spacing w:line="560" w:lineRule="exact"/>
        <w:ind w:firstLine="600" w:firstLineChars="200"/>
        <w:rPr>
          <w:rFonts w:ascii="Times New Roman" w:hAnsi="Times New Roman" w:eastAsia="仿宋_GB2312"/>
          <w:color w:val="00000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三、相关日期</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3"/>
        <w:gridCol w:w="1420"/>
        <w:gridCol w:w="1421"/>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9" w:type="pct"/>
          </w:tcPr>
          <w:p>
            <w:pPr>
              <w:widowControl/>
              <w:adjustRightInd w:val="0"/>
              <w:snapToGrid w:val="0"/>
              <w:spacing w:before="468" w:beforeLines="150"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股份类别</w:t>
            </w:r>
          </w:p>
        </w:tc>
        <w:tc>
          <w:tcPr>
            <w:tcW w:w="688" w:type="pct"/>
          </w:tcPr>
          <w:p>
            <w:pPr>
              <w:widowControl/>
              <w:adjustRightInd w:val="0"/>
              <w:snapToGrid w:val="0"/>
              <w:spacing w:before="468" w:beforeLines="150" w:after="156" w:afterLines="50"/>
              <w:ind w:left="210" w:leftChars="100"/>
              <w:jc w:val="center"/>
              <w:rPr>
                <w:rFonts w:ascii="Times New Roman" w:hAnsi="Times New Roman" w:eastAsia="仿宋_GB2312"/>
                <w:kern w:val="0"/>
                <w:sz w:val="24"/>
                <w:szCs w:val="24"/>
              </w:rPr>
            </w:pPr>
            <w:r>
              <w:rPr>
                <w:rFonts w:ascii="Times New Roman" w:hAnsi="Times New Roman" w:eastAsia="仿宋_GB2312"/>
                <w:kern w:val="0"/>
                <w:sz w:val="24"/>
                <w:szCs w:val="24"/>
              </w:rPr>
              <w:t>股权登记日</w:t>
            </w:r>
          </w:p>
        </w:tc>
        <w:tc>
          <w:tcPr>
            <w:tcW w:w="833" w:type="pct"/>
          </w:tcPr>
          <w:p>
            <w:pPr>
              <w:widowControl/>
              <w:adjustRightInd w:val="0"/>
              <w:snapToGrid w:val="0"/>
              <w:spacing w:before="468" w:beforeLines="150"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最后交易日</w:t>
            </w:r>
          </w:p>
        </w:tc>
        <w:tc>
          <w:tcPr>
            <w:tcW w:w="834" w:type="pct"/>
          </w:tcPr>
          <w:p>
            <w:pPr>
              <w:widowControl/>
              <w:adjustRightInd w:val="0"/>
              <w:snapToGrid w:val="0"/>
              <w:spacing w:before="468" w:beforeLines="150" w:after="156" w:afterLines="50"/>
              <w:jc w:val="center"/>
              <w:rPr>
                <w:rFonts w:ascii="Times New Roman" w:hAnsi="Times New Roman" w:eastAsia="仿宋_GB2312"/>
                <w:kern w:val="0"/>
                <w:sz w:val="24"/>
                <w:szCs w:val="24"/>
              </w:rPr>
            </w:pPr>
            <w:r>
              <w:rPr>
                <w:rFonts w:ascii="Times New Roman" w:hAnsi="Times New Roman" w:eastAsia="仿宋_GB2312"/>
                <w:kern w:val="0"/>
                <w:sz w:val="24"/>
                <w:szCs w:val="24"/>
              </w:rPr>
              <w:t>除权（息）日</w:t>
            </w:r>
          </w:p>
        </w:tc>
        <w:tc>
          <w:tcPr>
            <w:tcW w:w="833" w:type="pct"/>
          </w:tcPr>
          <w:p>
            <w:pPr>
              <w:widowControl/>
              <w:adjustRightInd w:val="0"/>
              <w:snapToGrid w:val="0"/>
              <w:spacing w:before="312" w:beforeLines="100" w:after="156" w:afterLines="5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新增无限售条件流通股份上市日</w:t>
            </w:r>
          </w:p>
        </w:tc>
        <w:tc>
          <w:tcPr>
            <w:tcW w:w="833" w:type="pct"/>
          </w:tcPr>
          <w:p>
            <w:pPr>
              <w:widowControl/>
              <w:adjustRightInd w:val="0"/>
              <w:snapToGrid w:val="0"/>
              <w:spacing w:before="468" w:beforeLines="150" w:after="156" w:afterLines="5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现金红利发放日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Ａ股</w:t>
            </w:r>
          </w:p>
        </w:tc>
        <w:tc>
          <w:tcPr>
            <w:tcW w:w="688" w:type="pct"/>
          </w:tcPr>
          <w:p>
            <w:pPr>
              <w:adjustRightInd w:val="0"/>
              <w:snapToGrid w:val="0"/>
              <w:spacing w:line="560" w:lineRule="exact"/>
              <w:jc w:val="center"/>
              <w:rPr>
                <w:rFonts w:ascii="Times New Roman" w:hAnsi="Times New Roman" w:eastAsia="仿宋_GB2312"/>
                <w:sz w:val="24"/>
                <w:szCs w:val="24"/>
              </w:rPr>
            </w:pPr>
          </w:p>
        </w:tc>
        <w:tc>
          <w:tcPr>
            <w:tcW w:w="833" w:type="pct"/>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w:t>
            </w:r>
          </w:p>
        </w:tc>
        <w:tc>
          <w:tcPr>
            <w:tcW w:w="834" w:type="pct"/>
          </w:tcPr>
          <w:p>
            <w:pPr>
              <w:adjustRightInd w:val="0"/>
              <w:snapToGrid w:val="0"/>
              <w:spacing w:line="560" w:lineRule="exact"/>
              <w:jc w:val="center"/>
              <w:rPr>
                <w:rFonts w:ascii="Times New Roman" w:hAnsi="Times New Roman" w:eastAsia="仿宋"/>
                <w:kern w:val="0"/>
                <w:sz w:val="24"/>
                <w:szCs w:val="24"/>
              </w:rPr>
            </w:pPr>
          </w:p>
        </w:tc>
        <w:tc>
          <w:tcPr>
            <w:tcW w:w="833" w:type="pct"/>
          </w:tcPr>
          <w:p>
            <w:pPr>
              <w:adjustRightInd w:val="0"/>
              <w:snapToGrid w:val="0"/>
              <w:spacing w:line="560" w:lineRule="exact"/>
              <w:jc w:val="center"/>
              <w:rPr>
                <w:rFonts w:ascii="Times New Roman" w:hAnsi="Times New Roman" w:eastAsia="仿宋_GB2312"/>
                <w:kern w:val="0"/>
                <w:sz w:val="24"/>
                <w:szCs w:val="24"/>
              </w:rPr>
            </w:pPr>
          </w:p>
        </w:tc>
        <w:tc>
          <w:tcPr>
            <w:tcW w:w="833" w:type="pct"/>
          </w:tcPr>
          <w:p>
            <w:pPr>
              <w:adjustRightInd w:val="0"/>
              <w:snapToGrid w:val="0"/>
              <w:spacing w:line="560" w:lineRule="exact"/>
              <w:jc w:val="center"/>
              <w:rPr>
                <w:rFonts w:ascii="Times New Roman" w:hAnsi="Times New Roman"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Ｂ股（如适用）</w:t>
            </w:r>
          </w:p>
        </w:tc>
        <w:tc>
          <w:tcPr>
            <w:tcW w:w="688" w:type="pct"/>
          </w:tcPr>
          <w:p>
            <w:pPr>
              <w:adjustRightInd w:val="0"/>
              <w:snapToGrid w:val="0"/>
              <w:spacing w:line="560" w:lineRule="exact"/>
              <w:jc w:val="center"/>
              <w:rPr>
                <w:rFonts w:ascii="Times New Roman" w:hAnsi="Times New Roman" w:eastAsia="仿宋"/>
                <w:sz w:val="24"/>
                <w:szCs w:val="24"/>
              </w:rPr>
            </w:pPr>
          </w:p>
        </w:tc>
        <w:tc>
          <w:tcPr>
            <w:tcW w:w="833" w:type="pct"/>
          </w:tcPr>
          <w:p>
            <w:pPr>
              <w:adjustRightInd w:val="0"/>
              <w:snapToGrid w:val="0"/>
              <w:spacing w:line="560" w:lineRule="exact"/>
              <w:jc w:val="center"/>
              <w:rPr>
                <w:rFonts w:ascii="Times New Roman" w:hAnsi="Times New Roman" w:eastAsia="仿宋"/>
                <w:sz w:val="24"/>
                <w:szCs w:val="24"/>
              </w:rPr>
            </w:pPr>
          </w:p>
        </w:tc>
        <w:tc>
          <w:tcPr>
            <w:tcW w:w="834" w:type="pct"/>
          </w:tcPr>
          <w:p>
            <w:pPr>
              <w:adjustRightInd w:val="0"/>
              <w:snapToGrid w:val="0"/>
              <w:spacing w:line="560" w:lineRule="exact"/>
              <w:jc w:val="center"/>
              <w:rPr>
                <w:rFonts w:ascii="Times New Roman" w:hAnsi="Times New Roman" w:eastAsia="仿宋"/>
                <w:sz w:val="24"/>
                <w:szCs w:val="24"/>
              </w:rPr>
            </w:pPr>
          </w:p>
        </w:tc>
        <w:tc>
          <w:tcPr>
            <w:tcW w:w="833" w:type="pct"/>
          </w:tcPr>
          <w:p>
            <w:pPr>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w:t>
            </w:r>
          </w:p>
        </w:tc>
        <w:tc>
          <w:tcPr>
            <w:tcW w:w="833" w:type="pct"/>
          </w:tcPr>
          <w:p>
            <w:pPr>
              <w:adjustRightInd w:val="0"/>
              <w:snapToGrid w:val="0"/>
              <w:spacing w:line="560" w:lineRule="exact"/>
              <w:jc w:val="center"/>
              <w:rPr>
                <w:rFonts w:ascii="Times New Roman" w:hAnsi="Times New Roman" w:eastAsia="仿宋_GB2312"/>
                <w:sz w:val="24"/>
                <w:szCs w:val="24"/>
              </w:rPr>
            </w:pPr>
          </w:p>
        </w:tc>
      </w:tr>
    </w:tbl>
    <w:p>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w:t>
      </w:r>
    </w:p>
    <w:p>
      <w:pPr>
        <w:adjustRightInd w:val="0"/>
        <w:snapToGrid w:val="0"/>
        <w:spacing w:line="560" w:lineRule="exact"/>
        <w:ind w:firstLine="480" w:firstLineChars="200"/>
        <w:rPr>
          <w:rFonts w:ascii="楷体" w:hAnsi="楷体" w:eastAsia="楷体"/>
          <w:b/>
          <w:sz w:val="24"/>
          <w:szCs w:val="24"/>
        </w:rPr>
      </w:pPr>
      <w:r>
        <w:rPr>
          <w:rFonts w:ascii="楷体" w:hAnsi="楷体" w:eastAsia="楷体"/>
          <w:sz w:val="24"/>
          <w:szCs w:val="24"/>
        </w:rPr>
        <w:t>1.股权登记日（R日）、除权除息日及A股现金红利发放日（R+1日）、新增无限售条件流通股份上市日（R＋</w:t>
      </w:r>
      <w:r>
        <w:rPr>
          <w:rFonts w:hint="eastAsia" w:ascii="楷体" w:hAnsi="楷体" w:eastAsia="楷体"/>
          <w:sz w:val="24"/>
          <w:szCs w:val="24"/>
        </w:rPr>
        <w:t>1</w:t>
      </w:r>
      <w:r>
        <w:rPr>
          <w:rFonts w:ascii="楷体" w:hAnsi="楷体" w:eastAsia="楷体"/>
          <w:sz w:val="24"/>
          <w:szCs w:val="24"/>
        </w:rPr>
        <w:t>日）。</w:t>
      </w:r>
    </w:p>
    <w:p>
      <w:pPr>
        <w:autoSpaceDE w:val="0"/>
        <w:autoSpaceDN w:val="0"/>
        <w:adjustRightInd w:val="0"/>
        <w:spacing w:line="560" w:lineRule="exact"/>
        <w:ind w:firstLine="460" w:firstLineChars="192"/>
        <w:jc w:val="left"/>
        <w:rPr>
          <w:rFonts w:ascii="楷体" w:hAnsi="楷体" w:eastAsia="楷体"/>
          <w:sz w:val="24"/>
          <w:szCs w:val="24"/>
        </w:rPr>
      </w:pPr>
      <w:r>
        <w:rPr>
          <w:rFonts w:ascii="楷体" w:hAnsi="楷体" w:eastAsia="楷体"/>
          <w:sz w:val="24"/>
          <w:szCs w:val="24"/>
        </w:rPr>
        <w:t>2.有B股的公司应当就B股的特别事宜作出专门说明。）</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四、分配、转增股本实施办法</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w:t>
      </w:r>
      <w:r>
        <w:rPr>
          <w:rFonts w:ascii="Times New Roman" w:hAnsi="Times New Roman" w:eastAsia="仿宋_GB2312"/>
          <w:color w:val="000000"/>
          <w:sz w:val="30"/>
          <w:szCs w:val="30"/>
        </w:rPr>
        <w:t>实施办法</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 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 派送红股或转增股本的，由中国结算上海分公司根据股权登记日上海证券交易所收市后登记在册股东持股数，按比例直接计入股东账户。</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w:t>
      </w:r>
      <w:r>
        <w:rPr>
          <w:rFonts w:ascii="Times New Roman" w:hAnsi="Times New Roman" w:eastAsia="仿宋_GB2312"/>
          <w:color w:val="000000"/>
          <w:sz w:val="30"/>
          <w:szCs w:val="30"/>
        </w:rPr>
        <w:t>自行发放对象。无限售流通股股东的现金红利由公司自行发放的，应当在公告中列示。</w:t>
      </w:r>
    </w:p>
    <w:p>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w:t>
      </w:r>
      <w:r>
        <w:rPr>
          <w:rFonts w:ascii="Times New Roman" w:hAnsi="Times New Roman" w:eastAsia="仿宋_GB2312"/>
          <w:color w:val="000000"/>
          <w:sz w:val="30"/>
          <w:szCs w:val="30"/>
        </w:rPr>
        <w:t>扣税说明</w:t>
      </w:r>
      <w:r>
        <w:rPr>
          <w:rFonts w:hint="eastAsia" w:ascii="Times New Roman" w:hAnsi="Times New Roman" w:eastAsia="仿宋_GB2312"/>
          <w:color w:val="000000"/>
          <w:sz w:val="30"/>
          <w:szCs w:val="30"/>
        </w:rPr>
        <w:t>。</w:t>
      </w:r>
    </w:p>
    <w:p>
      <w:pPr>
        <w:adjustRightInd w:val="0"/>
        <w:snapToGrid w:val="0"/>
        <w:spacing w:line="560" w:lineRule="exact"/>
        <w:ind w:firstLine="600" w:firstLineChars="200"/>
        <w:rPr>
          <w:rFonts w:ascii="Times New Roman" w:hAnsi="Times New Roman" w:eastAsia="仿宋_GB2312"/>
          <w:color w:val="000000"/>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五、股本结构变动表</w:t>
      </w:r>
      <w:r>
        <w:rPr>
          <w:rFonts w:ascii="Times New Roman" w:hAnsi="Times New Roman" w:eastAsia="仿宋_GB2312"/>
          <w:sz w:val="30"/>
          <w:szCs w:val="30"/>
        </w:rPr>
        <w:t>（如无股本变动，免本项内容。如果某行没有数字，公司可予以省略，序号作相应调整。）</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按变动前股本、本次派送红股、本次转增股本、变动后股本等项目列示。</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1416"/>
        <w:gridCol w:w="903"/>
        <w:gridCol w:w="902"/>
        <w:gridCol w:w="873"/>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vMerge w:val="restart"/>
            <w:shd w:val="clear" w:color="auto" w:fill="auto"/>
            <w:noWrap/>
            <w:vAlign w:val="center"/>
          </w:tcPr>
          <w:p>
            <w:pPr>
              <w:widowControl/>
              <w:adjustRightInd w:val="0"/>
              <w:snapToGrid w:val="0"/>
              <w:spacing w:line="560" w:lineRule="exact"/>
              <w:rPr>
                <w:rFonts w:ascii="Times New Roman" w:hAnsi="Times New Roman" w:eastAsia="仿宋_GB2312"/>
                <w:sz w:val="24"/>
                <w:szCs w:val="24"/>
              </w:rPr>
            </w:pPr>
          </w:p>
        </w:tc>
        <w:tc>
          <w:tcPr>
            <w:tcW w:w="831" w:type="pct"/>
            <w:vMerge w:val="restar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本次变动前</w:t>
            </w:r>
          </w:p>
        </w:tc>
        <w:tc>
          <w:tcPr>
            <w:tcW w:w="1571" w:type="pct"/>
            <w:gridSpan w:val="3"/>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变动数</w:t>
            </w:r>
          </w:p>
        </w:tc>
        <w:tc>
          <w:tcPr>
            <w:tcW w:w="831" w:type="pct"/>
            <w:vMerge w:val="restar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67" w:type="pct"/>
            <w:vMerge w:val="continue"/>
            <w:shd w:val="clear" w:color="auto" w:fill="auto"/>
            <w:vAlign w:val="center"/>
          </w:tcPr>
          <w:p>
            <w:pPr>
              <w:widowControl/>
              <w:adjustRightInd w:val="0"/>
              <w:snapToGrid w:val="0"/>
              <w:spacing w:line="560" w:lineRule="exact"/>
              <w:jc w:val="left"/>
              <w:rPr>
                <w:rFonts w:ascii="Times New Roman" w:hAnsi="Times New Roman" w:eastAsia="仿宋_GB2312"/>
                <w:sz w:val="24"/>
                <w:szCs w:val="24"/>
              </w:rPr>
            </w:pPr>
          </w:p>
        </w:tc>
        <w:tc>
          <w:tcPr>
            <w:tcW w:w="831" w:type="pct"/>
            <w:vMerge w:val="continue"/>
            <w:shd w:val="clear" w:color="auto" w:fill="auto"/>
            <w:vAlign w:val="center"/>
          </w:tcPr>
          <w:p>
            <w:pPr>
              <w:widowControl/>
              <w:adjustRightInd w:val="0"/>
              <w:snapToGrid w:val="0"/>
              <w:spacing w:line="560" w:lineRule="exact"/>
              <w:jc w:val="left"/>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送股</w:t>
            </w: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转增</w:t>
            </w: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831" w:type="pct"/>
            <w:vMerge w:val="continue"/>
            <w:vAlign w:val="center"/>
          </w:tcPr>
          <w:p>
            <w:pPr>
              <w:widowControl/>
              <w:adjustRightInd w:val="0"/>
              <w:snapToGrid w:val="0"/>
              <w:spacing w:line="56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shd w:val="clear" w:color="auto" w:fill="auto"/>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A股</w:t>
            </w: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shd w:val="clear" w:color="auto" w:fill="auto"/>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B股</w:t>
            </w: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shd w:val="clear" w:color="auto" w:fill="auto"/>
          </w:tcPr>
          <w:p>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股份总数</w:t>
            </w: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pPr>
              <w:widowControl/>
              <w:adjustRightInd w:val="0"/>
              <w:snapToGrid w:val="0"/>
              <w:spacing w:line="560" w:lineRule="exact"/>
              <w:jc w:val="center"/>
              <w:rPr>
                <w:rFonts w:ascii="Times New Roman" w:hAnsi="Times New Roman" w:eastAsia="仿宋_GB2312"/>
                <w:sz w:val="24"/>
                <w:szCs w:val="24"/>
              </w:rPr>
            </w:pPr>
          </w:p>
        </w:tc>
      </w:tr>
    </w:tbl>
    <w:p>
      <w:pPr>
        <w:autoSpaceDE w:val="0"/>
        <w:autoSpaceDN w:val="0"/>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公司首发战略配售股份是否已全部上市流通，如是，本次权益分派新增无限售条件流通股为__股。</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六、差异化送转股导致相关股东持股变化的情况（如有）</w:t>
      </w:r>
    </w:p>
    <w:p>
      <w:pPr>
        <w:autoSpaceDE w:val="0"/>
        <w:autoSpaceDN w:val="0"/>
        <w:adjustRightInd w:val="0"/>
        <w:snapToGrid w:val="0"/>
        <w:spacing w:line="560" w:lineRule="exact"/>
        <w:ind w:firstLine="600" w:firstLineChars="200"/>
        <w:rPr>
          <w:rFonts w:ascii="Times New Roman" w:hAnsi="Times New Roman" w:eastAsia="黑体"/>
          <w:b/>
          <w:sz w:val="30"/>
          <w:szCs w:val="30"/>
        </w:rPr>
      </w:pPr>
      <w:r>
        <w:rPr>
          <w:rFonts w:hint="eastAsia" w:ascii="Times New Roman" w:hAnsi="Times New Roman" w:eastAsia="仿宋_GB2312"/>
          <w:color w:val="000000"/>
          <w:sz w:val="30"/>
          <w:szCs w:val="30"/>
        </w:rPr>
        <w:t>若存在差异化分红送转方案，并导致股东及其一致行动人拥有权益的股份比例触及或者跨越</w:t>
      </w:r>
      <w:r>
        <w:rPr>
          <w:rFonts w:ascii="Times New Roman" w:hAnsi="Times New Roman" w:eastAsia="仿宋_GB2312"/>
          <w:color w:val="000000"/>
          <w:sz w:val="30"/>
          <w:szCs w:val="30"/>
        </w:rPr>
        <w:t>5%及5%的整数倍，或者导致持股5%以上的</w:t>
      </w:r>
      <w:r>
        <w:rPr>
          <w:rFonts w:hint="eastAsia" w:ascii="Times New Roman" w:hAnsi="Times New Roman" w:eastAsia="仿宋_GB2312"/>
          <w:color w:val="000000"/>
          <w:sz w:val="30"/>
          <w:szCs w:val="30"/>
        </w:rPr>
        <w:t>股东及其一致行动人拥有权益的股份比例触及</w:t>
      </w:r>
      <w:r>
        <w:rPr>
          <w:rFonts w:ascii="Times New Roman" w:hAnsi="Times New Roman" w:eastAsia="仿宋_GB2312"/>
          <w:color w:val="000000"/>
          <w:sz w:val="30"/>
          <w:szCs w:val="30"/>
        </w:rPr>
        <w:t>1%的整数倍的</w:t>
      </w:r>
      <w:r>
        <w:rPr>
          <w:rFonts w:hint="eastAsia" w:ascii="Times New Roman" w:hAnsi="Times New Roman" w:eastAsia="仿宋_GB2312"/>
          <w:color w:val="000000"/>
          <w:sz w:val="30"/>
          <w:szCs w:val="30"/>
        </w:rPr>
        <w:t>，上市公司应当</w:t>
      </w:r>
      <w:r>
        <w:rPr>
          <w:rFonts w:hint="eastAsia" w:ascii="仿宋" w:hAnsi="仿宋" w:eastAsia="仿宋_GB2312"/>
          <w:bCs/>
          <w:sz w:val="30"/>
          <w:szCs w:val="30"/>
        </w:rPr>
        <w:t>列示差异化送转完成前后，上述股东及其一致行动人持股数量和持股比例的变动情况。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bookmarkStart w:id="2" w:name="_Hlk189844299"/>
            <w:bookmarkStart w:id="3" w:name="_Hlk189846806"/>
            <w:bookmarkStart w:id="4"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5" w:name="OLE_LINK3"/>
            <w:r>
              <w:rPr>
                <w:rFonts w:hint="eastAsia" w:ascii="仿宋_GB2312" w:hAnsi="楷体" w:eastAsia="仿宋_GB2312" w:cs="楷体"/>
                <w:szCs w:val="21"/>
              </w:rPr>
              <w:t>一致行动人</w:t>
            </w:r>
            <w:bookmarkEnd w:id="5"/>
            <w:r>
              <w:rPr>
                <w:rFonts w:hint="eastAsia" w:ascii="仿宋_GB2312" w:hAnsi="楷体" w:eastAsia="仿宋_GB2312" w:cs="楷体"/>
                <w:szCs w:val="21"/>
              </w:rPr>
              <w:t>（</w:t>
            </w:r>
            <w:bookmarkStart w:id="6" w:name="OLE_LINK1"/>
            <w:r>
              <w:rPr>
                <w:rFonts w:hint="eastAsia" w:ascii="仿宋_GB2312" w:hAnsi="楷体" w:eastAsia="仿宋_GB2312" w:cs="楷体"/>
                <w:szCs w:val="21"/>
              </w:rPr>
              <w:t>合并计算</w:t>
            </w:r>
            <w:bookmarkEnd w:id="6"/>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bookmarkEnd w:id="3"/>
    </w:tbl>
    <w:p>
      <w:pPr>
        <w:widowControl/>
        <w:ind w:firstLine="420" w:firstLineChars="200"/>
        <w:rPr>
          <w:rFonts w:hint="eastAsia" w:ascii="仿宋_GB2312" w:hAnsi="宋体" w:eastAsia="仿宋_GB2312" w:cs="宋体"/>
          <w:color w:val="000000"/>
          <w:kern w:val="0"/>
          <w:sz w:val="24"/>
        </w:rPr>
      </w:pPr>
      <w:r>
        <w:rPr>
          <w:rFonts w:hint="eastAsia" w:ascii="仿宋_GB2312" w:hAnsi="楷体" w:eastAsia="仿宋_GB2312" w:cs="楷体"/>
          <w:szCs w:val="20"/>
        </w:rPr>
        <w:t>注：</w:t>
      </w:r>
      <w:bookmarkStart w:id="7" w:name="OLE_LINK9"/>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bookmarkEnd w:id="7"/>
      <w:r>
        <w:rPr>
          <w:rFonts w:hint="eastAsia" w:ascii="仿宋_GB2312" w:hAnsi="宋体" w:eastAsia="仿宋_GB2312" w:cs="宋体"/>
          <w:color w:val="000000"/>
          <w:kern w:val="0"/>
          <w:sz w:val="24"/>
        </w:rPr>
        <w:t>。</w:t>
      </w:r>
    </w:p>
    <w:p>
      <w:pPr>
        <w:widowControl/>
        <w:ind w:firstLine="480" w:firstLineChars="200"/>
        <w:rPr>
          <w:rFonts w:hint="eastAsia" w:ascii="仿宋_GB2312" w:hAnsi="宋体" w:eastAsia="仿宋_GB2312" w:cs="宋体"/>
          <w:color w:val="000000"/>
          <w:kern w:val="0"/>
          <w:sz w:val="24"/>
        </w:rPr>
      </w:pPr>
    </w:p>
    <w:bookmarkEnd w:id="4"/>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七</w:t>
      </w:r>
      <w:r>
        <w:rPr>
          <w:rFonts w:ascii="Times New Roman" w:hAnsi="Times New Roman" w:eastAsia="黑体"/>
          <w:b/>
          <w:sz w:val="30"/>
          <w:szCs w:val="30"/>
        </w:rPr>
        <w:t>、相关价格和比例调整情况（如适用）</w:t>
      </w:r>
    </w:p>
    <w:p>
      <w:pPr>
        <w:snapToGrid w:val="0"/>
        <w:spacing w:line="560" w:lineRule="exact"/>
        <w:ind w:firstLine="540"/>
        <w:rPr>
          <w:rFonts w:ascii="Times New Roman" w:hAnsi="Times New Roman" w:eastAsia="仿宋_GB2312"/>
          <w:sz w:val="30"/>
          <w:szCs w:val="30"/>
        </w:rPr>
      </w:pPr>
      <w:r>
        <w:rPr>
          <w:rFonts w:ascii="Times New Roman" w:hAnsi="Times New Roman" w:eastAsia="仿宋_GB2312"/>
          <w:sz w:val="30"/>
          <w:szCs w:val="30"/>
        </w:rPr>
        <w:t>派发股票股利、资本公积金转增股本后，需要调整的衍生品种行权（转股）价、行权（转股）比例、承诺的最低减持价情况等（如适用）。行权（转股）价格的调整以相关实施公告为准。</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八</w:t>
      </w:r>
      <w:r>
        <w:rPr>
          <w:rFonts w:ascii="Times New Roman" w:hAnsi="Times New Roman" w:eastAsia="黑体"/>
          <w:b/>
          <w:sz w:val="30"/>
          <w:szCs w:val="30"/>
        </w:rPr>
        <w:t>、摊薄每股收益说明</w:t>
      </w:r>
      <w:r>
        <w:rPr>
          <w:rFonts w:ascii="Times New Roman" w:hAnsi="Times New Roman" w:eastAsia="仿宋_GB2312"/>
          <w:sz w:val="30"/>
          <w:szCs w:val="30"/>
        </w:rPr>
        <w:t>（如无股本变动的，免本项内容）</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实施送转股方案后，按新股本总额__股摊薄计算的（上年度或本年度中期）每股收益为__元。</w:t>
      </w:r>
    </w:p>
    <w:p>
      <w:pPr>
        <w:adjustRightInd w:val="0"/>
        <w:snapToGrid w:val="0"/>
        <w:spacing w:line="560" w:lineRule="exact"/>
        <w:ind w:firstLine="480" w:firstLineChars="200"/>
        <w:rPr>
          <w:rFonts w:ascii="Times New Roman" w:hAnsi="Times New Roman" w:eastAsia="楷体"/>
          <w:sz w:val="24"/>
          <w:szCs w:val="24"/>
        </w:rPr>
      </w:pPr>
      <w:r>
        <w:rPr>
          <w:rFonts w:ascii="Times New Roman" w:hAnsi="Times New Roman" w:eastAsia="楷体"/>
          <w:sz w:val="24"/>
          <w:szCs w:val="24"/>
        </w:rPr>
        <w:t>（编制提醒：每股收益的计算公式参照《公开发行证券的公司信息披露编报规则第9号》的规定执行。）</w:t>
      </w:r>
    </w:p>
    <w:p>
      <w:pPr>
        <w:autoSpaceDE w:val="0"/>
        <w:autoSpaceDN w:val="0"/>
        <w:adjustRightInd w:val="0"/>
        <w:snapToGrid w:val="0"/>
        <w:spacing w:line="560" w:lineRule="exact"/>
        <w:ind w:firstLine="602" w:firstLineChars="200"/>
        <w:rPr>
          <w:rFonts w:ascii="Times New Roman" w:hAnsi="Times New Roman" w:eastAsia="黑体"/>
          <w:b/>
          <w:sz w:val="30"/>
          <w:szCs w:val="30"/>
        </w:rPr>
      </w:pPr>
    </w:p>
    <w:p>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九</w:t>
      </w:r>
      <w:r>
        <w:rPr>
          <w:rFonts w:ascii="Times New Roman" w:hAnsi="Times New Roman" w:eastAsia="黑体"/>
          <w:b/>
          <w:sz w:val="30"/>
          <w:szCs w:val="30"/>
        </w:rPr>
        <w:t>、有关咨询方法</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联系部门</w:t>
      </w:r>
      <w:r>
        <w:rPr>
          <w:rFonts w:hint="eastAsia" w:ascii="Times New Roman" w:hAnsi="Times New Roman" w:eastAsia="仿宋_GB2312"/>
          <w:sz w:val="30"/>
          <w:szCs w:val="30"/>
        </w:rPr>
        <w:t>：</w:t>
      </w:r>
    </w:p>
    <w:p>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联系电话</w:t>
      </w:r>
      <w:r>
        <w:rPr>
          <w:rFonts w:hint="eastAsia" w:ascii="Times New Roman" w:hAnsi="Times New Roman" w:eastAsia="仿宋_GB2312"/>
          <w:sz w:val="30"/>
          <w:szCs w:val="30"/>
        </w:rPr>
        <w:t>：</w:t>
      </w:r>
    </w:p>
    <w:p>
      <w:pPr>
        <w:autoSpaceDE w:val="0"/>
        <w:autoSpaceDN w:val="0"/>
        <w:adjustRightInd w:val="0"/>
        <w:spacing w:line="560" w:lineRule="exact"/>
        <w:jc w:val="left"/>
        <w:rPr>
          <w:rFonts w:ascii="Times New Roman" w:hAnsi="Times New Roman" w:eastAsia="黑体"/>
          <w:b/>
          <w:color w:val="000000"/>
          <w:kern w:val="0"/>
          <w:sz w:val="30"/>
          <w:szCs w:val="30"/>
        </w:rPr>
      </w:pP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××××股份有限公司董事会</w:t>
      </w:r>
    </w:p>
    <w:p>
      <w:pPr>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pPr>
        <w:spacing w:line="560" w:lineRule="exact"/>
        <w:jc w:val="right"/>
        <w:rPr>
          <w:rFonts w:ascii="Times New Roman" w:hAnsi="Times New Roman" w:eastAsia="仿宋_GB2312"/>
          <w:color w:val="000000"/>
          <w:kern w:val="0"/>
          <w:sz w:val="30"/>
          <w:szCs w:val="30"/>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bookmarkStart w:id="9" w:name="_GoBack"/>
      <w:bookmarkEnd w:id="9"/>
    </w:p>
    <w:p>
      <w:pPr>
        <w:pStyle w:val="3"/>
        <w:rPr>
          <w:b w:val="0"/>
          <w:bCs w:val="0"/>
        </w:rPr>
      </w:pPr>
      <w:bookmarkStart w:id="8" w:name="_Toc131775728"/>
      <w:r>
        <w:rPr>
          <w:rFonts w:hint="eastAsia"/>
          <w:sz w:val="32"/>
          <w:szCs w:val="32"/>
        </w:rPr>
        <w:t>2</w:t>
      </w:r>
      <w:r>
        <w:rPr>
          <w:sz w:val="32"/>
          <w:szCs w:val="32"/>
        </w:rPr>
        <w:t>.</w:t>
      </w:r>
      <w:r>
        <w:rPr>
          <w:rFonts w:hint="eastAsia"/>
          <w:sz w:val="32"/>
          <w:szCs w:val="32"/>
        </w:rPr>
        <w:t>上市公司权益分派实施结果暨股份上市</w:t>
      </w:r>
      <w:bookmarkEnd w:id="8"/>
    </w:p>
    <w:p>
      <w:pPr>
        <w:adjustRightInd w:val="0"/>
        <w:snapToGrid w:val="0"/>
        <w:spacing w:line="560" w:lineRule="exact"/>
        <w:jc w:val="center"/>
        <w:rPr>
          <w:rFonts w:eastAsia="楷体"/>
          <w:sz w:val="28"/>
          <w:szCs w:val="28"/>
        </w:rPr>
      </w:pPr>
      <w:r>
        <w:rPr>
          <w:rFonts w:eastAsia="楷体"/>
          <w:kern w:val="0"/>
          <w:sz w:val="28"/>
          <w:szCs w:val="28"/>
        </w:rPr>
        <w:t>（*本公告应当使用本所公告编制软件编制）</w:t>
      </w:r>
    </w:p>
    <w:p>
      <w:pPr>
        <w:tabs>
          <w:tab w:val="left" w:pos="720"/>
        </w:tabs>
        <w:adjustRightInd w:val="0"/>
        <w:snapToGrid w:val="0"/>
        <w:spacing w:line="600" w:lineRule="exact"/>
        <w:rPr>
          <w:rFonts w:ascii="仿宋_GB2312" w:hAnsi="宋体" w:eastAsia="仿宋_GB2312"/>
          <w:b/>
          <w:bCs/>
          <w:sz w:val="30"/>
          <w:szCs w:val="30"/>
        </w:rPr>
      </w:pPr>
    </w:p>
    <w:p>
      <w:pPr>
        <w:tabs>
          <w:tab w:val="left" w:pos="720"/>
        </w:tabs>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适用情形：</w:t>
      </w:r>
    </w:p>
    <w:p>
      <w:pPr>
        <w:tabs>
          <w:tab w:val="left" w:pos="720"/>
        </w:tabs>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本公告格式适用于上市公司首发战略配售股份尚未全部解禁上市且有送转股份的情形。</w:t>
      </w:r>
    </w:p>
    <w:p>
      <w:pPr>
        <w:tabs>
          <w:tab w:val="left" w:pos="720"/>
        </w:tabs>
        <w:adjustRightInd w:val="0"/>
        <w:snapToGrid w:val="0"/>
        <w:spacing w:line="600" w:lineRule="exact"/>
        <w:rPr>
          <w:rFonts w:ascii="仿宋_GB2312" w:hAnsi="宋体" w:eastAsia="仿宋_GB2312"/>
          <w:b/>
          <w:bCs/>
          <w:sz w:val="30"/>
          <w:szCs w:val="30"/>
        </w:rPr>
      </w:pPr>
    </w:p>
    <w:p>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600" w:lineRule="exact"/>
        <w:jc w:val="center"/>
        <w:rPr>
          <w:rFonts w:ascii="仿宋_GB2312" w:hAnsi="宋体" w:eastAsia="仿宋_GB2312"/>
          <w:sz w:val="30"/>
          <w:szCs w:val="30"/>
        </w:rPr>
      </w:pPr>
    </w:p>
    <w:p>
      <w:pPr>
        <w:jc w:val="center"/>
        <w:rPr>
          <w:rFonts w:ascii="仿宋_GB2312" w:hAnsi="宋体" w:eastAsia="仿宋_GB2312"/>
          <w:sz w:val="30"/>
          <w:szCs w:val="30"/>
        </w:rPr>
      </w:pPr>
      <w:r>
        <w:rPr>
          <w:rFonts w:hint="eastAsia" w:ascii="仿宋_GB2312" w:hAnsi="宋体" w:eastAsia="仿宋_GB2312"/>
          <w:sz w:val="30"/>
          <w:szCs w:val="30"/>
        </w:rPr>
        <w:t>XXXX股份有限公司XX年权益分派实施结果暨股份上市公告</w:t>
      </w:r>
    </w:p>
    <w:p>
      <w:pPr>
        <w:jc w:val="center"/>
        <w:rPr>
          <w:rFonts w:ascii="宋体" w:hAnsi="宋体"/>
          <w:sz w:val="24"/>
        </w:rPr>
      </w:pPr>
    </w:p>
    <w:p>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600" w:lineRule="exact"/>
        <w:rPr>
          <w:rFonts w:ascii="宋体" w:hAnsi="宋体"/>
          <w:sz w:val="24"/>
        </w:rPr>
      </w:pPr>
      <w:r>
        <w:rPr>
          <w:rFonts w:hint="eastAsia" w:ascii="宋体" w:hAnsi="宋体"/>
          <w:sz w:val="24"/>
        </w:rPr>
        <w:t xml:space="preserve">    </w:t>
      </w:r>
    </w:p>
    <w:p>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股权登记日：XXXX年XX月XX日</w:t>
      </w:r>
    </w:p>
    <w:p>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除权日：XXXX年XX月XX日</w:t>
      </w:r>
    </w:p>
    <w:p>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上市数量：XXX，XXX股</w:t>
      </w:r>
    </w:p>
    <w:p>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上市日期</w:t>
      </w:r>
      <w:r>
        <w:rPr>
          <w:rFonts w:ascii="仿宋_GB2312" w:hAnsi="宋体" w:eastAsia="仿宋_GB2312"/>
          <w:sz w:val="30"/>
          <w:szCs w:val="30"/>
        </w:rPr>
        <w:t>：</w:t>
      </w:r>
      <w:r>
        <w:rPr>
          <w:rFonts w:hint="eastAsia" w:ascii="仿宋_GB2312" w:hAnsi="宋体" w:eastAsia="仿宋_GB2312"/>
          <w:sz w:val="30"/>
          <w:szCs w:val="30"/>
        </w:rPr>
        <w:t>XXXX年XX月XX日</w:t>
      </w:r>
    </w:p>
    <w:p>
      <w:pPr>
        <w:widowControl/>
        <w:spacing w:line="600" w:lineRule="exact"/>
        <w:rPr>
          <w:rFonts w:ascii="仿宋_GB2312" w:hAnsi="宋体" w:eastAsia="仿宋_GB2312"/>
          <w:sz w:val="30"/>
          <w:szCs w:val="30"/>
        </w:rPr>
      </w:pPr>
    </w:p>
    <w:p>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一、新增</w:t>
      </w:r>
      <w:r>
        <w:rPr>
          <w:rFonts w:ascii="黑体" w:hAnsi="黑体" w:eastAsia="黑体" w:cs="宋体"/>
          <w:b/>
          <w:color w:val="000000"/>
          <w:kern w:val="0"/>
          <w:sz w:val="32"/>
          <w:szCs w:val="32"/>
        </w:rPr>
        <w:t>无限售流通股上市情况</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（一）权益分派方案简述</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本次利润分配及转增股本以方案实施前的公司总股本</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为基数，向全体股东每股派发现金红利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元（含税），每股派送红股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股，以资本公积金向全体股东每股转增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股，共计派发现金红利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股，本次分配后总股本为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若存在差异化分红送转方案，应当就具体的分派情况和除权除息方法进行说明。</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（二）股权登记日、除权日</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本次权益分派的股权登记日为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本次权益分派的除权日为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（三）上市</w:t>
      </w:r>
      <w:r>
        <w:rPr>
          <w:rFonts w:ascii="仿宋_GB2312" w:hAnsi="宋体" w:eastAsia="仿宋_GB2312" w:cs="宋体"/>
          <w:color w:val="000000"/>
          <w:kern w:val="0"/>
          <w:sz w:val="30"/>
          <w:szCs w:val="30"/>
        </w:rPr>
        <w:t>数量</w:t>
      </w:r>
    </w:p>
    <w:p>
      <w:pPr>
        <w:adjustRightInd w:val="0"/>
        <w:snapToGrid w:val="0"/>
        <w:spacing w:line="600" w:lineRule="exact"/>
        <w:ind w:left="600"/>
        <w:rPr>
          <w:rFonts w:ascii="仿宋_GB2312" w:hAnsi="宋体" w:eastAsia="仿宋_GB2312"/>
          <w:sz w:val="30"/>
          <w:szCs w:val="30"/>
        </w:rPr>
      </w:pPr>
      <w:r>
        <w:rPr>
          <w:rFonts w:hint="eastAsia" w:ascii="仿宋_GB2312" w:hAnsi="宋体" w:eastAsia="仿宋_GB2312"/>
          <w:sz w:val="30"/>
          <w:szCs w:val="30"/>
        </w:rPr>
        <w:t>本次上市流通限售股数量为</w:t>
      </w:r>
      <w:r>
        <w:rPr>
          <w:rFonts w:ascii="仿宋_GB2312" w:hAnsi="宋体" w:eastAsia="仿宋_GB2312"/>
          <w:sz w:val="30"/>
          <w:szCs w:val="30"/>
        </w:rPr>
        <w:t>****</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（四）上市时间</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本次上市流通日期为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pPr>
        <w:adjustRightInd w:val="0"/>
        <w:snapToGrid w:val="0"/>
        <w:spacing w:line="360" w:lineRule="auto"/>
        <w:ind w:firstLine="643"/>
        <w:rPr>
          <w:rFonts w:ascii="楷体_GB2312" w:hAnsi="宋体" w:eastAsia="楷体_GB2312"/>
          <w:b/>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二、有关咨询方法</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联系部门：</w:t>
      </w: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联系电话：</w:t>
      </w:r>
    </w:p>
    <w:p>
      <w:pPr>
        <w:widowControl/>
        <w:spacing w:line="600" w:lineRule="exact"/>
        <w:ind w:firstLine="600" w:firstLineChars="200"/>
        <w:rPr>
          <w:rFonts w:ascii="仿宋_GB2312" w:hAnsi="宋体" w:eastAsia="仿宋_GB2312" w:cs="宋体"/>
          <w:color w:val="000000"/>
          <w:kern w:val="0"/>
          <w:sz w:val="30"/>
          <w:szCs w:val="30"/>
        </w:rPr>
      </w:pPr>
    </w:p>
    <w:p>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widowControl/>
        <w:spacing w:line="600" w:lineRule="exact"/>
        <w:ind w:firstLine="600" w:firstLineChars="200"/>
        <w:rPr>
          <w:rFonts w:ascii="仿宋_GB2312" w:hAnsi="宋体" w:eastAsia="仿宋_GB2312" w:cs="宋体"/>
          <w:color w:val="000000"/>
          <w:kern w:val="0"/>
          <w:sz w:val="30"/>
          <w:szCs w:val="30"/>
        </w:rPr>
      </w:pPr>
    </w:p>
    <w:p>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spacing w:line="560" w:lineRule="exact"/>
        <w:rPr>
          <w:rFonts w:ascii="Times New Roman" w:hAnsi="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23551"/>
    <w:rsid w:val="00057132"/>
    <w:rsid w:val="000820E2"/>
    <w:rsid w:val="00087FC5"/>
    <w:rsid w:val="000B58A4"/>
    <w:rsid w:val="000D414E"/>
    <w:rsid w:val="000E5163"/>
    <w:rsid w:val="000E5AF4"/>
    <w:rsid w:val="000F7779"/>
    <w:rsid w:val="00126188"/>
    <w:rsid w:val="001338B9"/>
    <w:rsid w:val="001368F4"/>
    <w:rsid w:val="00145F9D"/>
    <w:rsid w:val="00150695"/>
    <w:rsid w:val="00152667"/>
    <w:rsid w:val="00177139"/>
    <w:rsid w:val="001E65CA"/>
    <w:rsid w:val="002045DF"/>
    <w:rsid w:val="00224155"/>
    <w:rsid w:val="00287D1C"/>
    <w:rsid w:val="002D0687"/>
    <w:rsid w:val="002E2FC0"/>
    <w:rsid w:val="00313A26"/>
    <w:rsid w:val="00322C88"/>
    <w:rsid w:val="0032621D"/>
    <w:rsid w:val="003273B3"/>
    <w:rsid w:val="00332C26"/>
    <w:rsid w:val="003512A9"/>
    <w:rsid w:val="00361037"/>
    <w:rsid w:val="0038029E"/>
    <w:rsid w:val="0038258A"/>
    <w:rsid w:val="003A6591"/>
    <w:rsid w:val="003F65CA"/>
    <w:rsid w:val="00412966"/>
    <w:rsid w:val="00455030"/>
    <w:rsid w:val="00487B1D"/>
    <w:rsid w:val="00491A4D"/>
    <w:rsid w:val="004B5FEA"/>
    <w:rsid w:val="0051612F"/>
    <w:rsid w:val="005A2396"/>
    <w:rsid w:val="005A271C"/>
    <w:rsid w:val="005A6BBB"/>
    <w:rsid w:val="005C3545"/>
    <w:rsid w:val="005D64BC"/>
    <w:rsid w:val="005F54DA"/>
    <w:rsid w:val="005F771C"/>
    <w:rsid w:val="00631267"/>
    <w:rsid w:val="00645144"/>
    <w:rsid w:val="006754DD"/>
    <w:rsid w:val="006937FC"/>
    <w:rsid w:val="00694CD1"/>
    <w:rsid w:val="006B45CE"/>
    <w:rsid w:val="006C0CB3"/>
    <w:rsid w:val="006F0E6E"/>
    <w:rsid w:val="0072584A"/>
    <w:rsid w:val="00734A15"/>
    <w:rsid w:val="00736AF7"/>
    <w:rsid w:val="00737EF9"/>
    <w:rsid w:val="00745C1A"/>
    <w:rsid w:val="00764AB0"/>
    <w:rsid w:val="00765D62"/>
    <w:rsid w:val="00767C02"/>
    <w:rsid w:val="007916BE"/>
    <w:rsid w:val="007B7A04"/>
    <w:rsid w:val="007F2E1F"/>
    <w:rsid w:val="008100DD"/>
    <w:rsid w:val="00831202"/>
    <w:rsid w:val="00860271"/>
    <w:rsid w:val="00881A70"/>
    <w:rsid w:val="008A1025"/>
    <w:rsid w:val="008A605C"/>
    <w:rsid w:val="008B084E"/>
    <w:rsid w:val="008B5D71"/>
    <w:rsid w:val="008D542A"/>
    <w:rsid w:val="008E2FF0"/>
    <w:rsid w:val="008F4E1A"/>
    <w:rsid w:val="0090145E"/>
    <w:rsid w:val="0091271A"/>
    <w:rsid w:val="0091594E"/>
    <w:rsid w:val="00925884"/>
    <w:rsid w:val="00943954"/>
    <w:rsid w:val="00997E72"/>
    <w:rsid w:val="009C7DEE"/>
    <w:rsid w:val="009E12D6"/>
    <w:rsid w:val="009F171F"/>
    <w:rsid w:val="00A14CA7"/>
    <w:rsid w:val="00A317FA"/>
    <w:rsid w:val="00A8384D"/>
    <w:rsid w:val="00AA1DF6"/>
    <w:rsid w:val="00AA571F"/>
    <w:rsid w:val="00AC6182"/>
    <w:rsid w:val="00AE5EA3"/>
    <w:rsid w:val="00AE617B"/>
    <w:rsid w:val="00B1648F"/>
    <w:rsid w:val="00B225EB"/>
    <w:rsid w:val="00B3338B"/>
    <w:rsid w:val="00B33899"/>
    <w:rsid w:val="00B46D42"/>
    <w:rsid w:val="00B95504"/>
    <w:rsid w:val="00BA1BD2"/>
    <w:rsid w:val="00BD2229"/>
    <w:rsid w:val="00BD7D98"/>
    <w:rsid w:val="00BF2ECD"/>
    <w:rsid w:val="00BF6181"/>
    <w:rsid w:val="00C01915"/>
    <w:rsid w:val="00C06164"/>
    <w:rsid w:val="00C12906"/>
    <w:rsid w:val="00C30D89"/>
    <w:rsid w:val="00C36ABC"/>
    <w:rsid w:val="00C414BF"/>
    <w:rsid w:val="00C578DC"/>
    <w:rsid w:val="00C65824"/>
    <w:rsid w:val="00C83C69"/>
    <w:rsid w:val="00CB3250"/>
    <w:rsid w:val="00CC35AD"/>
    <w:rsid w:val="00CC7DC4"/>
    <w:rsid w:val="00CD0630"/>
    <w:rsid w:val="00CD536D"/>
    <w:rsid w:val="00CD5C51"/>
    <w:rsid w:val="00D14999"/>
    <w:rsid w:val="00D5450E"/>
    <w:rsid w:val="00D80AC9"/>
    <w:rsid w:val="00DD5D73"/>
    <w:rsid w:val="00DF585F"/>
    <w:rsid w:val="00E01A91"/>
    <w:rsid w:val="00E06DE4"/>
    <w:rsid w:val="00E44642"/>
    <w:rsid w:val="00E51350"/>
    <w:rsid w:val="00E86EEE"/>
    <w:rsid w:val="00E931F1"/>
    <w:rsid w:val="00E93CD0"/>
    <w:rsid w:val="00E96E06"/>
    <w:rsid w:val="00E971F7"/>
    <w:rsid w:val="00ED0A9C"/>
    <w:rsid w:val="00ED290D"/>
    <w:rsid w:val="00F10DC2"/>
    <w:rsid w:val="00F1676E"/>
    <w:rsid w:val="00F34566"/>
    <w:rsid w:val="00F408AE"/>
    <w:rsid w:val="00F5339B"/>
    <w:rsid w:val="00FC171F"/>
    <w:rsid w:val="00FC4170"/>
    <w:rsid w:val="00FE2367"/>
    <w:rsid w:val="00FF61CA"/>
    <w:rsid w:val="043D4EBC"/>
    <w:rsid w:val="0C825C59"/>
    <w:rsid w:val="12566D70"/>
    <w:rsid w:val="30413D2B"/>
    <w:rsid w:val="37392232"/>
    <w:rsid w:val="3DA65B2E"/>
    <w:rsid w:val="40957F84"/>
    <w:rsid w:val="4ABA60F0"/>
    <w:rsid w:val="4C702605"/>
    <w:rsid w:val="53703886"/>
    <w:rsid w:val="55052414"/>
    <w:rsid w:val="6449399F"/>
    <w:rsid w:val="6D6F3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kern w:val="0"/>
      <w:sz w:val="18"/>
      <w:szCs w:val="18"/>
    </w:rPr>
  </w:style>
  <w:style w:type="paragraph" w:styleId="5">
    <w:name w:val="annotation text"/>
    <w:basedOn w:val="1"/>
    <w:link w:val="25"/>
    <w:semiHidden/>
    <w:unhideWhenUsed/>
    <w:qFormat/>
    <w:uiPriority w:val="99"/>
    <w:pPr>
      <w:jc w:val="left"/>
    </w:pPr>
    <w:rPr>
      <w:kern w:val="0"/>
      <w:sz w:val="20"/>
      <w:szCs w:val="20"/>
    </w:rPr>
  </w:style>
  <w:style w:type="paragraph" w:styleId="6">
    <w:name w:val="Salutation"/>
    <w:basedOn w:val="1"/>
    <w:next w:val="1"/>
    <w:link w:val="22"/>
    <w:qFormat/>
    <w:uiPriority w:val="99"/>
    <w:rPr>
      <w:rFonts w:ascii="Times New Roman" w:hAnsi="Times New Roman"/>
      <w:kern w:val="0"/>
      <w:sz w:val="20"/>
      <w:szCs w:val="21"/>
    </w:rPr>
  </w:style>
  <w:style w:type="paragraph" w:styleId="7">
    <w:name w:val="toc 3"/>
    <w:basedOn w:val="1"/>
    <w:next w:val="1"/>
    <w:unhideWhenUsed/>
    <w:qFormat/>
    <w:uiPriority w:val="39"/>
    <w:pPr>
      <w:widowControl/>
      <w:tabs>
        <w:tab w:val="right" w:leader="dot" w:pos="8296"/>
      </w:tabs>
      <w:spacing w:after="100" w:line="276" w:lineRule="auto"/>
      <w:ind w:left="442"/>
      <w:jc w:val="left"/>
    </w:pPr>
    <w:rPr>
      <w:kern w:val="0"/>
      <w:sz w:val="22"/>
    </w:rPr>
  </w:style>
  <w:style w:type="paragraph" w:styleId="8">
    <w:name w:val="Balloon Text"/>
    <w:basedOn w:val="1"/>
    <w:link w:val="23"/>
    <w:semiHidden/>
    <w:unhideWhenUsed/>
    <w:qFormat/>
    <w:uiPriority w:val="99"/>
    <w:rPr>
      <w:kern w:val="0"/>
      <w:sz w:val="18"/>
      <w:szCs w:val="18"/>
    </w:rPr>
  </w:style>
  <w:style w:type="paragraph" w:styleId="9">
    <w:name w:val="footer"/>
    <w:basedOn w:val="1"/>
    <w:link w:val="19"/>
    <w:unhideWhenUsed/>
    <w:qFormat/>
    <w:uiPriority w:val="99"/>
    <w:pPr>
      <w:tabs>
        <w:tab w:val="center" w:pos="4153"/>
        <w:tab w:val="right" w:pos="8306"/>
      </w:tabs>
      <w:snapToGrid w:val="0"/>
      <w:jc w:val="left"/>
    </w:pPr>
    <w:rPr>
      <w:kern w:val="0"/>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semiHidden/>
    <w:unhideWhenUsed/>
    <w:qFormat/>
    <w:uiPriority w:val="39"/>
    <w:pPr>
      <w:widowControl/>
      <w:spacing w:after="100" w:line="276" w:lineRule="auto"/>
      <w:ind w:left="220"/>
      <w:jc w:val="left"/>
    </w:pPr>
    <w:rPr>
      <w:kern w:val="0"/>
      <w:sz w:val="22"/>
    </w:rPr>
  </w:style>
  <w:style w:type="paragraph" w:styleId="13">
    <w:name w:val="annotation subject"/>
    <w:basedOn w:val="5"/>
    <w:next w:val="5"/>
    <w:link w:val="26"/>
    <w:semiHidden/>
    <w:unhideWhenUsed/>
    <w:qFormat/>
    <w:uiPriority w:val="99"/>
    <w:rPr>
      <w:b/>
      <w:bCs/>
    </w:rPr>
  </w:style>
  <w:style w:type="table" w:styleId="15">
    <w:name w:val="Table Theme"/>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semiHidden/>
    <w:unhideWhenUsed/>
    <w:qFormat/>
    <w:uiPriority w:val="99"/>
    <w:rPr>
      <w:sz w:val="21"/>
      <w:szCs w:val="21"/>
    </w:rPr>
  </w:style>
  <w:style w:type="character" w:customStyle="1" w:styleId="19">
    <w:name w:val="页脚 字符"/>
    <w:link w:val="9"/>
    <w:qFormat/>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页眉 字符"/>
    <w:link w:val="10"/>
    <w:qFormat/>
    <w:uiPriority w:val="99"/>
    <w:rPr>
      <w:rFonts w:ascii="Calibri" w:hAnsi="Calibri" w:eastAsia="宋体" w:cs="Times New Roman"/>
      <w:sz w:val="18"/>
      <w:szCs w:val="18"/>
    </w:rPr>
  </w:style>
  <w:style w:type="character" w:customStyle="1" w:styleId="22">
    <w:name w:val="称呼 字符"/>
    <w:link w:val="6"/>
    <w:qFormat/>
    <w:uiPriority w:val="99"/>
    <w:rPr>
      <w:rFonts w:ascii="Times New Roman" w:hAnsi="Times New Roman" w:eastAsia="宋体" w:cs="Times New Roman"/>
      <w:szCs w:val="21"/>
    </w:rPr>
  </w:style>
  <w:style w:type="character" w:customStyle="1" w:styleId="23">
    <w:name w:val="批注框文本 字符"/>
    <w:link w:val="8"/>
    <w:semiHidden/>
    <w:qFormat/>
    <w:uiPriority w:val="99"/>
    <w:rPr>
      <w:rFonts w:ascii="Calibri" w:hAnsi="Calibri" w:eastAsia="宋体" w:cs="Times New Roman"/>
      <w:sz w:val="18"/>
      <w:szCs w:val="18"/>
    </w:rPr>
  </w:style>
  <w:style w:type="character" w:customStyle="1" w:styleId="24">
    <w:name w:val="文档结构图 字符"/>
    <w:link w:val="4"/>
    <w:semiHidden/>
    <w:qFormat/>
    <w:uiPriority w:val="99"/>
    <w:rPr>
      <w:rFonts w:ascii="宋体" w:hAnsi="Calibri" w:eastAsia="宋体" w:cs="Times New Roman"/>
      <w:sz w:val="18"/>
      <w:szCs w:val="18"/>
    </w:rPr>
  </w:style>
  <w:style w:type="character" w:customStyle="1" w:styleId="25">
    <w:name w:val="批注文字 字符"/>
    <w:link w:val="5"/>
    <w:semiHidden/>
    <w:qFormat/>
    <w:uiPriority w:val="99"/>
    <w:rPr>
      <w:rFonts w:ascii="Calibri" w:hAnsi="Calibri" w:eastAsia="宋体" w:cs="Times New Roman"/>
    </w:rPr>
  </w:style>
  <w:style w:type="character" w:customStyle="1" w:styleId="26">
    <w:name w:val="批注主题 字符"/>
    <w:link w:val="13"/>
    <w:semiHidden/>
    <w:qFormat/>
    <w:uiPriority w:val="99"/>
    <w:rPr>
      <w:rFonts w:ascii="Calibri" w:hAnsi="Calibri" w:eastAsia="宋体" w:cs="Times New Roman"/>
      <w:b/>
      <w:bCs/>
    </w:rPr>
  </w:style>
  <w:style w:type="paragraph" w:customStyle="1" w:styleId="27">
    <w:name w:val="_Style 26"/>
    <w:hidden/>
    <w:semiHidden/>
    <w:qFormat/>
    <w:uiPriority w:val="99"/>
    <w:rPr>
      <w:rFonts w:ascii="Calibri" w:hAnsi="Calibri" w:eastAsia="宋体" w:cs="Times New Roman"/>
      <w:kern w:val="2"/>
      <w:sz w:val="21"/>
      <w:szCs w:val="22"/>
      <w:lang w:val="en-US" w:eastAsia="zh-CN" w:bidi="ar-SA"/>
    </w:rPr>
  </w:style>
  <w:style w:type="character" w:customStyle="1" w:styleId="28">
    <w:name w:val="标题 1 字符"/>
    <w:basedOn w:val="16"/>
    <w:link w:val="2"/>
    <w:qFormat/>
    <w:uiPriority w:val="9"/>
    <w:rPr>
      <w:b/>
      <w:bCs/>
      <w:kern w:val="44"/>
      <w:sz w:val="44"/>
      <w:szCs w:val="44"/>
    </w:rPr>
  </w:style>
  <w:style w:type="paragraph" w:customStyle="1" w:styleId="29">
    <w:name w:val="_Style 28"/>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0">
    <w:name w:val="标题 3 字符"/>
    <w:basedOn w:val="16"/>
    <w:link w:val="3"/>
    <w:qFormat/>
    <w:uiPriority w:val="9"/>
    <w:rPr>
      <w:rFonts w:ascii="黑体" w:hAnsi="黑体" w:eastAsia="黑体" w:cs="Times New Roman"/>
      <w:b/>
      <w:bCs/>
      <w:kern w:val="2"/>
      <w:sz w:val="36"/>
      <w:szCs w:val="36"/>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paragraph" w:customStyle="1" w:styleId="3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521</Words>
  <Characters>2974</Characters>
  <Lines>24</Lines>
  <Paragraphs>6</Paragraphs>
  <TotalTime>11</TotalTime>
  <ScaleCrop>false</ScaleCrop>
  <LinksUpToDate>false</LinksUpToDate>
  <CharactersWithSpaces>3489</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2023-04-06T07:49:00Z</dcterms:created>
  <dc:creator>wentinglou</dc:creator>
  <cp:lastModifiedBy>whzhou</cp:lastModifiedBy>
  <dcterms:modified xsi:type="dcterms:W3CDTF">2025-02-12T06:46:52Z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266DE6CB48C5404EB18C99DED7FE0D05_13</vt:lpwstr>
  </property>
</Properties>
</file>