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5D39">
      <w:pPr>
        <w:jc w:val="center"/>
        <w:rPr>
          <w:rFonts w:ascii="黑体" w:hAnsi="黑体" w:eastAsia="黑体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/>
          <w:sz w:val="36"/>
          <w:szCs w:val="36"/>
        </w:rPr>
        <w:t>第八号 上市公司</w:t>
      </w:r>
      <w:bookmarkStart w:id="0" w:name="_Hlk62387464"/>
      <w:r>
        <w:rPr>
          <w:rFonts w:hint="eastAsia" w:ascii="黑体" w:hAnsi="黑体" w:eastAsia="黑体"/>
          <w:sz w:val="36"/>
          <w:szCs w:val="36"/>
        </w:rPr>
        <w:t>签订战略框架协议</w:t>
      </w:r>
      <w:bookmarkEnd w:id="0"/>
      <w:r>
        <w:rPr>
          <w:rFonts w:hint="eastAsia" w:ascii="黑体" w:hAnsi="黑体" w:eastAsia="黑体"/>
          <w:sz w:val="36"/>
          <w:szCs w:val="36"/>
        </w:rPr>
        <w:t>公告</w:t>
      </w:r>
    </w:p>
    <w:p w14:paraId="3638B535"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cs="楷体_GB2312-WinCharSetFFFF-H"/>
          <w:color w:val="000000"/>
          <w:kern w:val="0"/>
          <w:sz w:val="32"/>
          <w:szCs w:val="32"/>
        </w:rPr>
      </w:pPr>
    </w:p>
    <w:p w14:paraId="0A1252CB"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适用情形：</w:t>
      </w:r>
    </w:p>
    <w:p w14:paraId="491A4A53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上市公司签订战略框架协议未达到本所业务规则披露标准，但公司认为确有必要披露的，适用本公告格式披露公告并需遵守自愿信息披露的相关要求。前述战略框架协议，指上市公司与交易对方经初步磋商，在对合作方式、领域达成初步意向，但未明确具体权利义务、分配方案、退出机制、违约责任等事项的情况下，签订的基础性协议、备忘录等文件。</w:t>
      </w:r>
    </w:p>
    <w:p w14:paraId="61F6C51A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2.上市公司签订战略框架协议已达到披露标准，但不适用其他公告格式的，可以适用本公告格式披露。</w:t>
      </w:r>
    </w:p>
    <w:p w14:paraId="36669822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3.上市公司签订的战略框架协议未达到披露标准，但有市场传闻或媒体报道，可能对公司股票及其衍生品种交易价格产生较大影响的，适用本公告格式披露公告。</w:t>
      </w:r>
    </w:p>
    <w:p w14:paraId="34782A2A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4.适用本公告格式披露的，需客观、充分披露本公告格式各项内容，不得选择性披露。</w:t>
      </w:r>
    </w:p>
    <w:p w14:paraId="4C0C2581">
      <w:pPr>
        <w:spacing w:line="560" w:lineRule="exact"/>
        <w:rPr>
          <w:rFonts w:ascii="仿宋_GB2312" w:hAnsi="宋体" w:eastAsia="仿宋_GB2312" w:cs="宋体"/>
          <w:sz w:val="30"/>
          <w:szCs w:val="30"/>
        </w:rPr>
      </w:pPr>
    </w:p>
    <w:p w14:paraId="1B234A27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 w14:paraId="3547B4D8">
      <w:pPr>
        <w:adjustRightInd w:val="0"/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4F5971CB">
      <w:pPr>
        <w:snapToGrid w:val="0"/>
        <w:spacing w:line="560" w:lineRule="exact"/>
        <w:jc w:val="center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X</w:t>
      </w:r>
      <w:r>
        <w:rPr>
          <w:rFonts w:ascii="仿宋_GB2312" w:hAnsi="宋体" w:eastAsia="仿宋_GB2312"/>
          <w:color w:val="000000"/>
          <w:sz w:val="30"/>
          <w:szCs w:val="30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股份有限公司签订战略框架协议</w:t>
      </w: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公告</w:t>
      </w:r>
    </w:p>
    <w:p w14:paraId="71CD7D58"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153CBB67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本公司董事会及全体董事保证本公告内容不存在任何虚假记载、误导性陈述或者重大遗漏，并对其内容的真实性、准确性和完整性承担法律责任。</w:t>
      </w:r>
    </w:p>
    <w:p w14:paraId="562E90F3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1A0A5E2D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</w:p>
    <w:p w14:paraId="3BD657DA">
      <w:pPr>
        <w:adjustRightInd w:val="0"/>
        <w:snapToGrid w:val="0"/>
        <w:spacing w:line="56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重要内容提示：</w:t>
      </w:r>
    </w:p>
    <w:p w14:paraId="1F591875"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履约的重大风险及不确定性</w:t>
      </w:r>
    </w:p>
    <w:p w14:paraId="0F495635"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对上市公司当年业绩的影响</w:t>
      </w:r>
    </w:p>
    <w:p w14:paraId="449E1027"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其他风险提示内容</w:t>
      </w:r>
    </w:p>
    <w:p w14:paraId="5FABBF86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</w:p>
    <w:p w14:paraId="502F0ADA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黑体" w:hAnsi="黑体" w:eastAsia="黑体" w:cs="黑体-WinCharSetFFFF-H"/>
          <w:b/>
          <w:kern w:val="0"/>
          <w:sz w:val="30"/>
          <w:szCs w:val="30"/>
        </w:rPr>
      </w:pPr>
      <w:r>
        <w:rPr>
          <w:rFonts w:hint="eastAsia" w:ascii="黑体" w:hAnsi="黑体" w:eastAsia="黑体" w:cs="黑体-WinCharSetFFFF-H"/>
          <w:b/>
          <w:kern w:val="0"/>
          <w:sz w:val="30"/>
          <w:szCs w:val="30"/>
        </w:rPr>
        <w:t>一、框架协议签订的基本情况</w:t>
      </w:r>
    </w:p>
    <w:p w14:paraId="0801585D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（一）交易对方的基本情况。</w:t>
      </w:r>
    </w:p>
    <w:p w14:paraId="67D40ED4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交易对方为法人的，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说明其基本法人信息，例如</w:t>
      </w:r>
      <w:r>
        <w:rPr>
          <w:rFonts w:hint="eastAsia" w:ascii="仿宋_GB2312" w:eastAsia="仿宋_GB2312"/>
          <w:sz w:val="30"/>
          <w:szCs w:val="30"/>
        </w:rPr>
        <w:t>名称、统一社会信用代码、成立时间、注册地、主要办公地点、法定代表人、注册资本、主营业务、主要财务数据、主要股东或实际控制人、与上市公司之间的关系等。</w:t>
      </w:r>
    </w:p>
    <w:p w14:paraId="6A4F65D6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交易对方为自然人的，</w:t>
      </w:r>
      <w:r>
        <w:rPr>
          <w:rFonts w:hint="eastAsia" w:ascii="仿宋_GB2312" w:eastAsia="仿宋_GB2312"/>
          <w:sz w:val="30"/>
          <w:szCs w:val="30"/>
        </w:rPr>
        <w:t>披露其姓名</w:t>
      </w:r>
      <w:r>
        <w:rPr>
          <w:rFonts w:hint="eastAsia" w:ascii="仿宋_GB2312" w:hAnsi="仿宋_GB2312" w:eastAsia="仿宋_GB2312" w:cs="仿宋_GB2312"/>
          <w:sz w:val="30"/>
          <w:szCs w:val="30"/>
        </w:rPr>
        <w:t>、主要</w:t>
      </w:r>
      <w:r>
        <w:rPr>
          <w:rFonts w:hint="eastAsia" w:ascii="仿宋_GB2312" w:eastAsia="仿宋_GB2312"/>
          <w:color w:val="000000"/>
          <w:sz w:val="30"/>
          <w:szCs w:val="30"/>
        </w:rPr>
        <w:t>就职单位</w:t>
      </w:r>
      <w:r>
        <w:rPr>
          <w:rFonts w:hint="eastAsia" w:ascii="仿宋_GB2312" w:eastAsia="仿宋_GB2312"/>
          <w:sz w:val="30"/>
          <w:szCs w:val="30"/>
        </w:rPr>
        <w:t>等基本情况，</w:t>
      </w:r>
      <w:r>
        <w:rPr>
          <w:rFonts w:hint="eastAsia" w:ascii="仿宋_GB2312" w:eastAsia="仿宋_GB2312"/>
          <w:color w:val="000000"/>
          <w:sz w:val="30"/>
          <w:szCs w:val="30"/>
        </w:rPr>
        <w:t>以及其具有履约能力的证明</w:t>
      </w:r>
      <w:r>
        <w:rPr>
          <w:rFonts w:hint="eastAsia" w:ascii="仿宋_GB2312" w:eastAsia="仿宋_GB2312"/>
          <w:sz w:val="30"/>
          <w:szCs w:val="30"/>
        </w:rPr>
        <w:t>、与上市公司之间的关系等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。</w:t>
      </w:r>
    </w:p>
    <w:p w14:paraId="6D86FDB8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（二）协议签署的时间、地点、方式。</w:t>
      </w:r>
    </w:p>
    <w:p w14:paraId="179A75E7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（三）签订协议已履行的审议决策程序、审批或备案程序，以及尚待满足的条件。</w:t>
      </w:r>
    </w:p>
    <w:p w14:paraId="29178081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</w:p>
    <w:p w14:paraId="19AA43C5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黑体" w:hAnsi="黑体" w:eastAsia="黑体" w:cs="黑体-WinCharSetFFFF-H"/>
          <w:b/>
          <w:kern w:val="0"/>
          <w:sz w:val="30"/>
          <w:szCs w:val="30"/>
        </w:rPr>
      </w:pPr>
      <w:r>
        <w:rPr>
          <w:rFonts w:hint="eastAsia" w:ascii="黑体" w:hAnsi="黑体" w:eastAsia="黑体" w:cs="黑体-WinCharSetFFFF-H"/>
          <w:b/>
          <w:kern w:val="0"/>
          <w:sz w:val="30"/>
          <w:szCs w:val="30"/>
        </w:rPr>
        <w:t>二、框架协议的主要内容</w:t>
      </w:r>
    </w:p>
    <w:p w14:paraId="4BB34394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（一）合作的背景与目标、主要内容、合作模式、合作规模或金额。</w:t>
      </w:r>
    </w:p>
    <w:p w14:paraId="460E87C8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（二）交易各方的主要权利和义务。</w:t>
      </w:r>
    </w:p>
    <w:p w14:paraId="15074C40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（三）协议的生效条件、生效时间，以及交易各方的违约责任等。</w:t>
      </w:r>
    </w:p>
    <w:p w14:paraId="69FC52AF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（四）协议实际履行的前置条件、目前已满足的条件。</w:t>
      </w:r>
    </w:p>
    <w:p w14:paraId="38BD3AA5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（五）协议条款有附加或者保留条件的，需予以特别说明。</w:t>
      </w:r>
    </w:p>
    <w:p w14:paraId="152AB33A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</w:p>
    <w:p w14:paraId="26AE3D18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黑体" w:hAnsi="黑体" w:eastAsia="黑体" w:cs="黑体-WinCharSetFFFF-H"/>
          <w:b/>
          <w:kern w:val="0"/>
          <w:sz w:val="30"/>
          <w:szCs w:val="30"/>
        </w:rPr>
      </w:pPr>
      <w:r>
        <w:rPr>
          <w:rFonts w:hint="eastAsia" w:ascii="黑体" w:hAnsi="黑体" w:eastAsia="黑体" w:cs="黑体-WinCharSetFFFF-H"/>
          <w:b/>
          <w:kern w:val="0"/>
          <w:sz w:val="30"/>
          <w:szCs w:val="30"/>
        </w:rPr>
        <w:t>三、对上市公司的影响</w:t>
      </w:r>
    </w:p>
    <w:p w14:paraId="5EDFCCBF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上市公司需客观披露框架协议对公司经营、业绩等的影响，尽量使用可量化或可计量的陈述性语言。例如，结合具体数据说明对公司当年营业收入、净利润是否有重大影响，拟合作事项与公司现有业务有无协同效应等。</w:t>
      </w:r>
    </w:p>
    <w:p w14:paraId="476CF0D5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</w:p>
    <w:p w14:paraId="600B55B1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黑体" w:hAnsi="黑体" w:eastAsia="黑体" w:cs="黑体-WinCharSetFFFF-H"/>
          <w:b/>
          <w:kern w:val="0"/>
          <w:sz w:val="30"/>
          <w:szCs w:val="30"/>
        </w:rPr>
      </w:pPr>
      <w:r>
        <w:rPr>
          <w:rFonts w:hint="eastAsia" w:ascii="黑体" w:hAnsi="黑体" w:eastAsia="黑体" w:cs="黑体-WinCharSetFFFF-H"/>
          <w:b/>
          <w:kern w:val="0"/>
          <w:sz w:val="30"/>
          <w:szCs w:val="30"/>
        </w:rPr>
        <w:t>四、重大风险提示</w:t>
      </w:r>
    </w:p>
    <w:p w14:paraId="66A51166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公司需审慎披露框架协议生效以及实际履行过程中的重大不确定性，并向投资者充分揭示相关事项的风险。</w:t>
      </w:r>
    </w:p>
    <w:p w14:paraId="4D5FB2EA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（一）框架协议不具有实质约束效力的，上市公司需充分提示风险。协议生效条件或履行条件尚未成就的，公司需披露协议生效或履行的前置程序，如审议决策程序、审批或备案程序等。</w:t>
      </w:r>
    </w:p>
    <w:p w14:paraId="7E5F69DE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（二）框架协议涉及新业务、新技术、新模式、新产品的，公司需披露是否已实际开展该合作事项、是否已进行可行性论证、是否已取得必需的行业准入资质或证明、是否配备相应人员等。</w:t>
      </w:r>
    </w:p>
    <w:p w14:paraId="7A6692CE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（三）框架协议涉及项目投资金额较大的，公司需披露资金来源、支付方式、支付安排、支付能力等方面的不确定性风险。</w:t>
      </w:r>
    </w:p>
    <w:p w14:paraId="3B6B1EE7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（四）本所要求披露的其他事项。</w:t>
      </w:r>
    </w:p>
    <w:p w14:paraId="625375A3">
      <w:pPr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 w:cs="宋体-WinCharSetFFFF-H"/>
          <w:b/>
          <w:color w:val="000000"/>
          <w:kern w:val="0"/>
          <w:sz w:val="30"/>
          <w:szCs w:val="30"/>
        </w:rPr>
      </w:pPr>
    </w:p>
    <w:p w14:paraId="0D042BD3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特此公告。</w:t>
      </w:r>
    </w:p>
    <w:p w14:paraId="73AA0ABB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025BE2B2"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股份有限公司董事会</w:t>
      </w:r>
    </w:p>
    <w:p w14:paraId="2848BD5E">
      <w:pPr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 xml:space="preserve"> 年  月  日</w:t>
      </w:r>
    </w:p>
    <w:p w14:paraId="356BFA7D">
      <w:pPr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693C8421">
      <w:pPr>
        <w:spacing w:line="560" w:lineRule="exact"/>
        <w:ind w:right="1050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1C4F6CEB">
      <w:pPr>
        <w:pStyle w:val="12"/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报备文件</w:t>
      </w:r>
    </w:p>
    <w:p w14:paraId="50DC6CA1">
      <w:pPr>
        <w:tabs>
          <w:tab w:val="left" w:pos="1440"/>
        </w:tabs>
        <w:adjustRightInd w:val="0"/>
        <w:snapToGrid w:val="0"/>
        <w:spacing w:line="560" w:lineRule="exact"/>
        <w:ind w:left="602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战略框架协议</w:t>
      </w:r>
    </w:p>
    <w:p w14:paraId="1838A542"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-WinCharSetFFFF-H">
    <w:altName w:val="楷体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01252"/>
      <w:docPartObj>
        <w:docPartGallery w:val="autotext"/>
      </w:docPartObj>
    </w:sdtPr>
    <w:sdtContent>
      <w:p w14:paraId="07653CA2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9CD8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561F7"/>
    <w:multiLevelType w:val="multilevel"/>
    <w:tmpl w:val="52E561F7"/>
    <w:lvl w:ilvl="0" w:tentative="0">
      <w:start w:val="1"/>
      <w:numFmt w:val="bullet"/>
      <w:lvlText w:val=""/>
      <w:lvlJc w:val="left"/>
      <w:pPr>
        <w:ind w:left="102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2" w:hanging="420"/>
      </w:pPr>
      <w:rPr>
        <w:rFonts w:hint="default" w:ascii="Wingdings" w:hAnsi="Wingdings"/>
      </w:rPr>
    </w:lvl>
  </w:abstractNum>
  <w:abstractNum w:abstractNumId="1">
    <w:nsid w:val="74646B16"/>
    <w:multiLevelType w:val="multilevel"/>
    <w:tmpl w:val="74646B16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CD"/>
    <w:rsid w:val="00000558"/>
    <w:rsid w:val="00023A0A"/>
    <w:rsid w:val="00031CD7"/>
    <w:rsid w:val="00053889"/>
    <w:rsid w:val="000B1415"/>
    <w:rsid w:val="000B2C25"/>
    <w:rsid w:val="00126188"/>
    <w:rsid w:val="00134885"/>
    <w:rsid w:val="00135318"/>
    <w:rsid w:val="001368F4"/>
    <w:rsid w:val="00140D56"/>
    <w:rsid w:val="0014463F"/>
    <w:rsid w:val="001646A9"/>
    <w:rsid w:val="00170305"/>
    <w:rsid w:val="00185BB1"/>
    <w:rsid w:val="00187942"/>
    <w:rsid w:val="001D5B3D"/>
    <w:rsid w:val="002037C8"/>
    <w:rsid w:val="0021036A"/>
    <w:rsid w:val="00235535"/>
    <w:rsid w:val="00243C50"/>
    <w:rsid w:val="002465E2"/>
    <w:rsid w:val="00252C72"/>
    <w:rsid w:val="00270B31"/>
    <w:rsid w:val="002C0E3F"/>
    <w:rsid w:val="002E0C7B"/>
    <w:rsid w:val="002E703F"/>
    <w:rsid w:val="003013A9"/>
    <w:rsid w:val="00313A26"/>
    <w:rsid w:val="00340CC5"/>
    <w:rsid w:val="00353155"/>
    <w:rsid w:val="00375E44"/>
    <w:rsid w:val="00384370"/>
    <w:rsid w:val="003B0B7B"/>
    <w:rsid w:val="003C366C"/>
    <w:rsid w:val="003C3D33"/>
    <w:rsid w:val="003F0DDC"/>
    <w:rsid w:val="00412966"/>
    <w:rsid w:val="00413809"/>
    <w:rsid w:val="00426F1A"/>
    <w:rsid w:val="00434C45"/>
    <w:rsid w:val="0045133B"/>
    <w:rsid w:val="0045237D"/>
    <w:rsid w:val="00460864"/>
    <w:rsid w:val="00481B7D"/>
    <w:rsid w:val="004A268D"/>
    <w:rsid w:val="004E728E"/>
    <w:rsid w:val="004F034D"/>
    <w:rsid w:val="004F17D2"/>
    <w:rsid w:val="00501073"/>
    <w:rsid w:val="00522C19"/>
    <w:rsid w:val="00530515"/>
    <w:rsid w:val="005311E5"/>
    <w:rsid w:val="00541209"/>
    <w:rsid w:val="0056522F"/>
    <w:rsid w:val="0056773F"/>
    <w:rsid w:val="005A63A0"/>
    <w:rsid w:val="005A6C23"/>
    <w:rsid w:val="005E18AD"/>
    <w:rsid w:val="0060260C"/>
    <w:rsid w:val="00615711"/>
    <w:rsid w:val="006241B2"/>
    <w:rsid w:val="00631267"/>
    <w:rsid w:val="00640AA4"/>
    <w:rsid w:val="006462A1"/>
    <w:rsid w:val="00650A14"/>
    <w:rsid w:val="00650F47"/>
    <w:rsid w:val="00653997"/>
    <w:rsid w:val="006754DD"/>
    <w:rsid w:val="006B45CE"/>
    <w:rsid w:val="00721FF0"/>
    <w:rsid w:val="0072547A"/>
    <w:rsid w:val="00734133"/>
    <w:rsid w:val="00752421"/>
    <w:rsid w:val="00754380"/>
    <w:rsid w:val="00762F25"/>
    <w:rsid w:val="00764C82"/>
    <w:rsid w:val="00774F43"/>
    <w:rsid w:val="007A51F4"/>
    <w:rsid w:val="007C21F5"/>
    <w:rsid w:val="007E4DFB"/>
    <w:rsid w:val="00834601"/>
    <w:rsid w:val="00846224"/>
    <w:rsid w:val="008531FF"/>
    <w:rsid w:val="008667BB"/>
    <w:rsid w:val="00872B4C"/>
    <w:rsid w:val="008B15B7"/>
    <w:rsid w:val="008E2FF0"/>
    <w:rsid w:val="008F3C37"/>
    <w:rsid w:val="00912B06"/>
    <w:rsid w:val="0092638C"/>
    <w:rsid w:val="0099465D"/>
    <w:rsid w:val="009A1913"/>
    <w:rsid w:val="009D4445"/>
    <w:rsid w:val="009E2126"/>
    <w:rsid w:val="00A317FA"/>
    <w:rsid w:val="00A447CF"/>
    <w:rsid w:val="00A4798A"/>
    <w:rsid w:val="00AA1DF6"/>
    <w:rsid w:val="00AC6182"/>
    <w:rsid w:val="00B3338B"/>
    <w:rsid w:val="00B62AE5"/>
    <w:rsid w:val="00B6742F"/>
    <w:rsid w:val="00B8596E"/>
    <w:rsid w:val="00B876D5"/>
    <w:rsid w:val="00BD2B25"/>
    <w:rsid w:val="00BF2ECD"/>
    <w:rsid w:val="00BF5600"/>
    <w:rsid w:val="00C32391"/>
    <w:rsid w:val="00C578DC"/>
    <w:rsid w:val="00C66F5A"/>
    <w:rsid w:val="00CD0630"/>
    <w:rsid w:val="00D14999"/>
    <w:rsid w:val="00D17551"/>
    <w:rsid w:val="00D47F3E"/>
    <w:rsid w:val="00D53B98"/>
    <w:rsid w:val="00D567C1"/>
    <w:rsid w:val="00D57936"/>
    <w:rsid w:val="00D57A77"/>
    <w:rsid w:val="00D625DE"/>
    <w:rsid w:val="00DA03F1"/>
    <w:rsid w:val="00DA4CD9"/>
    <w:rsid w:val="00DB4D14"/>
    <w:rsid w:val="00DD5D73"/>
    <w:rsid w:val="00DE4FB2"/>
    <w:rsid w:val="00E17442"/>
    <w:rsid w:val="00E21928"/>
    <w:rsid w:val="00E2419C"/>
    <w:rsid w:val="00E545DB"/>
    <w:rsid w:val="00EB0D23"/>
    <w:rsid w:val="00EE252E"/>
    <w:rsid w:val="00EE3473"/>
    <w:rsid w:val="00F14177"/>
    <w:rsid w:val="00F33EFA"/>
    <w:rsid w:val="00F71B8F"/>
    <w:rsid w:val="00F92459"/>
    <w:rsid w:val="00FC6E5C"/>
    <w:rsid w:val="38AA2F42"/>
    <w:rsid w:val="3E1A57A6"/>
    <w:rsid w:val="50656676"/>
    <w:rsid w:val="F2DBE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文档结构图 字符"/>
    <w:basedOn w:val="9"/>
    <w:link w:val="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6">
    <w:name w:val="批注文字 字符"/>
    <w:basedOn w:val="9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字符"/>
    <w:basedOn w:val="16"/>
    <w:link w:val="7"/>
    <w:semiHidden/>
    <w:uiPriority w:val="99"/>
    <w:rPr>
      <w:rFonts w:ascii="Calibri" w:hAnsi="Calibri" w:eastAsia="宋体" w:cs="Times New Roman"/>
      <w:b/>
      <w:bCs/>
    </w:rPr>
  </w:style>
  <w:style w:type="paragraph" w:customStyle="1" w:styleId="1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</Words>
  <Characters>1215</Characters>
  <Lines>10</Lines>
  <Paragraphs>2</Paragraphs>
  <TotalTime>50</TotalTime>
  <ScaleCrop>false</ScaleCrop>
  <LinksUpToDate>false</LinksUpToDate>
  <CharactersWithSpaces>1425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2022-04-23T22:35:00Z</dcterms:created>
  <dc:creator>whzhou</dc:creator>
  <cp:lastModifiedBy>wentinglou</cp:lastModifiedBy>
  <dcterms:modified xsi:type="dcterms:W3CDTF">2025-04-25T18:42:51Z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E326D9C0C6FD422BA1E4CC1A819B6DAF_13</vt:lpwstr>
  </property>
</Properties>
</file>