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52EB4">
      <w:pPr>
        <w:pStyle w:val="20"/>
        <w:spacing w:line="540" w:lineRule="exact"/>
        <w:rPr>
          <w:rFonts w:eastAsia="仿宋_GB2312" w:cs="黑体"/>
          <w:bCs/>
          <w:sz w:val="30"/>
          <w:szCs w:val="30"/>
        </w:rPr>
      </w:pPr>
      <w:bookmarkStart w:id="0" w:name="_Hlk162526704"/>
      <w:r>
        <w:rPr>
          <w:rFonts w:hint="eastAsia" w:ascii="黑体" w:eastAsia="黑体" w:cs="黑体"/>
          <w:bCs/>
          <w:kern w:val="2"/>
          <w:sz w:val="32"/>
          <w:szCs w:val="32"/>
          <w:lang w:bidi="ar"/>
        </w:rPr>
        <w:t>附件</w:t>
      </w:r>
      <w:r>
        <w:rPr>
          <w:rFonts w:hint="eastAsia" w:ascii="Times New Roman" w:hAnsi="Times New Roman" w:eastAsia="黑体" w:cs="Times New Roman"/>
          <w:bCs/>
          <w:kern w:val="2"/>
          <w:sz w:val="32"/>
          <w:szCs w:val="32"/>
          <w:lang w:eastAsia="zh" w:bidi="ar"/>
        </w:rPr>
        <w:t>1</w:t>
      </w:r>
    </w:p>
    <w:bookmarkEnd w:id="0"/>
    <w:p w14:paraId="712CD4FB">
      <w:pPr>
        <w:ind w:firstLine="602"/>
        <w:rPr>
          <w:rFonts w:hint="eastAsia" w:ascii="仿宋_GB2312" w:hAnsi="华文中宋" w:eastAsia="仿宋_GB2312"/>
          <w:b/>
          <w:sz w:val="30"/>
          <w:szCs w:val="30"/>
        </w:rPr>
      </w:pPr>
    </w:p>
    <w:p w14:paraId="74C732E2">
      <w:pPr>
        <w:snapToGrid w:val="0"/>
        <w:spacing w:line="560" w:lineRule="exact"/>
        <w:jc w:val="center"/>
        <w:rPr>
          <w:rFonts w:hint="eastAsia" w:ascii="黑体" w:hAnsi="黑体" w:eastAsia="黑体"/>
          <w:b/>
          <w:bCs/>
          <w:sz w:val="44"/>
          <w:szCs w:val="44"/>
        </w:rPr>
      </w:pPr>
      <w:r>
        <w:rPr>
          <w:rFonts w:hint="eastAsia" w:ascii="黑体" w:hAnsi="黑体" w:eastAsia="黑体"/>
          <w:b/>
          <w:bCs/>
          <w:sz w:val="44"/>
          <w:szCs w:val="44"/>
        </w:rPr>
        <w:t>上海证券交易所科创板股票上市规则</w:t>
      </w:r>
    </w:p>
    <w:p w14:paraId="2AAD45F6">
      <w:pPr>
        <w:snapToGrid w:val="0"/>
        <w:spacing w:line="560" w:lineRule="exact"/>
        <w:ind w:firstLine="560"/>
        <w:rPr>
          <w:rFonts w:hint="eastAsia" w:ascii="仿宋_GB2312" w:hAnsi="宋体" w:eastAsia="仿宋_GB2312"/>
          <w:bCs/>
          <w:sz w:val="28"/>
          <w:szCs w:val="28"/>
        </w:rPr>
      </w:pPr>
    </w:p>
    <w:p w14:paraId="14FAA4AE">
      <w:pPr>
        <w:snapToGrid w:val="0"/>
        <w:spacing w:line="560" w:lineRule="exact"/>
        <w:rPr>
          <w:rFonts w:ascii="仿宋_GB2312" w:eastAsia="仿宋_GB2312"/>
          <w:sz w:val="28"/>
          <w:szCs w:val="28"/>
        </w:rPr>
      </w:pPr>
      <w:r>
        <w:rPr>
          <w:rFonts w:ascii="仿宋_GB2312" w:hAnsi="宋体" w:eastAsia="仿宋_GB2312"/>
          <w:bCs/>
          <w:sz w:val="28"/>
          <w:szCs w:val="28"/>
        </w:rPr>
        <w:t>（</w:t>
      </w:r>
      <w:r>
        <w:rPr>
          <w:rFonts w:ascii="仿宋_GB2312" w:eastAsia="仿宋_GB2312"/>
          <w:sz w:val="28"/>
          <w:szCs w:val="28"/>
        </w:rPr>
        <w:t>2019年3月实施  2019年4月第一次修订  2020年12月第二次修订  2023年</w:t>
      </w:r>
      <w:r>
        <w:rPr>
          <w:rFonts w:ascii="仿宋_GB2312" w:hAnsi="宋体" w:eastAsia="仿宋_GB2312"/>
          <w:bCs/>
          <w:sz w:val="28"/>
          <w:szCs w:val="28"/>
        </w:rPr>
        <w:t>8</w:t>
      </w:r>
      <w:r>
        <w:rPr>
          <w:rFonts w:ascii="仿宋_GB2312" w:eastAsia="仿宋_GB2312"/>
          <w:sz w:val="28"/>
          <w:szCs w:val="28"/>
        </w:rPr>
        <w:t>月第三次修订</w:t>
      </w:r>
      <w:r>
        <w:rPr>
          <w:rFonts w:ascii="仿宋_GB2312" w:hAnsi="宋体" w:eastAsia="仿宋_GB2312"/>
          <w:bCs/>
          <w:sz w:val="28"/>
          <w:szCs w:val="28"/>
        </w:rPr>
        <w:t xml:space="preserve"> </w:t>
      </w:r>
      <w:bookmarkStart w:id="1150" w:name="_GoBack"/>
      <w:bookmarkEnd w:id="1150"/>
      <w:r>
        <w:rPr>
          <w:rFonts w:ascii="仿宋_GB2312" w:hAnsi="宋体" w:eastAsia="仿宋_GB2312"/>
          <w:bCs/>
          <w:sz w:val="28"/>
          <w:szCs w:val="28"/>
        </w:rPr>
        <w:t xml:space="preserve"> </w:t>
      </w:r>
      <w:r>
        <w:rPr>
          <w:rFonts w:hint="eastAsia" w:ascii="仿宋_GB2312" w:hAnsi="宋体" w:eastAsia="仿宋_GB2312"/>
          <w:bCs/>
          <w:sz w:val="28"/>
          <w:szCs w:val="28"/>
        </w:rPr>
        <w:t>2024年</w:t>
      </w:r>
      <w:r>
        <w:rPr>
          <w:rFonts w:ascii="仿宋_GB2312" w:hAnsi="宋体" w:eastAsia="仿宋_GB2312"/>
          <w:bCs/>
          <w:sz w:val="28"/>
          <w:szCs w:val="28"/>
        </w:rPr>
        <w:t>4</w:t>
      </w:r>
      <w:r>
        <w:rPr>
          <w:rFonts w:hint="eastAsia" w:ascii="仿宋_GB2312" w:hAnsi="宋体" w:eastAsia="仿宋_GB2312"/>
          <w:bCs/>
          <w:sz w:val="28"/>
          <w:szCs w:val="28"/>
        </w:rPr>
        <w:t xml:space="preserve">月第四次修订  </w:t>
      </w:r>
      <w:r>
        <w:rPr>
          <w:rFonts w:ascii="仿宋_GB2312" w:hAnsi="宋体" w:eastAsia="仿宋_GB2312"/>
          <w:bCs/>
          <w:sz w:val="28"/>
          <w:szCs w:val="28"/>
        </w:rPr>
        <w:t>202</w:t>
      </w:r>
      <w:r>
        <w:rPr>
          <w:rFonts w:hint="eastAsia" w:ascii="仿宋_GB2312" w:hAnsi="宋体" w:eastAsia="仿宋_GB2312"/>
          <w:bCs/>
          <w:sz w:val="28"/>
          <w:szCs w:val="28"/>
        </w:rPr>
        <w:t>5</w:t>
      </w:r>
      <w:r>
        <w:rPr>
          <w:rFonts w:ascii="仿宋_GB2312" w:hAnsi="宋体" w:eastAsia="仿宋_GB2312"/>
          <w:bCs/>
          <w:sz w:val="28"/>
          <w:szCs w:val="28"/>
        </w:rPr>
        <w:t>年</w:t>
      </w:r>
      <w:r>
        <w:rPr>
          <w:rFonts w:hint="eastAsia" w:ascii="仿宋_GB2312" w:hAnsi="宋体" w:eastAsia="仿宋_GB2312"/>
          <w:bCs/>
          <w:sz w:val="28"/>
          <w:szCs w:val="28"/>
        </w:rPr>
        <w:t>4</w:t>
      </w:r>
      <w:r>
        <w:rPr>
          <w:rFonts w:ascii="仿宋_GB2312" w:hAnsi="宋体" w:eastAsia="仿宋_GB2312"/>
          <w:bCs/>
          <w:sz w:val="28"/>
          <w:szCs w:val="28"/>
        </w:rPr>
        <w:t>月第</w:t>
      </w:r>
      <w:r>
        <w:rPr>
          <w:rFonts w:hint="eastAsia" w:ascii="仿宋_GB2312" w:hAnsi="宋体" w:eastAsia="仿宋_GB2312"/>
          <w:bCs/>
          <w:sz w:val="28"/>
          <w:szCs w:val="28"/>
        </w:rPr>
        <w:t>五</w:t>
      </w:r>
      <w:r>
        <w:rPr>
          <w:rFonts w:ascii="仿宋_GB2312" w:hAnsi="宋体" w:eastAsia="仿宋_GB2312"/>
          <w:bCs/>
          <w:sz w:val="28"/>
          <w:szCs w:val="28"/>
        </w:rPr>
        <w:t>次修订</w:t>
      </w:r>
      <w:r>
        <w:rPr>
          <w:rFonts w:ascii="仿宋_GB2312" w:eastAsia="仿宋_GB2312"/>
          <w:sz w:val="28"/>
          <w:szCs w:val="28"/>
        </w:rPr>
        <w:t>）</w:t>
      </w:r>
    </w:p>
    <w:p w14:paraId="77BBE8F8">
      <w:pPr>
        <w:snapToGrid w:val="0"/>
        <w:spacing w:line="560" w:lineRule="exact"/>
        <w:ind w:firstLine="720"/>
        <w:rPr>
          <w:rFonts w:hint="eastAsia" w:ascii="华文中宋" w:hAnsi="华文中宋" w:eastAsia="华文中宋"/>
          <w:sz w:val="36"/>
          <w:szCs w:val="36"/>
        </w:rPr>
      </w:pPr>
    </w:p>
    <w:p w14:paraId="375D56AF">
      <w:pPr>
        <w:snapToGrid w:val="0"/>
        <w:spacing w:line="560" w:lineRule="exact"/>
        <w:ind w:firstLine="562"/>
        <w:jc w:val="center"/>
        <w:rPr>
          <w:rFonts w:hint="eastAsia" w:ascii="黑体" w:hAnsi="黑体" w:eastAsia="黑体"/>
          <w:b/>
          <w:sz w:val="28"/>
          <w:szCs w:val="28"/>
        </w:rPr>
      </w:pPr>
      <w:r>
        <w:rPr>
          <w:rFonts w:hint="eastAsia" w:ascii="黑体" w:hAnsi="黑体" w:eastAsia="黑体"/>
          <w:b/>
          <w:sz w:val="28"/>
          <w:szCs w:val="28"/>
        </w:rPr>
        <w:t>目    录</w:t>
      </w:r>
    </w:p>
    <w:p w14:paraId="46C18492">
      <w:pPr>
        <w:pStyle w:val="7"/>
        <w:rPr>
          <w:sz w:val="16"/>
          <w:szCs w:val="21"/>
          <w:shd w:val="clear" w:color="FFFFFF" w:fill="D9D9D9"/>
        </w:rPr>
      </w:pPr>
    </w:p>
    <w:p w14:paraId="1CC624C9">
      <w:pPr>
        <w:pStyle w:val="15"/>
        <w:tabs>
          <w:tab w:val="right" w:leader="dot" w:pos="8312"/>
          <w:tab w:val="clear" w:pos="420"/>
          <w:tab w:val="clear" w:pos="1134"/>
          <w:tab w:val="clear" w:pos="8380"/>
        </w:tabs>
        <w:rPr>
          <w:sz w:val="28"/>
          <w:szCs w:val="22"/>
        </w:rPr>
      </w:pPr>
      <w:r>
        <w:rPr>
          <w:rFonts w:eastAsia="仿宋_GB2312"/>
          <w:b w:val="0"/>
          <w:sz w:val="22"/>
          <w:szCs w:val="22"/>
          <w:shd w:val="clear" w:color="FFFFFF" w:fill="D9D9D9"/>
        </w:rPr>
        <w:fldChar w:fldCharType="begin"/>
      </w:r>
      <w:r>
        <w:rPr>
          <w:rFonts w:eastAsia="仿宋_GB2312"/>
          <w:b w:val="0"/>
          <w:sz w:val="22"/>
          <w:szCs w:val="22"/>
          <w:shd w:val="clear" w:color="FFFFFF" w:fill="D9D9D9"/>
        </w:rPr>
        <w:instrText xml:space="preserve"> TOC \o "1-3" \h \z \u </w:instrText>
      </w:r>
      <w:r>
        <w:rPr>
          <w:rFonts w:eastAsia="仿宋_GB2312"/>
          <w:b w:val="0"/>
          <w:sz w:val="22"/>
          <w:szCs w:val="22"/>
          <w:shd w:val="clear" w:color="FFFFFF" w:fill="D9D9D9"/>
        </w:rPr>
        <w:fldChar w:fldCharType="separate"/>
      </w:r>
      <w:r>
        <w:fldChar w:fldCharType="begin"/>
      </w:r>
      <w:r>
        <w:instrText xml:space="preserve"> HYPERLINK \l "_Toc32135" </w:instrText>
      </w:r>
      <w:r>
        <w:fldChar w:fldCharType="separate"/>
      </w:r>
      <w:r>
        <w:rPr>
          <w:sz w:val="28"/>
          <w:szCs w:val="4"/>
        </w:rPr>
        <w:t xml:space="preserve">第一章 </w:t>
      </w:r>
      <w:r>
        <w:rPr>
          <w:rFonts w:hint="eastAsia"/>
          <w:sz w:val="28"/>
          <w:szCs w:val="22"/>
        </w:rPr>
        <w:t>总  则</w:t>
      </w:r>
      <w:r>
        <w:rPr>
          <w:sz w:val="28"/>
          <w:szCs w:val="22"/>
        </w:rPr>
        <w:tab/>
      </w:r>
      <w:r>
        <w:rPr>
          <w:sz w:val="28"/>
          <w:szCs w:val="22"/>
        </w:rPr>
        <w:fldChar w:fldCharType="begin"/>
      </w:r>
      <w:r>
        <w:rPr>
          <w:sz w:val="28"/>
          <w:szCs w:val="22"/>
        </w:rPr>
        <w:instrText xml:space="preserve"> PAGEREF _Toc32135 \h </w:instrText>
      </w:r>
      <w:r>
        <w:rPr>
          <w:sz w:val="28"/>
          <w:szCs w:val="22"/>
        </w:rPr>
        <w:fldChar w:fldCharType="separate"/>
      </w:r>
      <w:r>
        <w:rPr>
          <w:sz w:val="28"/>
          <w:szCs w:val="22"/>
        </w:rPr>
        <w:t>4</w:t>
      </w:r>
      <w:r>
        <w:rPr>
          <w:sz w:val="28"/>
          <w:szCs w:val="22"/>
        </w:rPr>
        <w:fldChar w:fldCharType="end"/>
      </w:r>
      <w:r>
        <w:rPr>
          <w:sz w:val="28"/>
          <w:szCs w:val="22"/>
        </w:rPr>
        <w:fldChar w:fldCharType="end"/>
      </w:r>
    </w:p>
    <w:p w14:paraId="6206D8B3">
      <w:pPr>
        <w:pStyle w:val="15"/>
        <w:tabs>
          <w:tab w:val="right" w:leader="dot" w:pos="8312"/>
          <w:tab w:val="clear" w:pos="420"/>
          <w:tab w:val="clear" w:pos="1134"/>
          <w:tab w:val="clear" w:pos="8380"/>
        </w:tabs>
        <w:rPr>
          <w:sz w:val="28"/>
          <w:szCs w:val="22"/>
        </w:rPr>
      </w:pPr>
      <w:r>
        <w:fldChar w:fldCharType="begin"/>
      </w:r>
      <w:r>
        <w:instrText xml:space="preserve"> HYPERLINK \l "_Toc18232" </w:instrText>
      </w:r>
      <w:r>
        <w:fldChar w:fldCharType="separate"/>
      </w:r>
      <w:r>
        <w:rPr>
          <w:sz w:val="28"/>
          <w:szCs w:val="4"/>
        </w:rPr>
        <w:t xml:space="preserve">第二章 </w:t>
      </w:r>
      <w:r>
        <w:rPr>
          <w:rFonts w:hint="eastAsia"/>
          <w:sz w:val="28"/>
          <w:szCs w:val="22"/>
        </w:rPr>
        <w:t>股票上市与交易</w:t>
      </w:r>
      <w:r>
        <w:rPr>
          <w:sz w:val="28"/>
          <w:szCs w:val="22"/>
        </w:rPr>
        <w:tab/>
      </w:r>
      <w:r>
        <w:rPr>
          <w:sz w:val="28"/>
          <w:szCs w:val="22"/>
        </w:rPr>
        <w:fldChar w:fldCharType="begin"/>
      </w:r>
      <w:r>
        <w:rPr>
          <w:sz w:val="28"/>
          <w:szCs w:val="22"/>
        </w:rPr>
        <w:instrText xml:space="preserve"> PAGEREF _Toc18232 \h </w:instrText>
      </w:r>
      <w:r>
        <w:rPr>
          <w:sz w:val="28"/>
          <w:szCs w:val="22"/>
        </w:rPr>
        <w:fldChar w:fldCharType="separate"/>
      </w:r>
      <w:r>
        <w:rPr>
          <w:sz w:val="28"/>
          <w:szCs w:val="22"/>
        </w:rPr>
        <w:t>5</w:t>
      </w:r>
      <w:r>
        <w:rPr>
          <w:sz w:val="28"/>
          <w:szCs w:val="22"/>
        </w:rPr>
        <w:fldChar w:fldCharType="end"/>
      </w:r>
      <w:r>
        <w:rPr>
          <w:sz w:val="28"/>
          <w:szCs w:val="22"/>
        </w:rPr>
        <w:fldChar w:fldCharType="end"/>
      </w:r>
    </w:p>
    <w:p w14:paraId="1D101BD6">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"_Toc6717" </w:instrText>
      </w:r>
      <w:r>
        <w:fldChar w:fldCharType="separate"/>
      </w:r>
      <w:r>
        <w:rPr>
          <w:rFonts w:eastAsia="仿宋_GB2312"/>
          <w:b w:val="0"/>
          <w:bCs/>
          <w:sz w:val="28"/>
          <w:szCs w:val="22"/>
        </w:rPr>
        <w:t>第一节 首次公开发行股票的上市</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_Toc6717 \h </w:instrText>
      </w:r>
      <w:r>
        <w:rPr>
          <w:rFonts w:eastAsia="仿宋_GB2312"/>
          <w:b w:val="0"/>
          <w:bCs/>
          <w:sz w:val="28"/>
          <w:szCs w:val="22"/>
        </w:rPr>
        <w:fldChar w:fldCharType="separate"/>
      </w:r>
      <w:r>
        <w:rPr>
          <w:rFonts w:eastAsia="仿宋_GB2312"/>
          <w:b w:val="0"/>
          <w:bCs/>
          <w:sz w:val="28"/>
          <w:szCs w:val="22"/>
        </w:rPr>
        <w:t>5</w:t>
      </w:r>
      <w:r>
        <w:rPr>
          <w:rFonts w:eastAsia="仿宋_GB2312"/>
          <w:b w:val="0"/>
          <w:bCs/>
          <w:sz w:val="28"/>
          <w:szCs w:val="22"/>
        </w:rPr>
        <w:fldChar w:fldCharType="end"/>
      </w:r>
      <w:r>
        <w:rPr>
          <w:rFonts w:eastAsia="仿宋_GB2312"/>
          <w:b w:val="0"/>
          <w:bCs/>
          <w:sz w:val="28"/>
          <w:szCs w:val="22"/>
        </w:rPr>
        <w:fldChar w:fldCharType="end"/>
      </w:r>
    </w:p>
    <w:p w14:paraId="2A55FCD0">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"_Toc14868" </w:instrText>
      </w:r>
      <w:r>
        <w:fldChar w:fldCharType="separate"/>
      </w:r>
      <w:r>
        <w:rPr>
          <w:rFonts w:eastAsia="仿宋_GB2312"/>
          <w:b w:val="0"/>
          <w:bCs/>
          <w:sz w:val="28"/>
          <w:szCs w:val="22"/>
        </w:rPr>
        <w:t>第二节 上市公司股票发行上市</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_Toc14868 \h </w:instrText>
      </w:r>
      <w:r>
        <w:rPr>
          <w:rFonts w:eastAsia="仿宋_GB2312"/>
          <w:b w:val="0"/>
          <w:bCs/>
          <w:sz w:val="28"/>
          <w:szCs w:val="22"/>
        </w:rPr>
        <w:fldChar w:fldCharType="separate"/>
      </w:r>
      <w:r>
        <w:rPr>
          <w:rFonts w:eastAsia="仿宋_GB2312"/>
          <w:b w:val="0"/>
          <w:bCs/>
          <w:sz w:val="28"/>
          <w:szCs w:val="22"/>
        </w:rPr>
        <w:t>10</w:t>
      </w:r>
      <w:r>
        <w:rPr>
          <w:rFonts w:eastAsia="仿宋_GB2312"/>
          <w:b w:val="0"/>
          <w:bCs/>
          <w:sz w:val="28"/>
          <w:szCs w:val="22"/>
        </w:rPr>
        <w:fldChar w:fldCharType="end"/>
      </w:r>
      <w:r>
        <w:rPr>
          <w:rFonts w:eastAsia="仿宋_GB2312"/>
          <w:b w:val="0"/>
          <w:bCs/>
          <w:sz w:val="28"/>
          <w:szCs w:val="22"/>
        </w:rPr>
        <w:fldChar w:fldCharType="end"/>
      </w:r>
    </w:p>
    <w:p w14:paraId="61680DF2">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"_Toc21579" </w:instrText>
      </w:r>
      <w:r>
        <w:fldChar w:fldCharType="separate"/>
      </w:r>
      <w:r>
        <w:rPr>
          <w:rFonts w:eastAsia="仿宋_GB2312"/>
          <w:b w:val="0"/>
          <w:bCs/>
          <w:sz w:val="28"/>
          <w:szCs w:val="22"/>
        </w:rPr>
        <w:t>第三节 股份解除限售</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_Toc21579 \h </w:instrText>
      </w:r>
      <w:r>
        <w:rPr>
          <w:rFonts w:eastAsia="仿宋_GB2312"/>
          <w:b w:val="0"/>
          <w:bCs/>
          <w:sz w:val="28"/>
          <w:szCs w:val="22"/>
        </w:rPr>
        <w:fldChar w:fldCharType="separate"/>
      </w:r>
      <w:r>
        <w:rPr>
          <w:rFonts w:eastAsia="仿宋_GB2312"/>
          <w:b w:val="0"/>
          <w:bCs/>
          <w:sz w:val="28"/>
          <w:szCs w:val="22"/>
        </w:rPr>
        <w:t>10</w:t>
      </w:r>
      <w:r>
        <w:rPr>
          <w:rFonts w:eastAsia="仿宋_GB2312"/>
          <w:b w:val="0"/>
          <w:bCs/>
          <w:sz w:val="28"/>
          <w:szCs w:val="22"/>
        </w:rPr>
        <w:fldChar w:fldCharType="end"/>
      </w:r>
      <w:r>
        <w:rPr>
          <w:rFonts w:eastAsia="仿宋_GB2312"/>
          <w:b w:val="0"/>
          <w:bCs/>
          <w:sz w:val="28"/>
          <w:szCs w:val="22"/>
        </w:rPr>
        <w:fldChar w:fldCharType="end"/>
      </w:r>
    </w:p>
    <w:p w14:paraId="16B749B8">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"_Toc2849" </w:instrText>
      </w:r>
      <w:r>
        <w:fldChar w:fldCharType="separate"/>
      </w:r>
      <w:r>
        <w:rPr>
          <w:rFonts w:eastAsia="仿宋_GB2312"/>
          <w:b w:val="0"/>
          <w:bCs/>
          <w:sz w:val="28"/>
          <w:szCs w:val="22"/>
        </w:rPr>
        <w:t>第四节 股份减持</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_Toc2849 \h </w:instrText>
      </w:r>
      <w:r>
        <w:rPr>
          <w:rFonts w:eastAsia="仿宋_GB2312"/>
          <w:b w:val="0"/>
          <w:bCs/>
          <w:sz w:val="28"/>
          <w:szCs w:val="22"/>
        </w:rPr>
        <w:fldChar w:fldCharType="separate"/>
      </w:r>
      <w:r>
        <w:rPr>
          <w:rFonts w:eastAsia="仿宋_GB2312"/>
          <w:b w:val="0"/>
          <w:bCs/>
          <w:sz w:val="28"/>
          <w:szCs w:val="22"/>
        </w:rPr>
        <w:t>11</w:t>
      </w:r>
      <w:r>
        <w:rPr>
          <w:rFonts w:eastAsia="仿宋_GB2312"/>
          <w:b w:val="0"/>
          <w:bCs/>
          <w:sz w:val="28"/>
          <w:szCs w:val="22"/>
        </w:rPr>
        <w:fldChar w:fldCharType="end"/>
      </w:r>
      <w:r>
        <w:rPr>
          <w:rFonts w:eastAsia="仿宋_GB2312"/>
          <w:b w:val="0"/>
          <w:bCs/>
          <w:sz w:val="28"/>
          <w:szCs w:val="22"/>
        </w:rPr>
        <w:fldChar w:fldCharType="end"/>
      </w:r>
    </w:p>
    <w:p w14:paraId="49F432F4">
      <w:pPr>
        <w:pStyle w:val="15"/>
        <w:tabs>
          <w:tab w:val="right" w:leader="dot" w:pos="8312"/>
          <w:tab w:val="clear" w:pos="420"/>
          <w:tab w:val="clear" w:pos="1134"/>
          <w:tab w:val="clear" w:pos="8380"/>
        </w:tabs>
        <w:rPr>
          <w:sz w:val="28"/>
          <w:szCs w:val="22"/>
        </w:rPr>
      </w:pPr>
      <w:r>
        <w:fldChar w:fldCharType="begin"/>
      </w:r>
      <w:r>
        <w:instrText xml:space="preserve"> HYPERLINK \l "_Toc15906" </w:instrText>
      </w:r>
      <w:r>
        <w:fldChar w:fldCharType="separate"/>
      </w:r>
      <w:r>
        <w:rPr>
          <w:sz w:val="28"/>
          <w:szCs w:val="4"/>
        </w:rPr>
        <w:t xml:space="preserve">第三章 </w:t>
      </w:r>
      <w:r>
        <w:rPr>
          <w:rFonts w:hint="eastAsia"/>
          <w:sz w:val="28"/>
          <w:szCs w:val="22"/>
        </w:rPr>
        <w:t>持续督导</w:t>
      </w:r>
      <w:r>
        <w:rPr>
          <w:sz w:val="28"/>
          <w:szCs w:val="22"/>
        </w:rPr>
        <w:tab/>
      </w:r>
      <w:r>
        <w:rPr>
          <w:sz w:val="28"/>
          <w:szCs w:val="22"/>
        </w:rPr>
        <w:fldChar w:fldCharType="begin"/>
      </w:r>
      <w:r>
        <w:rPr>
          <w:sz w:val="28"/>
          <w:szCs w:val="22"/>
        </w:rPr>
        <w:instrText xml:space="preserve"> PAGEREF _Toc15906 \h </w:instrText>
      </w:r>
      <w:r>
        <w:rPr>
          <w:sz w:val="28"/>
          <w:szCs w:val="22"/>
        </w:rPr>
        <w:fldChar w:fldCharType="separate"/>
      </w:r>
      <w:r>
        <w:rPr>
          <w:sz w:val="28"/>
          <w:szCs w:val="22"/>
        </w:rPr>
        <w:t>14</w:t>
      </w:r>
      <w:r>
        <w:rPr>
          <w:sz w:val="28"/>
          <w:szCs w:val="22"/>
        </w:rPr>
        <w:fldChar w:fldCharType="end"/>
      </w:r>
      <w:r>
        <w:rPr>
          <w:sz w:val="28"/>
          <w:szCs w:val="22"/>
        </w:rPr>
        <w:fldChar w:fldCharType="end"/>
      </w:r>
    </w:p>
    <w:p w14:paraId="62CDA360">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"_Toc9923" </w:instrText>
      </w:r>
      <w:r>
        <w:rPr>
          <w:rFonts w:hint="eastAsia"/>
        </w:rPr>
        <w:fldChar w:fldCharType="separate"/>
      </w:r>
      <w:r>
        <w:rPr>
          <w:rFonts w:hint="eastAsia" w:eastAsia="仿宋_GB2312"/>
          <w:b w:val="0"/>
          <w:bCs/>
          <w:sz w:val="28"/>
          <w:szCs w:val="22"/>
        </w:rPr>
        <w:t xml:space="preserve">第一节 </w:t>
      </w:r>
      <w:r>
        <w:rPr>
          <w:rFonts w:eastAsia="仿宋_GB2312"/>
          <w:b w:val="0"/>
          <w:bCs/>
          <w:sz w:val="28"/>
          <w:szCs w:val="22"/>
        </w:rPr>
        <w:t>一般规定</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_Toc9923 \h </w:instrText>
      </w:r>
      <w:r>
        <w:rPr>
          <w:rFonts w:hint="eastAsia" w:eastAsia="仿宋_GB2312"/>
          <w:b w:val="0"/>
          <w:bCs/>
          <w:sz w:val="28"/>
          <w:szCs w:val="22"/>
        </w:rPr>
        <w:fldChar w:fldCharType="separate"/>
      </w:r>
      <w:r>
        <w:rPr>
          <w:rFonts w:hint="eastAsia" w:eastAsia="仿宋_GB2312"/>
          <w:b w:val="0"/>
          <w:bCs/>
          <w:sz w:val="28"/>
          <w:szCs w:val="22"/>
        </w:rPr>
        <w:t>14</w:t>
      </w:r>
      <w:r>
        <w:rPr>
          <w:rFonts w:hint="eastAsia" w:eastAsia="仿宋_GB2312"/>
          <w:b w:val="0"/>
          <w:bCs/>
          <w:sz w:val="28"/>
          <w:szCs w:val="22"/>
        </w:rPr>
        <w:fldChar w:fldCharType="end"/>
      </w:r>
      <w:r>
        <w:rPr>
          <w:rFonts w:hint="eastAsia" w:eastAsia="仿宋_GB2312"/>
          <w:b w:val="0"/>
          <w:bCs/>
          <w:sz w:val="28"/>
          <w:szCs w:val="22"/>
        </w:rPr>
        <w:fldChar w:fldCharType="end"/>
      </w:r>
    </w:p>
    <w:p w14:paraId="53323DB1">
      <w:pPr>
        <w:pStyle w:val="18"/>
        <w:tabs>
          <w:tab w:val="right" w:leader="dot" w:pos="8312"/>
          <w:tab w:val="clear" w:pos="1276"/>
          <w:tab w:val="clear" w:pos="8380"/>
        </w:tabs>
        <w:ind w:left="420" w:leftChars="200"/>
        <w:rPr>
          <w:rFonts w:eastAsia="仿宋_GB2312"/>
          <w:sz w:val="28"/>
          <w:szCs w:val="22"/>
        </w:rPr>
      </w:pPr>
      <w:r>
        <w:rPr>
          <w:rFonts w:hint="eastAsia"/>
        </w:rPr>
        <w:fldChar w:fldCharType="begin"/>
      </w:r>
      <w:r>
        <w:instrText xml:space="preserve"> HYPERLINK \l "_Toc3941" </w:instrText>
      </w:r>
      <w:r>
        <w:rPr>
          <w:rFonts w:hint="eastAsia"/>
        </w:rPr>
        <w:fldChar w:fldCharType="separate"/>
      </w:r>
      <w:r>
        <w:rPr>
          <w:rFonts w:hint="eastAsia" w:eastAsia="仿宋_GB2312"/>
          <w:b w:val="0"/>
          <w:bCs/>
          <w:sz w:val="28"/>
          <w:szCs w:val="22"/>
        </w:rPr>
        <w:t xml:space="preserve">第二节 </w:t>
      </w:r>
      <w:r>
        <w:rPr>
          <w:rFonts w:eastAsia="仿宋_GB2312"/>
          <w:b w:val="0"/>
          <w:bCs/>
          <w:sz w:val="28"/>
          <w:szCs w:val="22"/>
        </w:rPr>
        <w:t>持续督导职责的履行</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_Toc3941 \h </w:instrText>
      </w:r>
      <w:r>
        <w:rPr>
          <w:rFonts w:hint="eastAsia" w:eastAsia="仿宋_GB2312"/>
          <w:b w:val="0"/>
          <w:bCs/>
          <w:sz w:val="28"/>
          <w:szCs w:val="22"/>
        </w:rPr>
        <w:fldChar w:fldCharType="separate"/>
      </w:r>
      <w:r>
        <w:rPr>
          <w:rFonts w:hint="eastAsia" w:eastAsia="仿宋_GB2312"/>
          <w:b w:val="0"/>
          <w:bCs/>
          <w:sz w:val="28"/>
          <w:szCs w:val="22"/>
        </w:rPr>
        <w:t>17</w:t>
      </w:r>
      <w:r>
        <w:rPr>
          <w:rFonts w:hint="eastAsia" w:eastAsia="仿宋_GB2312"/>
          <w:b w:val="0"/>
          <w:bCs/>
          <w:sz w:val="28"/>
          <w:szCs w:val="22"/>
        </w:rPr>
        <w:fldChar w:fldCharType="end"/>
      </w:r>
      <w:r>
        <w:rPr>
          <w:rFonts w:hint="eastAsia" w:eastAsia="仿宋_GB2312"/>
          <w:b w:val="0"/>
          <w:bCs/>
          <w:sz w:val="28"/>
          <w:szCs w:val="22"/>
        </w:rPr>
        <w:fldChar w:fldCharType="end"/>
      </w:r>
    </w:p>
    <w:p w14:paraId="043FEF2B">
      <w:pPr>
        <w:pStyle w:val="15"/>
        <w:tabs>
          <w:tab w:val="right" w:leader="dot" w:pos="8312"/>
          <w:tab w:val="clear" w:pos="420"/>
          <w:tab w:val="clear" w:pos="1134"/>
          <w:tab w:val="clear" w:pos="8380"/>
        </w:tabs>
        <w:rPr>
          <w:sz w:val="28"/>
          <w:szCs w:val="22"/>
        </w:rPr>
      </w:pPr>
      <w:r>
        <w:fldChar w:fldCharType="begin"/>
      </w:r>
      <w:r>
        <w:instrText xml:space="preserve"> HYPERLINK \l "_Toc14236" </w:instrText>
      </w:r>
      <w:r>
        <w:fldChar w:fldCharType="separate"/>
      </w:r>
      <w:r>
        <w:rPr>
          <w:sz w:val="28"/>
          <w:szCs w:val="4"/>
        </w:rPr>
        <w:t xml:space="preserve">第四章 </w:t>
      </w:r>
      <w:r>
        <w:rPr>
          <w:rFonts w:hint="eastAsia"/>
          <w:sz w:val="28"/>
          <w:szCs w:val="22"/>
        </w:rPr>
        <w:t>内部治理</w:t>
      </w:r>
      <w:r>
        <w:rPr>
          <w:sz w:val="28"/>
          <w:szCs w:val="22"/>
        </w:rPr>
        <w:tab/>
      </w:r>
      <w:r>
        <w:rPr>
          <w:sz w:val="28"/>
          <w:szCs w:val="22"/>
        </w:rPr>
        <w:fldChar w:fldCharType="begin"/>
      </w:r>
      <w:r>
        <w:rPr>
          <w:sz w:val="28"/>
          <w:szCs w:val="22"/>
        </w:rPr>
        <w:instrText xml:space="preserve"> PAGEREF _Toc14236 \h </w:instrText>
      </w:r>
      <w:r>
        <w:rPr>
          <w:sz w:val="28"/>
          <w:szCs w:val="22"/>
        </w:rPr>
        <w:fldChar w:fldCharType="separate"/>
      </w:r>
      <w:r>
        <w:rPr>
          <w:sz w:val="28"/>
          <w:szCs w:val="22"/>
        </w:rPr>
        <w:t>22</w:t>
      </w:r>
      <w:r>
        <w:rPr>
          <w:sz w:val="28"/>
          <w:szCs w:val="22"/>
        </w:rPr>
        <w:fldChar w:fldCharType="end"/>
      </w:r>
      <w:r>
        <w:rPr>
          <w:sz w:val="28"/>
          <w:szCs w:val="22"/>
        </w:rPr>
        <w:fldChar w:fldCharType="end"/>
      </w:r>
    </w:p>
    <w:p w14:paraId="12D7C72A">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"_Toc31634" </w:instrText>
      </w:r>
      <w:r>
        <w:rPr>
          <w:rFonts w:hint="eastAsia"/>
        </w:rPr>
        <w:fldChar w:fldCharType="separate"/>
      </w:r>
      <w:r>
        <w:rPr>
          <w:rFonts w:hint="eastAsia" w:eastAsia="仿宋_GB2312"/>
          <w:b w:val="0"/>
          <w:bCs/>
          <w:sz w:val="28"/>
          <w:szCs w:val="22"/>
        </w:rPr>
        <w:t>第一节 控股股东及实际控制人</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_Toc31634 \h </w:instrText>
      </w:r>
      <w:r>
        <w:rPr>
          <w:rFonts w:hint="eastAsia" w:eastAsia="仿宋_GB2312"/>
          <w:b w:val="0"/>
          <w:bCs/>
          <w:sz w:val="28"/>
          <w:szCs w:val="22"/>
        </w:rPr>
        <w:fldChar w:fldCharType="separate"/>
      </w:r>
      <w:r>
        <w:rPr>
          <w:rFonts w:hint="eastAsia" w:eastAsia="仿宋_GB2312"/>
          <w:b w:val="0"/>
          <w:bCs/>
          <w:sz w:val="28"/>
          <w:szCs w:val="22"/>
        </w:rPr>
        <w:t>22</w:t>
      </w:r>
      <w:r>
        <w:rPr>
          <w:rFonts w:hint="eastAsia" w:eastAsia="仿宋_GB2312"/>
          <w:b w:val="0"/>
          <w:bCs/>
          <w:sz w:val="28"/>
          <w:szCs w:val="22"/>
        </w:rPr>
        <w:fldChar w:fldCharType="end"/>
      </w:r>
      <w:r>
        <w:rPr>
          <w:rFonts w:hint="eastAsia" w:eastAsia="仿宋_GB2312"/>
          <w:b w:val="0"/>
          <w:bCs/>
          <w:sz w:val="28"/>
          <w:szCs w:val="22"/>
        </w:rPr>
        <w:fldChar w:fldCharType="end"/>
      </w:r>
    </w:p>
    <w:p w14:paraId="70DFEA34">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"_Toc4365" </w:instrText>
      </w:r>
      <w:r>
        <w:rPr>
          <w:rFonts w:hint="eastAsia"/>
        </w:rPr>
        <w:fldChar w:fldCharType="separate"/>
      </w:r>
      <w:r>
        <w:rPr>
          <w:rFonts w:hint="eastAsia" w:eastAsia="仿宋_GB2312"/>
          <w:b w:val="0"/>
          <w:bCs/>
          <w:sz w:val="28"/>
          <w:szCs w:val="22"/>
        </w:rPr>
        <w:t>第二节 董事、高级管理人员</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_Toc4365 \h </w:instrText>
      </w:r>
      <w:r>
        <w:rPr>
          <w:rFonts w:hint="eastAsia" w:eastAsia="仿宋_GB2312"/>
          <w:b w:val="0"/>
          <w:bCs/>
          <w:sz w:val="28"/>
          <w:szCs w:val="22"/>
        </w:rPr>
        <w:fldChar w:fldCharType="separate"/>
      </w:r>
      <w:r>
        <w:rPr>
          <w:rFonts w:hint="eastAsia" w:eastAsia="仿宋_GB2312"/>
          <w:b w:val="0"/>
          <w:bCs/>
          <w:sz w:val="28"/>
          <w:szCs w:val="22"/>
        </w:rPr>
        <w:t>25</w:t>
      </w:r>
      <w:r>
        <w:rPr>
          <w:rFonts w:hint="eastAsia" w:eastAsia="仿宋_GB2312"/>
          <w:b w:val="0"/>
          <w:bCs/>
          <w:sz w:val="28"/>
          <w:szCs w:val="22"/>
        </w:rPr>
        <w:fldChar w:fldCharType="end"/>
      </w:r>
      <w:r>
        <w:rPr>
          <w:rFonts w:hint="eastAsia" w:eastAsia="仿宋_GB2312"/>
          <w:b w:val="0"/>
          <w:bCs/>
          <w:sz w:val="28"/>
          <w:szCs w:val="22"/>
        </w:rPr>
        <w:fldChar w:fldCharType="end"/>
      </w:r>
    </w:p>
    <w:p w14:paraId="2CB730C1">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"_Toc9976" </w:instrText>
      </w:r>
      <w:r>
        <w:rPr>
          <w:rFonts w:hint="eastAsia"/>
        </w:rPr>
        <w:fldChar w:fldCharType="separate"/>
      </w:r>
      <w:r>
        <w:rPr>
          <w:rFonts w:hint="eastAsia" w:eastAsia="仿宋_GB2312"/>
          <w:b w:val="0"/>
          <w:bCs/>
          <w:sz w:val="28"/>
          <w:szCs w:val="22"/>
        </w:rPr>
        <w:t>第三节 规范运行</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_Toc9976 \h </w:instrText>
      </w:r>
      <w:r>
        <w:rPr>
          <w:rFonts w:hint="eastAsia" w:eastAsia="仿宋_GB2312"/>
          <w:b w:val="0"/>
          <w:bCs/>
          <w:sz w:val="28"/>
          <w:szCs w:val="22"/>
        </w:rPr>
        <w:fldChar w:fldCharType="separate"/>
      </w:r>
      <w:r>
        <w:rPr>
          <w:rFonts w:hint="eastAsia" w:eastAsia="仿宋_GB2312"/>
          <w:b w:val="0"/>
          <w:bCs/>
          <w:sz w:val="28"/>
          <w:szCs w:val="22"/>
        </w:rPr>
        <w:t>31</w:t>
      </w:r>
      <w:r>
        <w:rPr>
          <w:rFonts w:hint="eastAsia" w:eastAsia="仿宋_GB2312"/>
          <w:b w:val="0"/>
          <w:bCs/>
          <w:sz w:val="28"/>
          <w:szCs w:val="22"/>
        </w:rPr>
        <w:fldChar w:fldCharType="end"/>
      </w:r>
      <w:r>
        <w:rPr>
          <w:rFonts w:hint="eastAsia" w:eastAsia="仿宋_GB2312"/>
          <w:b w:val="0"/>
          <w:bCs/>
          <w:sz w:val="28"/>
          <w:szCs w:val="22"/>
        </w:rPr>
        <w:fldChar w:fldCharType="end"/>
      </w:r>
    </w:p>
    <w:p w14:paraId="7DDE50EC">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"_Toc13010" </w:instrText>
      </w:r>
      <w:r>
        <w:rPr>
          <w:rFonts w:hint="eastAsia"/>
        </w:rPr>
        <w:fldChar w:fldCharType="separate"/>
      </w:r>
      <w:r>
        <w:rPr>
          <w:rFonts w:hint="eastAsia" w:eastAsia="仿宋_GB2312"/>
          <w:b w:val="0"/>
          <w:bCs/>
          <w:sz w:val="28"/>
          <w:szCs w:val="22"/>
        </w:rPr>
        <w:t>第四节 社会责任</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_Toc13010 \h </w:instrText>
      </w:r>
      <w:r>
        <w:rPr>
          <w:rFonts w:hint="eastAsia" w:eastAsia="仿宋_GB2312"/>
          <w:b w:val="0"/>
          <w:bCs/>
          <w:sz w:val="28"/>
          <w:szCs w:val="22"/>
        </w:rPr>
        <w:fldChar w:fldCharType="separate"/>
      </w:r>
      <w:r>
        <w:rPr>
          <w:rFonts w:hint="eastAsia" w:eastAsia="仿宋_GB2312"/>
          <w:b w:val="0"/>
          <w:bCs/>
          <w:sz w:val="28"/>
          <w:szCs w:val="22"/>
        </w:rPr>
        <w:t>36</w:t>
      </w:r>
      <w:r>
        <w:rPr>
          <w:rFonts w:hint="eastAsia" w:eastAsia="仿宋_GB2312"/>
          <w:b w:val="0"/>
          <w:bCs/>
          <w:sz w:val="28"/>
          <w:szCs w:val="22"/>
        </w:rPr>
        <w:fldChar w:fldCharType="end"/>
      </w:r>
      <w:r>
        <w:rPr>
          <w:rFonts w:hint="eastAsia" w:eastAsia="仿宋_GB2312"/>
          <w:b w:val="0"/>
          <w:bCs/>
          <w:sz w:val="28"/>
          <w:szCs w:val="22"/>
        </w:rPr>
        <w:fldChar w:fldCharType="end"/>
      </w:r>
    </w:p>
    <w:p w14:paraId="79BB3AAC">
      <w:pPr>
        <w:pStyle w:val="18"/>
        <w:tabs>
          <w:tab w:val="right" w:leader="dot" w:pos="8312"/>
          <w:tab w:val="clear" w:pos="1276"/>
          <w:tab w:val="clear" w:pos="8380"/>
        </w:tabs>
        <w:ind w:left="420" w:leftChars="200"/>
        <w:rPr>
          <w:sz w:val="28"/>
          <w:szCs w:val="22"/>
        </w:rPr>
      </w:pPr>
      <w:r>
        <w:rPr>
          <w:rFonts w:hint="eastAsia"/>
        </w:rPr>
        <w:fldChar w:fldCharType="begin"/>
      </w:r>
      <w:r>
        <w:instrText xml:space="preserve"> HYPERLINK \l "_Toc29795" </w:instrText>
      </w:r>
      <w:r>
        <w:rPr>
          <w:rFonts w:hint="eastAsia"/>
        </w:rPr>
        <w:fldChar w:fldCharType="separate"/>
      </w:r>
      <w:r>
        <w:rPr>
          <w:rFonts w:hint="eastAsia" w:eastAsia="仿宋_GB2312"/>
          <w:b w:val="0"/>
          <w:bCs/>
          <w:sz w:val="28"/>
          <w:szCs w:val="22"/>
        </w:rPr>
        <w:t>第五节 表决权差异安排</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_Toc29795 \h </w:instrText>
      </w:r>
      <w:r>
        <w:rPr>
          <w:rFonts w:hint="eastAsia" w:eastAsia="仿宋_GB2312"/>
          <w:b w:val="0"/>
          <w:bCs/>
          <w:sz w:val="28"/>
          <w:szCs w:val="22"/>
        </w:rPr>
        <w:fldChar w:fldCharType="separate"/>
      </w:r>
      <w:r>
        <w:rPr>
          <w:rFonts w:hint="eastAsia" w:eastAsia="仿宋_GB2312"/>
          <w:b w:val="0"/>
          <w:bCs/>
          <w:sz w:val="28"/>
          <w:szCs w:val="22"/>
        </w:rPr>
        <w:t>38</w:t>
      </w:r>
      <w:r>
        <w:rPr>
          <w:rFonts w:hint="eastAsia" w:eastAsia="仿宋_GB2312"/>
          <w:b w:val="0"/>
          <w:bCs/>
          <w:sz w:val="28"/>
          <w:szCs w:val="22"/>
        </w:rPr>
        <w:fldChar w:fldCharType="end"/>
      </w:r>
      <w:r>
        <w:rPr>
          <w:rFonts w:hint="eastAsia" w:eastAsia="仿宋_GB2312"/>
          <w:b w:val="0"/>
          <w:bCs/>
          <w:sz w:val="28"/>
          <w:szCs w:val="22"/>
        </w:rPr>
        <w:fldChar w:fldCharType="end"/>
      </w:r>
    </w:p>
    <w:p w14:paraId="5D77DFCF">
      <w:pPr>
        <w:pStyle w:val="15"/>
        <w:tabs>
          <w:tab w:val="right" w:leader="dot" w:pos="8312"/>
          <w:tab w:val="clear" w:pos="420"/>
          <w:tab w:val="clear" w:pos="1134"/>
          <w:tab w:val="clear" w:pos="8380"/>
        </w:tabs>
        <w:rPr>
          <w:sz w:val="28"/>
          <w:szCs w:val="22"/>
        </w:rPr>
      </w:pPr>
      <w:r>
        <w:fldChar w:fldCharType="begin"/>
      </w:r>
      <w:r>
        <w:instrText xml:space="preserve"> HYPERLINK \l "_Toc22145" </w:instrText>
      </w:r>
      <w:r>
        <w:fldChar w:fldCharType="separate"/>
      </w:r>
      <w:r>
        <w:rPr>
          <w:sz w:val="28"/>
          <w:szCs w:val="4"/>
        </w:rPr>
        <w:t xml:space="preserve">第五章 </w:t>
      </w:r>
      <w:r>
        <w:rPr>
          <w:rFonts w:hint="eastAsia"/>
          <w:sz w:val="28"/>
          <w:szCs w:val="22"/>
        </w:rPr>
        <w:t>信息披露一般规定</w:t>
      </w:r>
      <w:r>
        <w:rPr>
          <w:sz w:val="28"/>
          <w:szCs w:val="22"/>
        </w:rPr>
        <w:tab/>
      </w:r>
      <w:r>
        <w:rPr>
          <w:sz w:val="28"/>
          <w:szCs w:val="22"/>
        </w:rPr>
        <w:fldChar w:fldCharType="begin"/>
      </w:r>
      <w:r>
        <w:rPr>
          <w:sz w:val="28"/>
          <w:szCs w:val="22"/>
        </w:rPr>
        <w:instrText xml:space="preserve"> PAGEREF _Toc22145 \h </w:instrText>
      </w:r>
      <w:r>
        <w:rPr>
          <w:sz w:val="28"/>
          <w:szCs w:val="22"/>
        </w:rPr>
        <w:fldChar w:fldCharType="separate"/>
      </w:r>
      <w:r>
        <w:rPr>
          <w:sz w:val="28"/>
          <w:szCs w:val="22"/>
        </w:rPr>
        <w:t>43</w:t>
      </w:r>
      <w:r>
        <w:rPr>
          <w:sz w:val="28"/>
          <w:szCs w:val="22"/>
        </w:rPr>
        <w:fldChar w:fldCharType="end"/>
      </w:r>
      <w:r>
        <w:rPr>
          <w:sz w:val="28"/>
          <w:szCs w:val="22"/>
        </w:rPr>
        <w:fldChar w:fldCharType="end"/>
      </w:r>
    </w:p>
    <w:p w14:paraId="334287CA">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"_Toc31013" </w:instrText>
      </w:r>
      <w:r>
        <w:rPr>
          <w:rFonts w:hint="eastAsia"/>
        </w:rPr>
        <w:fldChar w:fldCharType="separate"/>
      </w:r>
      <w:r>
        <w:rPr>
          <w:rFonts w:hint="eastAsia" w:eastAsia="仿宋_GB2312"/>
          <w:b w:val="0"/>
          <w:bCs/>
          <w:sz w:val="28"/>
          <w:szCs w:val="22"/>
        </w:rPr>
        <w:t>第一节 信息披露基本原则</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_Toc31013 \h </w:instrText>
      </w:r>
      <w:r>
        <w:rPr>
          <w:rFonts w:hint="eastAsia" w:eastAsia="仿宋_GB2312"/>
          <w:b w:val="0"/>
          <w:bCs/>
          <w:sz w:val="28"/>
          <w:szCs w:val="22"/>
        </w:rPr>
        <w:fldChar w:fldCharType="separate"/>
      </w:r>
      <w:r>
        <w:rPr>
          <w:rFonts w:hint="eastAsia" w:eastAsia="仿宋_GB2312"/>
          <w:b w:val="0"/>
          <w:bCs/>
          <w:sz w:val="28"/>
          <w:szCs w:val="22"/>
        </w:rPr>
        <w:t>43</w:t>
      </w:r>
      <w:r>
        <w:rPr>
          <w:rFonts w:hint="eastAsia" w:eastAsia="仿宋_GB2312"/>
          <w:b w:val="0"/>
          <w:bCs/>
          <w:sz w:val="28"/>
          <w:szCs w:val="22"/>
        </w:rPr>
        <w:fldChar w:fldCharType="end"/>
      </w:r>
      <w:r>
        <w:rPr>
          <w:rFonts w:hint="eastAsia" w:eastAsia="仿宋_GB2312"/>
          <w:b w:val="0"/>
          <w:bCs/>
          <w:sz w:val="28"/>
          <w:szCs w:val="22"/>
        </w:rPr>
        <w:fldChar w:fldCharType="end"/>
      </w:r>
    </w:p>
    <w:p w14:paraId="0EFF75C9">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"_Toc15854" </w:instrText>
      </w:r>
      <w:r>
        <w:rPr>
          <w:rFonts w:hint="eastAsia"/>
        </w:rPr>
        <w:fldChar w:fldCharType="separate"/>
      </w:r>
      <w:r>
        <w:rPr>
          <w:rFonts w:hint="eastAsia" w:eastAsia="仿宋_GB2312"/>
          <w:b w:val="0"/>
          <w:bCs/>
          <w:sz w:val="28"/>
          <w:szCs w:val="22"/>
        </w:rPr>
        <w:t>第二节 信息披露一般要求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_Toc15854 \h </w:instrText>
      </w:r>
      <w:r>
        <w:rPr>
          <w:rFonts w:hint="eastAsia" w:eastAsia="仿宋_GB2312"/>
          <w:b w:val="0"/>
          <w:bCs/>
          <w:sz w:val="28"/>
          <w:szCs w:val="22"/>
        </w:rPr>
        <w:fldChar w:fldCharType="separate"/>
      </w:r>
      <w:r>
        <w:rPr>
          <w:rFonts w:hint="eastAsia" w:eastAsia="仿宋_GB2312"/>
          <w:b w:val="0"/>
          <w:bCs/>
          <w:sz w:val="28"/>
          <w:szCs w:val="22"/>
        </w:rPr>
        <w:t>45</w:t>
      </w:r>
      <w:r>
        <w:rPr>
          <w:rFonts w:hint="eastAsia" w:eastAsia="仿宋_GB2312"/>
          <w:b w:val="0"/>
          <w:bCs/>
          <w:sz w:val="28"/>
          <w:szCs w:val="22"/>
        </w:rPr>
        <w:fldChar w:fldCharType="end"/>
      </w:r>
      <w:r>
        <w:rPr>
          <w:rFonts w:hint="eastAsia" w:eastAsia="仿宋_GB2312"/>
          <w:b w:val="0"/>
          <w:bCs/>
          <w:sz w:val="28"/>
          <w:szCs w:val="22"/>
        </w:rPr>
        <w:fldChar w:fldCharType="end"/>
      </w:r>
    </w:p>
    <w:p w14:paraId="5F6D8608">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"_Toc4708" </w:instrText>
      </w:r>
      <w:r>
        <w:rPr>
          <w:rFonts w:hint="eastAsia"/>
        </w:rPr>
        <w:fldChar w:fldCharType="separate"/>
      </w:r>
      <w:r>
        <w:rPr>
          <w:rFonts w:hint="eastAsia" w:eastAsia="仿宋_GB2312"/>
          <w:b w:val="0"/>
          <w:bCs/>
          <w:sz w:val="28"/>
          <w:szCs w:val="22"/>
        </w:rPr>
        <w:t>第三节 信息披露监管方式</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_Toc4708 \h </w:instrText>
      </w:r>
      <w:r>
        <w:rPr>
          <w:rFonts w:hint="eastAsia" w:eastAsia="仿宋_GB2312"/>
          <w:b w:val="0"/>
          <w:bCs/>
          <w:sz w:val="28"/>
          <w:szCs w:val="22"/>
        </w:rPr>
        <w:fldChar w:fldCharType="separate"/>
      </w:r>
      <w:r>
        <w:rPr>
          <w:rFonts w:hint="eastAsia" w:eastAsia="仿宋_GB2312"/>
          <w:b w:val="0"/>
          <w:bCs/>
          <w:sz w:val="28"/>
          <w:szCs w:val="22"/>
        </w:rPr>
        <w:t>49</w:t>
      </w:r>
      <w:r>
        <w:rPr>
          <w:rFonts w:hint="eastAsia" w:eastAsia="仿宋_GB2312"/>
          <w:b w:val="0"/>
          <w:bCs/>
          <w:sz w:val="28"/>
          <w:szCs w:val="22"/>
        </w:rPr>
        <w:fldChar w:fldCharType="end"/>
      </w:r>
      <w:r>
        <w:rPr>
          <w:rFonts w:hint="eastAsia" w:eastAsia="仿宋_GB2312"/>
          <w:b w:val="0"/>
          <w:bCs/>
          <w:sz w:val="28"/>
          <w:szCs w:val="22"/>
        </w:rPr>
        <w:fldChar w:fldCharType="end"/>
      </w:r>
    </w:p>
    <w:p w14:paraId="1C5762F7">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"_Toc29123" </w:instrText>
      </w:r>
      <w:r>
        <w:rPr>
          <w:rFonts w:hint="eastAsia"/>
        </w:rPr>
        <w:fldChar w:fldCharType="separate"/>
      </w:r>
      <w:r>
        <w:rPr>
          <w:rFonts w:hint="eastAsia" w:eastAsia="仿宋_GB2312"/>
          <w:b w:val="0"/>
          <w:bCs/>
          <w:sz w:val="28"/>
          <w:szCs w:val="22"/>
        </w:rPr>
        <w:t>第四节 信息披露管理制度</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_Toc29123 \h </w:instrText>
      </w:r>
      <w:r>
        <w:rPr>
          <w:rFonts w:hint="eastAsia" w:eastAsia="仿宋_GB2312"/>
          <w:b w:val="0"/>
          <w:bCs/>
          <w:sz w:val="28"/>
          <w:szCs w:val="22"/>
        </w:rPr>
        <w:fldChar w:fldCharType="separate"/>
      </w:r>
      <w:r>
        <w:rPr>
          <w:rFonts w:hint="eastAsia" w:eastAsia="仿宋_GB2312"/>
          <w:b w:val="0"/>
          <w:bCs/>
          <w:sz w:val="28"/>
          <w:szCs w:val="22"/>
        </w:rPr>
        <w:t>50</w:t>
      </w:r>
      <w:r>
        <w:rPr>
          <w:rFonts w:hint="eastAsia" w:eastAsia="仿宋_GB2312"/>
          <w:b w:val="0"/>
          <w:bCs/>
          <w:sz w:val="28"/>
          <w:szCs w:val="22"/>
        </w:rPr>
        <w:fldChar w:fldCharType="end"/>
      </w:r>
      <w:r>
        <w:rPr>
          <w:rFonts w:hint="eastAsia" w:eastAsia="仿宋_GB2312"/>
          <w:b w:val="0"/>
          <w:bCs/>
          <w:sz w:val="28"/>
          <w:szCs w:val="22"/>
        </w:rPr>
        <w:fldChar w:fldCharType="end"/>
      </w:r>
    </w:p>
    <w:p w14:paraId="6170048F">
      <w:pPr>
        <w:pStyle w:val="15"/>
        <w:tabs>
          <w:tab w:val="right" w:leader="dot" w:pos="8312"/>
          <w:tab w:val="clear" w:pos="420"/>
          <w:tab w:val="clear" w:pos="1134"/>
          <w:tab w:val="clear" w:pos="8380"/>
        </w:tabs>
        <w:rPr>
          <w:sz w:val="28"/>
          <w:szCs w:val="22"/>
        </w:rPr>
      </w:pPr>
      <w:r>
        <w:fldChar w:fldCharType="begin"/>
      </w:r>
      <w:r>
        <w:instrText xml:space="preserve"> HYPERLINK \l "_Toc11730" </w:instrText>
      </w:r>
      <w:r>
        <w:fldChar w:fldCharType="separate"/>
      </w:r>
      <w:r>
        <w:rPr>
          <w:sz w:val="28"/>
          <w:szCs w:val="4"/>
        </w:rPr>
        <w:t xml:space="preserve">第六章 </w:t>
      </w:r>
      <w:r>
        <w:rPr>
          <w:rFonts w:hint="eastAsia"/>
          <w:sz w:val="28"/>
          <w:szCs w:val="22"/>
        </w:rPr>
        <w:t>定期报告</w:t>
      </w:r>
      <w:r>
        <w:rPr>
          <w:sz w:val="28"/>
          <w:szCs w:val="22"/>
        </w:rPr>
        <w:tab/>
      </w:r>
      <w:r>
        <w:rPr>
          <w:sz w:val="28"/>
          <w:szCs w:val="22"/>
        </w:rPr>
        <w:fldChar w:fldCharType="begin"/>
      </w:r>
      <w:r>
        <w:rPr>
          <w:sz w:val="28"/>
          <w:szCs w:val="22"/>
        </w:rPr>
        <w:instrText xml:space="preserve"> PAGEREF _Toc11730 \h </w:instrText>
      </w:r>
      <w:r>
        <w:rPr>
          <w:sz w:val="28"/>
          <w:szCs w:val="22"/>
        </w:rPr>
        <w:fldChar w:fldCharType="separate"/>
      </w:r>
      <w:r>
        <w:rPr>
          <w:sz w:val="28"/>
          <w:szCs w:val="22"/>
        </w:rPr>
        <w:t>52</w:t>
      </w:r>
      <w:r>
        <w:rPr>
          <w:sz w:val="28"/>
          <w:szCs w:val="22"/>
        </w:rPr>
        <w:fldChar w:fldCharType="end"/>
      </w:r>
      <w:r>
        <w:rPr>
          <w:sz w:val="28"/>
          <w:szCs w:val="22"/>
        </w:rPr>
        <w:fldChar w:fldCharType="end"/>
      </w:r>
    </w:p>
    <w:p w14:paraId="55ECA906">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"_Toc22993" </w:instrText>
      </w:r>
      <w:r>
        <w:rPr>
          <w:rFonts w:hint="eastAsia"/>
        </w:rPr>
        <w:fldChar w:fldCharType="separate"/>
      </w:r>
      <w:r>
        <w:rPr>
          <w:rFonts w:hint="eastAsia" w:eastAsia="仿宋_GB2312"/>
          <w:b w:val="0"/>
          <w:bCs/>
          <w:sz w:val="28"/>
          <w:szCs w:val="22"/>
        </w:rPr>
        <w:t>第一节 定期报告编制和披露要求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_Toc22993 \h </w:instrText>
      </w:r>
      <w:r>
        <w:rPr>
          <w:rFonts w:hint="eastAsia" w:eastAsia="仿宋_GB2312"/>
          <w:b w:val="0"/>
          <w:bCs/>
          <w:sz w:val="28"/>
          <w:szCs w:val="22"/>
        </w:rPr>
        <w:fldChar w:fldCharType="separate"/>
      </w:r>
      <w:r>
        <w:rPr>
          <w:rFonts w:hint="eastAsia" w:eastAsia="仿宋_GB2312"/>
          <w:b w:val="0"/>
          <w:bCs/>
          <w:sz w:val="28"/>
          <w:szCs w:val="22"/>
        </w:rPr>
        <w:t>52</w:t>
      </w:r>
      <w:r>
        <w:rPr>
          <w:rFonts w:hint="eastAsia" w:eastAsia="仿宋_GB2312"/>
          <w:b w:val="0"/>
          <w:bCs/>
          <w:sz w:val="28"/>
          <w:szCs w:val="22"/>
        </w:rPr>
        <w:fldChar w:fldCharType="end"/>
      </w:r>
      <w:r>
        <w:rPr>
          <w:rFonts w:hint="eastAsia" w:eastAsia="仿宋_GB2312"/>
          <w:b w:val="0"/>
          <w:bCs/>
          <w:sz w:val="28"/>
          <w:szCs w:val="22"/>
        </w:rPr>
        <w:fldChar w:fldCharType="end"/>
      </w:r>
    </w:p>
    <w:p w14:paraId="2BBF2C6F">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"_Toc10561" </w:instrText>
      </w:r>
      <w:r>
        <w:rPr>
          <w:rFonts w:hint="eastAsia"/>
        </w:rPr>
        <w:fldChar w:fldCharType="separate"/>
      </w:r>
      <w:r>
        <w:rPr>
          <w:rFonts w:hint="eastAsia" w:eastAsia="仿宋_GB2312"/>
          <w:b w:val="0"/>
          <w:bCs/>
          <w:sz w:val="28"/>
          <w:szCs w:val="22"/>
        </w:rPr>
        <w:t>第二节 业绩预告和业绩快报</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_Toc10561 \h </w:instrText>
      </w:r>
      <w:r>
        <w:rPr>
          <w:rFonts w:hint="eastAsia" w:eastAsia="仿宋_GB2312"/>
          <w:b w:val="0"/>
          <w:bCs/>
          <w:sz w:val="28"/>
          <w:szCs w:val="22"/>
        </w:rPr>
        <w:fldChar w:fldCharType="separate"/>
      </w:r>
      <w:r>
        <w:rPr>
          <w:rFonts w:hint="eastAsia" w:eastAsia="仿宋_GB2312"/>
          <w:b w:val="0"/>
          <w:bCs/>
          <w:sz w:val="28"/>
          <w:szCs w:val="22"/>
        </w:rPr>
        <w:t>56</w:t>
      </w:r>
      <w:r>
        <w:rPr>
          <w:rFonts w:hint="eastAsia" w:eastAsia="仿宋_GB2312"/>
          <w:b w:val="0"/>
          <w:bCs/>
          <w:sz w:val="28"/>
          <w:szCs w:val="22"/>
        </w:rPr>
        <w:fldChar w:fldCharType="end"/>
      </w:r>
      <w:r>
        <w:rPr>
          <w:rFonts w:hint="eastAsia" w:eastAsia="仿宋_GB2312"/>
          <w:b w:val="0"/>
          <w:bCs/>
          <w:sz w:val="28"/>
          <w:szCs w:val="22"/>
        </w:rPr>
        <w:fldChar w:fldCharType="end"/>
      </w:r>
    </w:p>
    <w:p w14:paraId="0306E009">
      <w:pPr>
        <w:pStyle w:val="15"/>
        <w:tabs>
          <w:tab w:val="right" w:leader="dot" w:pos="8312"/>
          <w:tab w:val="clear" w:pos="420"/>
          <w:tab w:val="clear" w:pos="1134"/>
          <w:tab w:val="clear" w:pos="8380"/>
        </w:tabs>
        <w:rPr>
          <w:sz w:val="28"/>
          <w:szCs w:val="22"/>
        </w:rPr>
      </w:pPr>
      <w:r>
        <w:fldChar w:fldCharType="begin"/>
      </w:r>
      <w:r>
        <w:instrText xml:space="preserve"> HYPERLINK \l "_Toc9439" </w:instrText>
      </w:r>
      <w:r>
        <w:fldChar w:fldCharType="separate"/>
      </w:r>
      <w:r>
        <w:rPr>
          <w:sz w:val="28"/>
          <w:szCs w:val="4"/>
        </w:rPr>
        <w:t xml:space="preserve">第七章 </w:t>
      </w:r>
      <w:r>
        <w:rPr>
          <w:rFonts w:hint="eastAsia"/>
          <w:sz w:val="28"/>
          <w:szCs w:val="22"/>
        </w:rPr>
        <w:t>应当披露的交易</w:t>
      </w:r>
      <w:r>
        <w:rPr>
          <w:sz w:val="28"/>
          <w:szCs w:val="22"/>
        </w:rPr>
        <w:tab/>
      </w:r>
      <w:r>
        <w:rPr>
          <w:sz w:val="28"/>
          <w:szCs w:val="22"/>
        </w:rPr>
        <w:fldChar w:fldCharType="begin"/>
      </w:r>
      <w:r>
        <w:rPr>
          <w:sz w:val="28"/>
          <w:szCs w:val="22"/>
        </w:rPr>
        <w:instrText xml:space="preserve"> PAGEREF _Toc9439 \h </w:instrText>
      </w:r>
      <w:r>
        <w:rPr>
          <w:sz w:val="28"/>
          <w:szCs w:val="22"/>
        </w:rPr>
        <w:fldChar w:fldCharType="separate"/>
      </w:r>
      <w:r>
        <w:rPr>
          <w:sz w:val="28"/>
          <w:szCs w:val="22"/>
        </w:rPr>
        <w:t>58</w:t>
      </w:r>
      <w:r>
        <w:rPr>
          <w:sz w:val="28"/>
          <w:szCs w:val="22"/>
        </w:rPr>
        <w:fldChar w:fldCharType="end"/>
      </w:r>
      <w:r>
        <w:rPr>
          <w:sz w:val="28"/>
          <w:szCs w:val="22"/>
        </w:rPr>
        <w:fldChar w:fldCharType="end"/>
      </w:r>
    </w:p>
    <w:p w14:paraId="2D112092">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"_Toc1962" </w:instrText>
      </w:r>
      <w:r>
        <w:rPr>
          <w:rFonts w:hint="eastAsia"/>
        </w:rPr>
        <w:fldChar w:fldCharType="separate"/>
      </w:r>
      <w:r>
        <w:rPr>
          <w:rFonts w:hint="eastAsia" w:eastAsia="仿宋_GB2312"/>
          <w:b w:val="0"/>
          <w:bCs/>
          <w:sz w:val="28"/>
          <w:szCs w:val="22"/>
        </w:rPr>
        <w:t>第一节 重大交易</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_Toc1962 \h </w:instrText>
      </w:r>
      <w:r>
        <w:rPr>
          <w:rFonts w:hint="eastAsia" w:eastAsia="仿宋_GB2312"/>
          <w:b w:val="0"/>
          <w:bCs/>
          <w:sz w:val="28"/>
          <w:szCs w:val="22"/>
        </w:rPr>
        <w:fldChar w:fldCharType="separate"/>
      </w:r>
      <w:r>
        <w:rPr>
          <w:rFonts w:hint="eastAsia" w:eastAsia="仿宋_GB2312"/>
          <w:b w:val="0"/>
          <w:bCs/>
          <w:sz w:val="28"/>
          <w:szCs w:val="22"/>
        </w:rPr>
        <w:t>58</w:t>
      </w:r>
      <w:r>
        <w:rPr>
          <w:rFonts w:hint="eastAsia" w:eastAsia="仿宋_GB2312"/>
          <w:b w:val="0"/>
          <w:bCs/>
          <w:sz w:val="28"/>
          <w:szCs w:val="22"/>
        </w:rPr>
        <w:fldChar w:fldCharType="end"/>
      </w:r>
      <w:r>
        <w:rPr>
          <w:rFonts w:hint="eastAsia" w:eastAsia="仿宋_GB2312"/>
          <w:b w:val="0"/>
          <w:bCs/>
          <w:sz w:val="28"/>
          <w:szCs w:val="22"/>
        </w:rPr>
        <w:fldChar w:fldCharType="end"/>
      </w:r>
    </w:p>
    <w:p w14:paraId="78DF1259">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"_Toc25606" </w:instrText>
      </w:r>
      <w:r>
        <w:rPr>
          <w:rFonts w:hint="eastAsia"/>
        </w:rPr>
        <w:fldChar w:fldCharType="separate"/>
      </w:r>
      <w:r>
        <w:rPr>
          <w:rFonts w:hint="eastAsia" w:eastAsia="仿宋_GB2312"/>
          <w:b w:val="0"/>
          <w:bCs/>
          <w:sz w:val="28"/>
          <w:szCs w:val="22"/>
        </w:rPr>
        <w:t>第二节 关联交易</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_Toc25606 \h </w:instrText>
      </w:r>
      <w:r>
        <w:rPr>
          <w:rFonts w:hint="eastAsia" w:eastAsia="仿宋_GB2312"/>
          <w:b w:val="0"/>
          <w:bCs/>
          <w:sz w:val="28"/>
          <w:szCs w:val="22"/>
        </w:rPr>
        <w:fldChar w:fldCharType="separate"/>
      </w:r>
      <w:r>
        <w:rPr>
          <w:rFonts w:hint="eastAsia" w:eastAsia="仿宋_GB2312"/>
          <w:b w:val="0"/>
          <w:bCs/>
          <w:sz w:val="28"/>
          <w:szCs w:val="22"/>
        </w:rPr>
        <w:t>66</w:t>
      </w:r>
      <w:r>
        <w:rPr>
          <w:rFonts w:hint="eastAsia" w:eastAsia="仿宋_GB2312"/>
          <w:b w:val="0"/>
          <w:bCs/>
          <w:sz w:val="28"/>
          <w:szCs w:val="22"/>
        </w:rPr>
        <w:fldChar w:fldCharType="end"/>
      </w:r>
      <w:r>
        <w:rPr>
          <w:rFonts w:hint="eastAsia" w:eastAsia="仿宋_GB2312"/>
          <w:b w:val="0"/>
          <w:bCs/>
          <w:sz w:val="28"/>
          <w:szCs w:val="22"/>
        </w:rPr>
        <w:fldChar w:fldCharType="end"/>
      </w:r>
    </w:p>
    <w:p w14:paraId="38F130B9">
      <w:pPr>
        <w:pStyle w:val="15"/>
        <w:tabs>
          <w:tab w:val="right" w:leader="dot" w:pos="8312"/>
          <w:tab w:val="clear" w:pos="420"/>
          <w:tab w:val="clear" w:pos="1134"/>
          <w:tab w:val="clear" w:pos="8380"/>
        </w:tabs>
        <w:rPr>
          <w:sz w:val="28"/>
          <w:szCs w:val="22"/>
        </w:rPr>
      </w:pPr>
      <w:r>
        <w:fldChar w:fldCharType="begin"/>
      </w:r>
      <w:r>
        <w:instrText xml:space="preserve"> HYPERLINK \l "_Toc28582" </w:instrText>
      </w:r>
      <w:r>
        <w:fldChar w:fldCharType="separate"/>
      </w:r>
      <w:r>
        <w:rPr>
          <w:sz w:val="28"/>
          <w:szCs w:val="4"/>
        </w:rPr>
        <w:t xml:space="preserve">第八章 </w:t>
      </w:r>
      <w:r>
        <w:rPr>
          <w:rFonts w:hint="eastAsia"/>
          <w:sz w:val="28"/>
          <w:szCs w:val="22"/>
        </w:rPr>
        <w:t>应当披露的行业信息和经营风险</w:t>
      </w:r>
      <w:r>
        <w:rPr>
          <w:sz w:val="28"/>
          <w:szCs w:val="22"/>
        </w:rPr>
        <w:tab/>
      </w:r>
      <w:r>
        <w:rPr>
          <w:sz w:val="28"/>
          <w:szCs w:val="22"/>
        </w:rPr>
        <w:fldChar w:fldCharType="begin"/>
      </w:r>
      <w:r>
        <w:rPr>
          <w:sz w:val="28"/>
          <w:szCs w:val="22"/>
        </w:rPr>
        <w:instrText xml:space="preserve"> PAGEREF _Toc28582 \h </w:instrText>
      </w:r>
      <w:r>
        <w:rPr>
          <w:sz w:val="28"/>
          <w:szCs w:val="22"/>
        </w:rPr>
        <w:fldChar w:fldCharType="separate"/>
      </w:r>
      <w:r>
        <w:rPr>
          <w:sz w:val="28"/>
          <w:szCs w:val="22"/>
        </w:rPr>
        <w:t>71</w:t>
      </w:r>
      <w:r>
        <w:rPr>
          <w:sz w:val="28"/>
          <w:szCs w:val="22"/>
        </w:rPr>
        <w:fldChar w:fldCharType="end"/>
      </w:r>
      <w:r>
        <w:rPr>
          <w:sz w:val="28"/>
          <w:szCs w:val="22"/>
        </w:rPr>
        <w:fldChar w:fldCharType="end"/>
      </w:r>
    </w:p>
    <w:p w14:paraId="7C5E75AE">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"_Toc7644" </w:instrText>
      </w:r>
      <w:r>
        <w:rPr>
          <w:rFonts w:hint="eastAsia"/>
        </w:rPr>
        <w:fldChar w:fldCharType="separate"/>
      </w:r>
      <w:r>
        <w:rPr>
          <w:rFonts w:hint="eastAsia" w:eastAsia="仿宋_GB2312"/>
          <w:b w:val="0"/>
          <w:bCs/>
          <w:sz w:val="28"/>
          <w:szCs w:val="22"/>
        </w:rPr>
        <w:t>第一节 行业信息</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_Toc7644 \h </w:instrText>
      </w:r>
      <w:r>
        <w:rPr>
          <w:rFonts w:hint="eastAsia" w:eastAsia="仿宋_GB2312"/>
          <w:b w:val="0"/>
          <w:bCs/>
          <w:sz w:val="28"/>
          <w:szCs w:val="22"/>
        </w:rPr>
        <w:fldChar w:fldCharType="separate"/>
      </w:r>
      <w:r>
        <w:rPr>
          <w:rFonts w:hint="eastAsia" w:eastAsia="仿宋_GB2312"/>
          <w:b w:val="0"/>
          <w:bCs/>
          <w:sz w:val="28"/>
          <w:szCs w:val="22"/>
        </w:rPr>
        <w:t>71</w:t>
      </w:r>
      <w:r>
        <w:rPr>
          <w:rFonts w:hint="eastAsia" w:eastAsia="仿宋_GB2312"/>
          <w:b w:val="0"/>
          <w:bCs/>
          <w:sz w:val="28"/>
          <w:szCs w:val="22"/>
        </w:rPr>
        <w:fldChar w:fldCharType="end"/>
      </w:r>
      <w:r>
        <w:rPr>
          <w:rFonts w:hint="eastAsia" w:eastAsia="仿宋_GB2312"/>
          <w:b w:val="0"/>
          <w:bCs/>
          <w:sz w:val="28"/>
          <w:szCs w:val="22"/>
        </w:rPr>
        <w:fldChar w:fldCharType="end"/>
      </w:r>
    </w:p>
    <w:p w14:paraId="43BED431">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"_Toc18021" </w:instrText>
      </w:r>
      <w:r>
        <w:rPr>
          <w:rFonts w:hint="eastAsia"/>
        </w:rPr>
        <w:fldChar w:fldCharType="separate"/>
      </w:r>
      <w:r>
        <w:rPr>
          <w:rFonts w:hint="eastAsia" w:eastAsia="仿宋_GB2312"/>
          <w:b w:val="0"/>
          <w:bCs/>
          <w:sz w:val="28"/>
          <w:szCs w:val="22"/>
        </w:rPr>
        <w:t>第二节 经营风险</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_Toc18021 \h </w:instrText>
      </w:r>
      <w:r>
        <w:rPr>
          <w:rFonts w:hint="eastAsia" w:eastAsia="仿宋_GB2312"/>
          <w:b w:val="0"/>
          <w:bCs/>
          <w:sz w:val="28"/>
          <w:szCs w:val="22"/>
        </w:rPr>
        <w:fldChar w:fldCharType="separate"/>
      </w:r>
      <w:r>
        <w:rPr>
          <w:rFonts w:hint="eastAsia" w:eastAsia="仿宋_GB2312"/>
          <w:b w:val="0"/>
          <w:bCs/>
          <w:sz w:val="28"/>
          <w:szCs w:val="22"/>
        </w:rPr>
        <w:t>73</w:t>
      </w:r>
      <w:r>
        <w:rPr>
          <w:rFonts w:hint="eastAsia" w:eastAsia="仿宋_GB2312"/>
          <w:b w:val="0"/>
          <w:bCs/>
          <w:sz w:val="28"/>
          <w:szCs w:val="22"/>
        </w:rPr>
        <w:fldChar w:fldCharType="end"/>
      </w:r>
      <w:r>
        <w:rPr>
          <w:rFonts w:hint="eastAsia" w:eastAsia="仿宋_GB2312"/>
          <w:b w:val="0"/>
          <w:bCs/>
          <w:sz w:val="28"/>
          <w:szCs w:val="22"/>
        </w:rPr>
        <w:fldChar w:fldCharType="end"/>
      </w:r>
    </w:p>
    <w:p w14:paraId="635D4C6C">
      <w:pPr>
        <w:pStyle w:val="15"/>
        <w:tabs>
          <w:tab w:val="right" w:leader="dot" w:pos="8312"/>
          <w:tab w:val="clear" w:pos="420"/>
          <w:tab w:val="clear" w:pos="1134"/>
          <w:tab w:val="clear" w:pos="8380"/>
        </w:tabs>
        <w:rPr>
          <w:sz w:val="28"/>
          <w:szCs w:val="22"/>
        </w:rPr>
      </w:pPr>
      <w:r>
        <w:fldChar w:fldCharType="begin"/>
      </w:r>
      <w:r>
        <w:instrText xml:space="preserve"> HYPERLINK \l "_Toc32760" </w:instrText>
      </w:r>
      <w:r>
        <w:fldChar w:fldCharType="separate"/>
      </w:r>
      <w:r>
        <w:rPr>
          <w:sz w:val="28"/>
          <w:szCs w:val="4"/>
        </w:rPr>
        <w:t xml:space="preserve">第九章 </w:t>
      </w:r>
      <w:r>
        <w:rPr>
          <w:rFonts w:hint="eastAsia"/>
          <w:sz w:val="28"/>
          <w:szCs w:val="22"/>
        </w:rPr>
        <w:t>应当披露的其他重大事项</w:t>
      </w:r>
      <w:r>
        <w:rPr>
          <w:sz w:val="28"/>
          <w:szCs w:val="22"/>
        </w:rPr>
        <w:tab/>
      </w:r>
      <w:r>
        <w:rPr>
          <w:sz w:val="28"/>
          <w:szCs w:val="22"/>
        </w:rPr>
        <w:fldChar w:fldCharType="begin"/>
      </w:r>
      <w:r>
        <w:rPr>
          <w:sz w:val="28"/>
          <w:szCs w:val="22"/>
        </w:rPr>
        <w:instrText xml:space="preserve"> PAGEREF _Toc32760 \h </w:instrText>
      </w:r>
      <w:r>
        <w:rPr>
          <w:sz w:val="28"/>
          <w:szCs w:val="22"/>
        </w:rPr>
        <w:fldChar w:fldCharType="separate"/>
      </w:r>
      <w:r>
        <w:rPr>
          <w:sz w:val="28"/>
          <w:szCs w:val="22"/>
        </w:rPr>
        <w:t>77</w:t>
      </w:r>
      <w:r>
        <w:rPr>
          <w:sz w:val="28"/>
          <w:szCs w:val="22"/>
        </w:rPr>
        <w:fldChar w:fldCharType="end"/>
      </w:r>
      <w:r>
        <w:rPr>
          <w:sz w:val="28"/>
          <w:szCs w:val="22"/>
        </w:rPr>
        <w:fldChar w:fldCharType="end"/>
      </w:r>
    </w:p>
    <w:p w14:paraId="07D4AB62">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"_Toc5031" </w:instrText>
      </w:r>
      <w:r>
        <w:rPr>
          <w:rFonts w:hint="eastAsia"/>
        </w:rPr>
        <w:fldChar w:fldCharType="separate"/>
      </w:r>
      <w:r>
        <w:rPr>
          <w:rFonts w:hint="eastAsia" w:eastAsia="仿宋_GB2312"/>
          <w:b w:val="0"/>
          <w:bCs/>
          <w:sz w:val="28"/>
          <w:szCs w:val="22"/>
        </w:rPr>
        <w:t>第一节 异常波动和传闻澄清</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_Toc5031 \h </w:instrText>
      </w:r>
      <w:r>
        <w:rPr>
          <w:rFonts w:hint="eastAsia" w:eastAsia="仿宋_GB2312"/>
          <w:b w:val="0"/>
          <w:bCs/>
          <w:sz w:val="28"/>
          <w:szCs w:val="22"/>
        </w:rPr>
        <w:fldChar w:fldCharType="separate"/>
      </w:r>
      <w:r>
        <w:rPr>
          <w:rFonts w:hint="eastAsia" w:eastAsia="仿宋_GB2312"/>
          <w:b w:val="0"/>
          <w:bCs/>
          <w:sz w:val="28"/>
          <w:szCs w:val="22"/>
        </w:rPr>
        <w:t>77</w:t>
      </w:r>
      <w:r>
        <w:rPr>
          <w:rFonts w:hint="eastAsia" w:eastAsia="仿宋_GB2312"/>
          <w:b w:val="0"/>
          <w:bCs/>
          <w:sz w:val="28"/>
          <w:szCs w:val="22"/>
        </w:rPr>
        <w:fldChar w:fldCharType="end"/>
      </w:r>
      <w:r>
        <w:rPr>
          <w:rFonts w:hint="eastAsia" w:eastAsia="仿宋_GB2312"/>
          <w:b w:val="0"/>
          <w:bCs/>
          <w:sz w:val="28"/>
          <w:szCs w:val="22"/>
        </w:rPr>
        <w:fldChar w:fldCharType="end"/>
      </w:r>
    </w:p>
    <w:p w14:paraId="344D13A4">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"_Toc18837" </w:instrText>
      </w:r>
      <w:r>
        <w:rPr>
          <w:rFonts w:hint="eastAsia"/>
        </w:rPr>
        <w:fldChar w:fldCharType="separate"/>
      </w:r>
      <w:r>
        <w:rPr>
          <w:rFonts w:hint="eastAsia" w:eastAsia="仿宋_GB2312"/>
          <w:b w:val="0"/>
          <w:bCs/>
          <w:sz w:val="28"/>
          <w:szCs w:val="22"/>
        </w:rPr>
        <w:t>第二节 股份质押</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_Toc18837 \h </w:instrText>
      </w:r>
      <w:r>
        <w:rPr>
          <w:rFonts w:hint="eastAsia" w:eastAsia="仿宋_GB2312"/>
          <w:b w:val="0"/>
          <w:bCs/>
          <w:sz w:val="28"/>
          <w:szCs w:val="22"/>
        </w:rPr>
        <w:fldChar w:fldCharType="separate"/>
      </w:r>
      <w:r>
        <w:rPr>
          <w:rFonts w:hint="eastAsia" w:eastAsia="仿宋_GB2312"/>
          <w:b w:val="0"/>
          <w:bCs/>
          <w:sz w:val="28"/>
          <w:szCs w:val="22"/>
        </w:rPr>
        <w:t>79</w:t>
      </w:r>
      <w:r>
        <w:rPr>
          <w:rFonts w:hint="eastAsia" w:eastAsia="仿宋_GB2312"/>
          <w:b w:val="0"/>
          <w:bCs/>
          <w:sz w:val="28"/>
          <w:szCs w:val="22"/>
        </w:rPr>
        <w:fldChar w:fldCharType="end"/>
      </w:r>
      <w:r>
        <w:rPr>
          <w:rFonts w:hint="eastAsia" w:eastAsia="仿宋_GB2312"/>
          <w:b w:val="0"/>
          <w:bCs/>
          <w:sz w:val="28"/>
          <w:szCs w:val="22"/>
        </w:rPr>
        <w:fldChar w:fldCharType="end"/>
      </w:r>
    </w:p>
    <w:p w14:paraId="0B6A8B04">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"_Toc32330" </w:instrText>
      </w:r>
      <w:r>
        <w:rPr>
          <w:rFonts w:hint="eastAsia"/>
        </w:rPr>
        <w:fldChar w:fldCharType="separate"/>
      </w:r>
      <w:r>
        <w:rPr>
          <w:rFonts w:hint="eastAsia" w:eastAsia="仿宋_GB2312"/>
          <w:b w:val="0"/>
          <w:bCs/>
          <w:sz w:val="28"/>
          <w:szCs w:val="22"/>
        </w:rPr>
        <w:t>第三节 会计政策、会计估计变更及资产减值</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_Toc32330 \h </w:instrText>
      </w:r>
      <w:r>
        <w:rPr>
          <w:rFonts w:hint="eastAsia" w:eastAsia="仿宋_GB2312"/>
          <w:b w:val="0"/>
          <w:bCs/>
          <w:sz w:val="28"/>
          <w:szCs w:val="22"/>
        </w:rPr>
        <w:fldChar w:fldCharType="separate"/>
      </w:r>
      <w:r>
        <w:rPr>
          <w:rFonts w:hint="eastAsia" w:eastAsia="仿宋_GB2312"/>
          <w:b w:val="0"/>
          <w:bCs/>
          <w:sz w:val="28"/>
          <w:szCs w:val="22"/>
        </w:rPr>
        <w:t>80</w:t>
      </w:r>
      <w:r>
        <w:rPr>
          <w:rFonts w:hint="eastAsia" w:eastAsia="仿宋_GB2312"/>
          <w:b w:val="0"/>
          <w:bCs/>
          <w:sz w:val="28"/>
          <w:szCs w:val="22"/>
        </w:rPr>
        <w:fldChar w:fldCharType="end"/>
      </w:r>
      <w:r>
        <w:rPr>
          <w:rFonts w:hint="eastAsia" w:eastAsia="仿宋_GB2312"/>
          <w:b w:val="0"/>
          <w:bCs/>
          <w:sz w:val="28"/>
          <w:szCs w:val="22"/>
        </w:rPr>
        <w:fldChar w:fldCharType="end"/>
      </w:r>
    </w:p>
    <w:p w14:paraId="05AD46BB">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"_Toc8290" </w:instrText>
      </w:r>
      <w:r>
        <w:rPr>
          <w:rFonts w:hint="eastAsia"/>
        </w:rPr>
        <w:fldChar w:fldCharType="separate"/>
      </w:r>
      <w:r>
        <w:rPr>
          <w:rFonts w:hint="eastAsia" w:eastAsia="仿宋_GB2312"/>
          <w:b w:val="0"/>
          <w:bCs/>
          <w:sz w:val="28"/>
          <w:szCs w:val="22"/>
        </w:rPr>
        <w:t>第四节 其他</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_Toc8290 \h </w:instrText>
      </w:r>
      <w:r>
        <w:rPr>
          <w:rFonts w:hint="eastAsia" w:eastAsia="仿宋_GB2312"/>
          <w:b w:val="0"/>
          <w:bCs/>
          <w:sz w:val="28"/>
          <w:szCs w:val="22"/>
        </w:rPr>
        <w:fldChar w:fldCharType="separate"/>
      </w:r>
      <w:r>
        <w:rPr>
          <w:rFonts w:hint="eastAsia" w:eastAsia="仿宋_GB2312"/>
          <w:b w:val="0"/>
          <w:bCs/>
          <w:sz w:val="28"/>
          <w:szCs w:val="22"/>
        </w:rPr>
        <w:t>81</w:t>
      </w:r>
      <w:r>
        <w:rPr>
          <w:rFonts w:hint="eastAsia" w:eastAsia="仿宋_GB2312"/>
          <w:b w:val="0"/>
          <w:bCs/>
          <w:sz w:val="28"/>
          <w:szCs w:val="22"/>
        </w:rPr>
        <w:fldChar w:fldCharType="end"/>
      </w:r>
      <w:r>
        <w:rPr>
          <w:rFonts w:hint="eastAsia" w:eastAsia="仿宋_GB2312"/>
          <w:b w:val="0"/>
          <w:bCs/>
          <w:sz w:val="28"/>
          <w:szCs w:val="22"/>
        </w:rPr>
        <w:fldChar w:fldCharType="end"/>
      </w:r>
    </w:p>
    <w:p w14:paraId="30062765">
      <w:pPr>
        <w:pStyle w:val="15"/>
        <w:tabs>
          <w:tab w:val="right" w:leader="dot" w:pos="8312"/>
          <w:tab w:val="clear" w:pos="420"/>
          <w:tab w:val="clear" w:pos="1134"/>
          <w:tab w:val="clear" w:pos="8380"/>
        </w:tabs>
        <w:rPr>
          <w:sz w:val="28"/>
          <w:szCs w:val="22"/>
        </w:rPr>
      </w:pPr>
      <w:r>
        <w:fldChar w:fldCharType="begin"/>
      </w:r>
      <w:r>
        <w:instrText xml:space="preserve"> HYPERLINK \l "_Toc28256" </w:instrText>
      </w:r>
      <w:r>
        <w:fldChar w:fldCharType="separate"/>
      </w:r>
      <w:r>
        <w:rPr>
          <w:sz w:val="28"/>
          <w:szCs w:val="4"/>
        </w:rPr>
        <w:t xml:space="preserve">第十章 </w:t>
      </w:r>
      <w:r>
        <w:rPr>
          <w:rFonts w:hint="eastAsia"/>
          <w:sz w:val="28"/>
          <w:szCs w:val="22"/>
        </w:rPr>
        <w:t>股权激励</w:t>
      </w:r>
      <w:r>
        <w:rPr>
          <w:sz w:val="28"/>
          <w:szCs w:val="22"/>
        </w:rPr>
        <w:tab/>
      </w:r>
      <w:r>
        <w:rPr>
          <w:sz w:val="28"/>
          <w:szCs w:val="22"/>
        </w:rPr>
        <w:fldChar w:fldCharType="begin"/>
      </w:r>
      <w:r>
        <w:rPr>
          <w:sz w:val="28"/>
          <w:szCs w:val="22"/>
        </w:rPr>
        <w:instrText xml:space="preserve"> PAGEREF _Toc28256 \h </w:instrText>
      </w:r>
      <w:r>
        <w:rPr>
          <w:sz w:val="28"/>
          <w:szCs w:val="22"/>
        </w:rPr>
        <w:fldChar w:fldCharType="separate"/>
      </w:r>
      <w:r>
        <w:rPr>
          <w:sz w:val="28"/>
          <w:szCs w:val="22"/>
        </w:rPr>
        <w:t>83</w:t>
      </w:r>
      <w:r>
        <w:rPr>
          <w:sz w:val="28"/>
          <w:szCs w:val="22"/>
        </w:rPr>
        <w:fldChar w:fldCharType="end"/>
      </w:r>
      <w:r>
        <w:rPr>
          <w:sz w:val="28"/>
          <w:szCs w:val="22"/>
        </w:rPr>
        <w:fldChar w:fldCharType="end"/>
      </w:r>
    </w:p>
    <w:p w14:paraId="1C158E41">
      <w:pPr>
        <w:pStyle w:val="15"/>
        <w:tabs>
          <w:tab w:val="right" w:leader="dot" w:pos="8312"/>
          <w:tab w:val="clear" w:pos="420"/>
          <w:tab w:val="clear" w:pos="1134"/>
          <w:tab w:val="clear" w:pos="8380"/>
        </w:tabs>
        <w:rPr>
          <w:sz w:val="28"/>
          <w:szCs w:val="22"/>
        </w:rPr>
      </w:pPr>
      <w:r>
        <w:fldChar w:fldCharType="begin"/>
      </w:r>
      <w:r>
        <w:instrText xml:space="preserve"> HYPERLINK \l "_Toc18628" </w:instrText>
      </w:r>
      <w:r>
        <w:fldChar w:fldCharType="separate"/>
      </w:r>
      <w:r>
        <w:rPr>
          <w:sz w:val="28"/>
          <w:szCs w:val="4"/>
        </w:rPr>
        <w:t xml:space="preserve">第十一章 </w:t>
      </w:r>
      <w:r>
        <w:rPr>
          <w:rFonts w:hint="eastAsia"/>
          <w:sz w:val="28"/>
          <w:szCs w:val="22"/>
        </w:rPr>
        <w:t>重大资产重组</w:t>
      </w:r>
      <w:r>
        <w:rPr>
          <w:sz w:val="28"/>
          <w:szCs w:val="22"/>
        </w:rPr>
        <w:tab/>
      </w:r>
      <w:r>
        <w:rPr>
          <w:sz w:val="28"/>
          <w:szCs w:val="22"/>
        </w:rPr>
        <w:fldChar w:fldCharType="begin"/>
      </w:r>
      <w:r>
        <w:rPr>
          <w:sz w:val="28"/>
          <w:szCs w:val="22"/>
        </w:rPr>
        <w:instrText xml:space="preserve"> PAGEREF _Toc18628 \h </w:instrText>
      </w:r>
      <w:r>
        <w:rPr>
          <w:sz w:val="28"/>
          <w:szCs w:val="22"/>
        </w:rPr>
        <w:fldChar w:fldCharType="separate"/>
      </w:r>
      <w:r>
        <w:rPr>
          <w:sz w:val="28"/>
          <w:szCs w:val="22"/>
        </w:rPr>
        <w:t>85</w:t>
      </w:r>
      <w:r>
        <w:rPr>
          <w:sz w:val="28"/>
          <w:szCs w:val="22"/>
        </w:rPr>
        <w:fldChar w:fldCharType="end"/>
      </w:r>
      <w:r>
        <w:rPr>
          <w:sz w:val="28"/>
          <w:szCs w:val="22"/>
        </w:rPr>
        <w:fldChar w:fldCharType="end"/>
      </w:r>
    </w:p>
    <w:p w14:paraId="5BB350B3">
      <w:pPr>
        <w:pStyle w:val="15"/>
        <w:tabs>
          <w:tab w:val="right" w:leader="dot" w:pos="8312"/>
          <w:tab w:val="clear" w:pos="420"/>
          <w:tab w:val="clear" w:pos="1134"/>
          <w:tab w:val="clear" w:pos="8380"/>
        </w:tabs>
        <w:rPr>
          <w:sz w:val="28"/>
          <w:szCs w:val="22"/>
        </w:rPr>
      </w:pPr>
      <w:r>
        <w:fldChar w:fldCharType="begin"/>
      </w:r>
      <w:r>
        <w:instrText xml:space="preserve"> HYPERLINK \l "_Toc2290" </w:instrText>
      </w:r>
      <w:r>
        <w:fldChar w:fldCharType="separate"/>
      </w:r>
      <w:r>
        <w:rPr>
          <w:sz w:val="28"/>
          <w:szCs w:val="4"/>
        </w:rPr>
        <w:t xml:space="preserve">第十二章 </w:t>
      </w:r>
      <w:r>
        <w:rPr>
          <w:rFonts w:hint="eastAsia"/>
          <w:sz w:val="28"/>
          <w:szCs w:val="22"/>
        </w:rPr>
        <w:t>退市与风险警示</w:t>
      </w:r>
      <w:r>
        <w:rPr>
          <w:sz w:val="28"/>
          <w:szCs w:val="22"/>
        </w:rPr>
        <w:tab/>
      </w:r>
      <w:r>
        <w:rPr>
          <w:sz w:val="28"/>
          <w:szCs w:val="22"/>
        </w:rPr>
        <w:fldChar w:fldCharType="begin"/>
      </w:r>
      <w:r>
        <w:rPr>
          <w:sz w:val="28"/>
          <w:szCs w:val="22"/>
        </w:rPr>
        <w:instrText xml:space="preserve"> PAGEREF _Toc2290 \h </w:instrText>
      </w:r>
      <w:r>
        <w:rPr>
          <w:sz w:val="28"/>
          <w:szCs w:val="22"/>
        </w:rPr>
        <w:fldChar w:fldCharType="separate"/>
      </w:r>
      <w:r>
        <w:rPr>
          <w:sz w:val="28"/>
          <w:szCs w:val="22"/>
        </w:rPr>
        <w:t>86</w:t>
      </w:r>
      <w:r>
        <w:rPr>
          <w:sz w:val="28"/>
          <w:szCs w:val="22"/>
        </w:rPr>
        <w:fldChar w:fldCharType="end"/>
      </w:r>
      <w:r>
        <w:rPr>
          <w:sz w:val="28"/>
          <w:szCs w:val="22"/>
        </w:rPr>
        <w:fldChar w:fldCharType="end"/>
      </w:r>
    </w:p>
    <w:p w14:paraId="7465026E">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"_Toc17672" </w:instrText>
      </w:r>
      <w:r>
        <w:rPr>
          <w:rFonts w:hint="eastAsia"/>
        </w:rPr>
        <w:fldChar w:fldCharType="separate"/>
      </w:r>
      <w:r>
        <w:rPr>
          <w:rFonts w:hint="eastAsia" w:eastAsia="仿宋_GB2312"/>
          <w:b w:val="0"/>
          <w:bCs/>
          <w:sz w:val="28"/>
          <w:szCs w:val="22"/>
        </w:rPr>
        <w:t>第一节 一般规定</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_Toc17672 \h </w:instrText>
      </w:r>
      <w:r>
        <w:rPr>
          <w:rFonts w:hint="eastAsia" w:eastAsia="仿宋_GB2312"/>
          <w:b w:val="0"/>
          <w:bCs/>
          <w:sz w:val="28"/>
          <w:szCs w:val="22"/>
        </w:rPr>
        <w:fldChar w:fldCharType="separate"/>
      </w:r>
      <w:r>
        <w:rPr>
          <w:rFonts w:hint="eastAsia" w:eastAsia="仿宋_GB2312"/>
          <w:b w:val="0"/>
          <w:bCs/>
          <w:sz w:val="28"/>
          <w:szCs w:val="22"/>
        </w:rPr>
        <w:t>86</w:t>
      </w:r>
      <w:r>
        <w:rPr>
          <w:rFonts w:hint="eastAsia" w:eastAsia="仿宋_GB2312"/>
          <w:b w:val="0"/>
          <w:bCs/>
          <w:sz w:val="28"/>
          <w:szCs w:val="22"/>
        </w:rPr>
        <w:fldChar w:fldCharType="end"/>
      </w:r>
      <w:r>
        <w:rPr>
          <w:rFonts w:hint="eastAsia" w:eastAsia="仿宋_GB2312"/>
          <w:b w:val="0"/>
          <w:bCs/>
          <w:sz w:val="28"/>
          <w:szCs w:val="22"/>
        </w:rPr>
        <w:fldChar w:fldCharType="end"/>
      </w:r>
    </w:p>
    <w:p w14:paraId="1D466DEE">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"_Toc6872" </w:instrText>
      </w:r>
      <w:r>
        <w:rPr>
          <w:rFonts w:hint="eastAsia"/>
        </w:rPr>
        <w:fldChar w:fldCharType="separate"/>
      </w:r>
      <w:r>
        <w:rPr>
          <w:rFonts w:hint="eastAsia" w:eastAsia="仿宋_GB2312"/>
          <w:b w:val="0"/>
          <w:bCs/>
          <w:sz w:val="28"/>
          <w:szCs w:val="22"/>
        </w:rPr>
        <w:t>第二节 重大违法强制退市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_Toc6872 \h </w:instrText>
      </w:r>
      <w:r>
        <w:rPr>
          <w:rFonts w:hint="eastAsia" w:eastAsia="仿宋_GB2312"/>
          <w:b w:val="0"/>
          <w:bCs/>
          <w:sz w:val="28"/>
          <w:szCs w:val="22"/>
        </w:rPr>
        <w:fldChar w:fldCharType="separate"/>
      </w:r>
      <w:r>
        <w:rPr>
          <w:rFonts w:hint="eastAsia" w:eastAsia="仿宋_GB2312"/>
          <w:b w:val="0"/>
          <w:bCs/>
          <w:sz w:val="28"/>
          <w:szCs w:val="22"/>
        </w:rPr>
        <w:t>89</w:t>
      </w:r>
      <w:r>
        <w:rPr>
          <w:rFonts w:hint="eastAsia" w:eastAsia="仿宋_GB2312"/>
          <w:b w:val="0"/>
          <w:bCs/>
          <w:sz w:val="28"/>
          <w:szCs w:val="22"/>
        </w:rPr>
        <w:fldChar w:fldCharType="end"/>
      </w:r>
      <w:r>
        <w:rPr>
          <w:rFonts w:hint="eastAsia" w:eastAsia="仿宋_GB2312"/>
          <w:b w:val="0"/>
          <w:bCs/>
          <w:sz w:val="28"/>
          <w:szCs w:val="22"/>
        </w:rPr>
        <w:fldChar w:fldCharType="end"/>
      </w:r>
    </w:p>
    <w:p w14:paraId="6806195C">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"_Toc15200" </w:instrText>
      </w:r>
      <w:r>
        <w:rPr>
          <w:rFonts w:hint="eastAsia"/>
        </w:rPr>
        <w:fldChar w:fldCharType="separate"/>
      </w:r>
      <w:r>
        <w:rPr>
          <w:rFonts w:hint="eastAsia" w:eastAsia="仿宋_GB2312"/>
          <w:b w:val="0"/>
          <w:bCs/>
          <w:sz w:val="28"/>
          <w:szCs w:val="22"/>
        </w:rPr>
        <w:t>第三节 交易类强制退市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_Toc15200 \h </w:instrText>
      </w:r>
      <w:r>
        <w:rPr>
          <w:rFonts w:hint="eastAsia" w:eastAsia="仿宋_GB2312"/>
          <w:b w:val="0"/>
          <w:bCs/>
          <w:sz w:val="28"/>
          <w:szCs w:val="22"/>
        </w:rPr>
        <w:fldChar w:fldCharType="separate"/>
      </w:r>
      <w:r>
        <w:rPr>
          <w:rFonts w:hint="eastAsia" w:eastAsia="仿宋_GB2312"/>
          <w:b w:val="0"/>
          <w:bCs/>
          <w:sz w:val="28"/>
          <w:szCs w:val="22"/>
        </w:rPr>
        <w:t>95</w:t>
      </w:r>
      <w:r>
        <w:rPr>
          <w:rFonts w:hint="eastAsia" w:eastAsia="仿宋_GB2312"/>
          <w:b w:val="0"/>
          <w:bCs/>
          <w:sz w:val="28"/>
          <w:szCs w:val="22"/>
        </w:rPr>
        <w:fldChar w:fldCharType="end"/>
      </w:r>
      <w:r>
        <w:rPr>
          <w:rFonts w:hint="eastAsia" w:eastAsia="仿宋_GB2312"/>
          <w:b w:val="0"/>
          <w:bCs/>
          <w:sz w:val="28"/>
          <w:szCs w:val="22"/>
        </w:rPr>
        <w:fldChar w:fldCharType="end"/>
      </w:r>
    </w:p>
    <w:p w14:paraId="0E3348AD">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"_Toc29518" </w:instrText>
      </w:r>
      <w:r>
        <w:rPr>
          <w:rFonts w:hint="eastAsia"/>
        </w:rPr>
        <w:fldChar w:fldCharType="separate"/>
      </w:r>
      <w:r>
        <w:rPr>
          <w:rFonts w:hint="eastAsia" w:eastAsia="仿宋_GB2312"/>
          <w:b w:val="0"/>
          <w:bCs/>
          <w:sz w:val="28"/>
          <w:szCs w:val="22"/>
        </w:rPr>
        <w:t>第四节 财务类强制退市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_Toc29518 \h </w:instrText>
      </w:r>
      <w:r>
        <w:rPr>
          <w:rFonts w:hint="eastAsia" w:eastAsia="仿宋_GB2312"/>
          <w:b w:val="0"/>
          <w:bCs/>
          <w:sz w:val="28"/>
          <w:szCs w:val="22"/>
        </w:rPr>
        <w:fldChar w:fldCharType="separate"/>
      </w:r>
      <w:r>
        <w:rPr>
          <w:rFonts w:hint="eastAsia" w:eastAsia="仿宋_GB2312"/>
          <w:b w:val="0"/>
          <w:bCs/>
          <w:sz w:val="28"/>
          <w:szCs w:val="22"/>
        </w:rPr>
        <w:t>99</w:t>
      </w:r>
      <w:r>
        <w:rPr>
          <w:rFonts w:hint="eastAsia" w:eastAsia="仿宋_GB2312"/>
          <w:b w:val="0"/>
          <w:bCs/>
          <w:sz w:val="28"/>
          <w:szCs w:val="22"/>
        </w:rPr>
        <w:fldChar w:fldCharType="end"/>
      </w:r>
      <w:r>
        <w:rPr>
          <w:rFonts w:hint="eastAsia" w:eastAsia="仿宋_GB2312"/>
          <w:b w:val="0"/>
          <w:bCs/>
          <w:sz w:val="28"/>
          <w:szCs w:val="22"/>
        </w:rPr>
        <w:fldChar w:fldCharType="end"/>
      </w:r>
    </w:p>
    <w:p w14:paraId="55527C0F">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"_Toc16549" </w:instrText>
      </w:r>
      <w:r>
        <w:rPr>
          <w:rFonts w:hint="eastAsia"/>
        </w:rPr>
        <w:fldChar w:fldCharType="separate"/>
      </w:r>
      <w:r>
        <w:rPr>
          <w:rFonts w:hint="eastAsia" w:eastAsia="仿宋_GB2312"/>
          <w:b w:val="0"/>
          <w:bCs/>
          <w:sz w:val="28"/>
          <w:szCs w:val="22"/>
        </w:rPr>
        <w:t>第五节 规范类强制退市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_Toc16549 \h </w:instrText>
      </w:r>
      <w:r>
        <w:rPr>
          <w:rFonts w:hint="eastAsia" w:eastAsia="仿宋_GB2312"/>
          <w:b w:val="0"/>
          <w:bCs/>
          <w:sz w:val="28"/>
          <w:szCs w:val="22"/>
        </w:rPr>
        <w:fldChar w:fldCharType="separate"/>
      </w:r>
      <w:r>
        <w:rPr>
          <w:rFonts w:hint="eastAsia" w:eastAsia="仿宋_GB2312"/>
          <w:b w:val="0"/>
          <w:bCs/>
          <w:sz w:val="28"/>
          <w:szCs w:val="22"/>
        </w:rPr>
        <w:t>108</w:t>
      </w:r>
      <w:r>
        <w:rPr>
          <w:rFonts w:hint="eastAsia" w:eastAsia="仿宋_GB2312"/>
          <w:b w:val="0"/>
          <w:bCs/>
          <w:sz w:val="28"/>
          <w:szCs w:val="22"/>
        </w:rPr>
        <w:fldChar w:fldCharType="end"/>
      </w:r>
      <w:r>
        <w:rPr>
          <w:rFonts w:hint="eastAsia" w:eastAsia="仿宋_GB2312"/>
          <w:b w:val="0"/>
          <w:bCs/>
          <w:sz w:val="28"/>
          <w:szCs w:val="22"/>
        </w:rPr>
        <w:fldChar w:fldCharType="end"/>
      </w:r>
    </w:p>
    <w:p w14:paraId="3E7A53C1">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"_Toc29740" </w:instrText>
      </w:r>
      <w:r>
        <w:rPr>
          <w:rFonts w:hint="eastAsia"/>
        </w:rPr>
        <w:fldChar w:fldCharType="separate"/>
      </w:r>
      <w:r>
        <w:rPr>
          <w:rFonts w:hint="eastAsia" w:eastAsia="仿宋_GB2312"/>
          <w:b w:val="0"/>
          <w:bCs/>
          <w:sz w:val="28"/>
          <w:szCs w:val="22"/>
        </w:rPr>
        <w:t>第六节 听证与复核</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_Toc29740 \h </w:instrText>
      </w:r>
      <w:r>
        <w:rPr>
          <w:rFonts w:hint="eastAsia" w:eastAsia="仿宋_GB2312"/>
          <w:b w:val="0"/>
          <w:bCs/>
          <w:sz w:val="28"/>
          <w:szCs w:val="22"/>
        </w:rPr>
        <w:fldChar w:fldCharType="separate"/>
      </w:r>
      <w:r>
        <w:rPr>
          <w:rFonts w:hint="eastAsia" w:eastAsia="仿宋_GB2312"/>
          <w:b w:val="0"/>
          <w:bCs/>
          <w:sz w:val="28"/>
          <w:szCs w:val="22"/>
        </w:rPr>
        <w:t>118</w:t>
      </w:r>
      <w:r>
        <w:rPr>
          <w:rFonts w:hint="eastAsia" w:eastAsia="仿宋_GB2312"/>
          <w:b w:val="0"/>
          <w:bCs/>
          <w:sz w:val="28"/>
          <w:szCs w:val="22"/>
        </w:rPr>
        <w:fldChar w:fldCharType="end"/>
      </w:r>
      <w:r>
        <w:rPr>
          <w:rFonts w:hint="eastAsia" w:eastAsia="仿宋_GB2312"/>
          <w:b w:val="0"/>
          <w:bCs/>
          <w:sz w:val="28"/>
          <w:szCs w:val="22"/>
        </w:rPr>
        <w:fldChar w:fldCharType="end"/>
      </w:r>
    </w:p>
    <w:p w14:paraId="223EEA37">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"_Toc22057" </w:instrText>
      </w:r>
      <w:r>
        <w:rPr>
          <w:rFonts w:hint="eastAsia"/>
        </w:rPr>
        <w:fldChar w:fldCharType="separate"/>
      </w:r>
      <w:r>
        <w:rPr>
          <w:rFonts w:hint="eastAsia" w:eastAsia="仿宋_GB2312"/>
          <w:b w:val="0"/>
          <w:bCs/>
          <w:sz w:val="28"/>
          <w:szCs w:val="22"/>
        </w:rPr>
        <w:t>第七节 退市整理期</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_Toc22057 \h </w:instrText>
      </w:r>
      <w:r>
        <w:rPr>
          <w:rFonts w:hint="eastAsia" w:eastAsia="仿宋_GB2312"/>
          <w:b w:val="0"/>
          <w:bCs/>
          <w:sz w:val="28"/>
          <w:szCs w:val="22"/>
        </w:rPr>
        <w:fldChar w:fldCharType="separate"/>
      </w:r>
      <w:r>
        <w:rPr>
          <w:rFonts w:hint="eastAsia" w:eastAsia="仿宋_GB2312"/>
          <w:b w:val="0"/>
          <w:bCs/>
          <w:sz w:val="28"/>
          <w:szCs w:val="22"/>
        </w:rPr>
        <w:t>120</w:t>
      </w:r>
      <w:r>
        <w:rPr>
          <w:rFonts w:hint="eastAsia" w:eastAsia="仿宋_GB2312"/>
          <w:b w:val="0"/>
          <w:bCs/>
          <w:sz w:val="28"/>
          <w:szCs w:val="22"/>
        </w:rPr>
        <w:fldChar w:fldCharType="end"/>
      </w:r>
      <w:r>
        <w:rPr>
          <w:rFonts w:hint="eastAsia" w:eastAsia="仿宋_GB2312"/>
          <w:b w:val="0"/>
          <w:bCs/>
          <w:sz w:val="28"/>
          <w:szCs w:val="22"/>
        </w:rPr>
        <w:fldChar w:fldCharType="end"/>
      </w:r>
    </w:p>
    <w:p w14:paraId="2CDB4B5F">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"_Toc3308" </w:instrText>
      </w:r>
      <w:r>
        <w:rPr>
          <w:rFonts w:hint="eastAsia"/>
        </w:rPr>
        <w:fldChar w:fldCharType="separate"/>
      </w:r>
      <w:r>
        <w:rPr>
          <w:rFonts w:hint="eastAsia" w:eastAsia="仿宋_GB2312"/>
          <w:b w:val="0"/>
          <w:bCs/>
          <w:sz w:val="28"/>
          <w:szCs w:val="22"/>
        </w:rPr>
        <w:t>第八节 主动终止上市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_Toc3308 \h </w:instrText>
      </w:r>
      <w:r>
        <w:rPr>
          <w:rFonts w:hint="eastAsia" w:eastAsia="仿宋_GB2312"/>
          <w:b w:val="0"/>
          <w:bCs/>
          <w:sz w:val="28"/>
          <w:szCs w:val="22"/>
        </w:rPr>
        <w:fldChar w:fldCharType="separate"/>
      </w:r>
      <w:r>
        <w:rPr>
          <w:rFonts w:hint="eastAsia" w:eastAsia="仿宋_GB2312"/>
          <w:b w:val="0"/>
          <w:bCs/>
          <w:sz w:val="28"/>
          <w:szCs w:val="22"/>
        </w:rPr>
        <w:t>123</w:t>
      </w:r>
      <w:r>
        <w:rPr>
          <w:rFonts w:hint="eastAsia" w:eastAsia="仿宋_GB2312"/>
          <w:b w:val="0"/>
          <w:bCs/>
          <w:sz w:val="28"/>
          <w:szCs w:val="22"/>
        </w:rPr>
        <w:fldChar w:fldCharType="end"/>
      </w:r>
      <w:r>
        <w:rPr>
          <w:rFonts w:hint="eastAsia" w:eastAsia="仿宋_GB2312"/>
          <w:b w:val="0"/>
          <w:bCs/>
          <w:sz w:val="28"/>
          <w:szCs w:val="22"/>
        </w:rPr>
        <w:fldChar w:fldCharType="end"/>
      </w:r>
    </w:p>
    <w:p w14:paraId="432FB696">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"_Toc6948" </w:instrText>
      </w:r>
      <w:r>
        <w:rPr>
          <w:rFonts w:hint="eastAsia"/>
        </w:rPr>
        <w:fldChar w:fldCharType="separate"/>
      </w:r>
      <w:r>
        <w:rPr>
          <w:rFonts w:hint="eastAsia" w:eastAsia="仿宋_GB2312"/>
          <w:b w:val="0"/>
          <w:bCs/>
          <w:sz w:val="28"/>
          <w:szCs w:val="22"/>
        </w:rPr>
        <w:t>第九节 其他风险警示</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_Toc6948 \h </w:instrText>
      </w:r>
      <w:r>
        <w:rPr>
          <w:rFonts w:hint="eastAsia" w:eastAsia="仿宋_GB2312"/>
          <w:b w:val="0"/>
          <w:bCs/>
          <w:sz w:val="28"/>
          <w:szCs w:val="22"/>
        </w:rPr>
        <w:fldChar w:fldCharType="separate"/>
      </w:r>
      <w:r>
        <w:rPr>
          <w:rFonts w:hint="eastAsia" w:eastAsia="仿宋_GB2312"/>
          <w:b w:val="0"/>
          <w:bCs/>
          <w:sz w:val="28"/>
          <w:szCs w:val="22"/>
        </w:rPr>
        <w:t>128</w:t>
      </w:r>
      <w:r>
        <w:rPr>
          <w:rFonts w:hint="eastAsia" w:eastAsia="仿宋_GB2312"/>
          <w:b w:val="0"/>
          <w:bCs/>
          <w:sz w:val="28"/>
          <w:szCs w:val="22"/>
        </w:rPr>
        <w:fldChar w:fldCharType="end"/>
      </w:r>
      <w:r>
        <w:rPr>
          <w:rFonts w:hint="eastAsia" w:eastAsia="仿宋_GB2312"/>
          <w:b w:val="0"/>
          <w:bCs/>
          <w:sz w:val="28"/>
          <w:szCs w:val="22"/>
        </w:rPr>
        <w:fldChar w:fldCharType="end"/>
      </w:r>
    </w:p>
    <w:p w14:paraId="6885A895">
      <w:pPr>
        <w:pStyle w:val="18"/>
        <w:tabs>
          <w:tab w:val="right" w:leader="dot" w:pos="8312"/>
          <w:tab w:val="clear" w:pos="1276"/>
          <w:tab w:val="clear" w:pos="8380"/>
        </w:tabs>
        <w:ind w:left="420" w:leftChars="200"/>
        <w:rPr>
          <w:sz w:val="28"/>
          <w:szCs w:val="22"/>
        </w:rPr>
      </w:pPr>
      <w:r>
        <w:rPr>
          <w:rFonts w:hint="eastAsia"/>
        </w:rPr>
        <w:fldChar w:fldCharType="begin"/>
      </w:r>
      <w:r>
        <w:instrText xml:space="preserve"> HYPERLINK \l "_Toc16105" </w:instrText>
      </w:r>
      <w:r>
        <w:rPr>
          <w:rFonts w:hint="eastAsia"/>
        </w:rPr>
        <w:fldChar w:fldCharType="separate"/>
      </w:r>
      <w:r>
        <w:rPr>
          <w:rFonts w:hint="eastAsia" w:eastAsia="仿宋_GB2312"/>
          <w:b w:val="0"/>
          <w:bCs/>
          <w:sz w:val="28"/>
          <w:szCs w:val="22"/>
        </w:rPr>
        <w:t>第十节 再次上市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_Toc16105 \h </w:instrText>
      </w:r>
      <w:r>
        <w:rPr>
          <w:rFonts w:hint="eastAsia" w:eastAsia="仿宋_GB2312"/>
          <w:b w:val="0"/>
          <w:bCs/>
          <w:sz w:val="28"/>
          <w:szCs w:val="22"/>
        </w:rPr>
        <w:fldChar w:fldCharType="separate"/>
      </w:r>
      <w:r>
        <w:rPr>
          <w:rFonts w:hint="eastAsia" w:eastAsia="仿宋_GB2312"/>
          <w:b w:val="0"/>
          <w:bCs/>
          <w:sz w:val="28"/>
          <w:szCs w:val="22"/>
        </w:rPr>
        <w:t>134</w:t>
      </w:r>
      <w:r>
        <w:rPr>
          <w:rFonts w:hint="eastAsia" w:eastAsia="仿宋_GB2312"/>
          <w:b w:val="0"/>
          <w:bCs/>
          <w:sz w:val="28"/>
          <w:szCs w:val="22"/>
        </w:rPr>
        <w:fldChar w:fldCharType="end"/>
      </w:r>
      <w:r>
        <w:rPr>
          <w:rFonts w:hint="eastAsia" w:eastAsia="仿宋_GB2312"/>
          <w:b w:val="0"/>
          <w:bCs/>
          <w:sz w:val="28"/>
          <w:szCs w:val="22"/>
        </w:rPr>
        <w:fldChar w:fldCharType="end"/>
      </w:r>
    </w:p>
    <w:p w14:paraId="1D6BE3DB">
      <w:pPr>
        <w:pStyle w:val="15"/>
        <w:tabs>
          <w:tab w:val="right" w:leader="dot" w:pos="8312"/>
          <w:tab w:val="clear" w:pos="420"/>
          <w:tab w:val="clear" w:pos="1134"/>
          <w:tab w:val="clear" w:pos="8380"/>
        </w:tabs>
        <w:rPr>
          <w:sz w:val="28"/>
          <w:szCs w:val="22"/>
        </w:rPr>
      </w:pPr>
      <w:r>
        <w:fldChar w:fldCharType="begin"/>
      </w:r>
      <w:r>
        <w:instrText xml:space="preserve"> HYPERLINK \l "_Toc30337" </w:instrText>
      </w:r>
      <w:r>
        <w:fldChar w:fldCharType="separate"/>
      </w:r>
      <w:r>
        <w:rPr>
          <w:sz w:val="28"/>
          <w:szCs w:val="4"/>
        </w:rPr>
        <w:t xml:space="preserve">第十三章 </w:t>
      </w:r>
      <w:r>
        <w:rPr>
          <w:rFonts w:hint="eastAsia"/>
          <w:sz w:val="28"/>
          <w:szCs w:val="22"/>
        </w:rPr>
        <w:t>红筹企业和境内外事项的协调</w:t>
      </w:r>
      <w:r>
        <w:rPr>
          <w:sz w:val="28"/>
          <w:szCs w:val="22"/>
        </w:rPr>
        <w:tab/>
      </w:r>
      <w:r>
        <w:rPr>
          <w:sz w:val="28"/>
          <w:szCs w:val="22"/>
        </w:rPr>
        <w:fldChar w:fldCharType="begin"/>
      </w:r>
      <w:r>
        <w:rPr>
          <w:sz w:val="28"/>
          <w:szCs w:val="22"/>
        </w:rPr>
        <w:instrText xml:space="preserve"> PAGEREF _Toc30337 \h </w:instrText>
      </w:r>
      <w:r>
        <w:rPr>
          <w:sz w:val="28"/>
          <w:szCs w:val="22"/>
        </w:rPr>
        <w:fldChar w:fldCharType="separate"/>
      </w:r>
      <w:r>
        <w:rPr>
          <w:sz w:val="28"/>
          <w:szCs w:val="22"/>
        </w:rPr>
        <w:t>136</w:t>
      </w:r>
      <w:r>
        <w:rPr>
          <w:sz w:val="28"/>
          <w:szCs w:val="22"/>
        </w:rPr>
        <w:fldChar w:fldCharType="end"/>
      </w:r>
      <w:r>
        <w:rPr>
          <w:sz w:val="28"/>
          <w:szCs w:val="22"/>
        </w:rPr>
        <w:fldChar w:fldCharType="end"/>
      </w:r>
    </w:p>
    <w:p w14:paraId="33004886">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"_Toc31861" </w:instrText>
      </w:r>
      <w:r>
        <w:rPr>
          <w:rFonts w:hint="eastAsia"/>
        </w:rPr>
        <w:fldChar w:fldCharType="separate"/>
      </w:r>
      <w:r>
        <w:rPr>
          <w:rFonts w:hint="eastAsia" w:eastAsia="仿宋_GB2312"/>
          <w:b w:val="0"/>
          <w:bCs/>
          <w:sz w:val="28"/>
          <w:szCs w:val="22"/>
        </w:rPr>
        <w:t>第一节 红筹企业特别规定</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_Toc31861 \h </w:instrText>
      </w:r>
      <w:r>
        <w:rPr>
          <w:rFonts w:hint="eastAsia" w:eastAsia="仿宋_GB2312"/>
          <w:b w:val="0"/>
          <w:bCs/>
          <w:sz w:val="28"/>
          <w:szCs w:val="22"/>
        </w:rPr>
        <w:fldChar w:fldCharType="separate"/>
      </w:r>
      <w:r>
        <w:rPr>
          <w:rFonts w:hint="eastAsia" w:eastAsia="仿宋_GB2312"/>
          <w:b w:val="0"/>
          <w:bCs/>
          <w:sz w:val="28"/>
          <w:szCs w:val="22"/>
        </w:rPr>
        <w:t>136</w:t>
      </w:r>
      <w:r>
        <w:rPr>
          <w:rFonts w:hint="eastAsia" w:eastAsia="仿宋_GB2312"/>
          <w:b w:val="0"/>
          <w:bCs/>
          <w:sz w:val="28"/>
          <w:szCs w:val="22"/>
        </w:rPr>
        <w:fldChar w:fldCharType="end"/>
      </w:r>
      <w:r>
        <w:rPr>
          <w:rFonts w:hint="eastAsia" w:eastAsia="仿宋_GB2312"/>
          <w:b w:val="0"/>
          <w:bCs/>
          <w:sz w:val="28"/>
          <w:szCs w:val="22"/>
        </w:rPr>
        <w:fldChar w:fldCharType="end"/>
      </w:r>
    </w:p>
    <w:p w14:paraId="668D9507">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"_Toc25618" </w:instrText>
      </w:r>
      <w:r>
        <w:rPr>
          <w:rFonts w:hint="eastAsia"/>
        </w:rPr>
        <w:fldChar w:fldCharType="separate"/>
      </w:r>
      <w:r>
        <w:rPr>
          <w:rFonts w:hint="eastAsia" w:eastAsia="仿宋_GB2312"/>
          <w:b w:val="0"/>
          <w:bCs/>
          <w:sz w:val="28"/>
          <w:szCs w:val="22"/>
        </w:rPr>
        <w:t>第二节 境内外事项的协调</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_Toc25618 \h </w:instrText>
      </w:r>
      <w:r>
        <w:rPr>
          <w:rFonts w:hint="eastAsia" w:eastAsia="仿宋_GB2312"/>
          <w:b w:val="0"/>
          <w:bCs/>
          <w:sz w:val="28"/>
          <w:szCs w:val="22"/>
        </w:rPr>
        <w:fldChar w:fldCharType="separate"/>
      </w:r>
      <w:r>
        <w:rPr>
          <w:rFonts w:hint="eastAsia" w:eastAsia="仿宋_GB2312"/>
          <w:b w:val="0"/>
          <w:bCs/>
          <w:sz w:val="28"/>
          <w:szCs w:val="22"/>
        </w:rPr>
        <w:t>139</w:t>
      </w:r>
      <w:r>
        <w:rPr>
          <w:rFonts w:hint="eastAsia" w:eastAsia="仿宋_GB2312"/>
          <w:b w:val="0"/>
          <w:bCs/>
          <w:sz w:val="28"/>
          <w:szCs w:val="22"/>
        </w:rPr>
        <w:fldChar w:fldCharType="end"/>
      </w:r>
      <w:r>
        <w:rPr>
          <w:rFonts w:hint="eastAsia" w:eastAsia="仿宋_GB2312"/>
          <w:b w:val="0"/>
          <w:bCs/>
          <w:sz w:val="28"/>
          <w:szCs w:val="22"/>
        </w:rPr>
        <w:fldChar w:fldCharType="end"/>
      </w:r>
    </w:p>
    <w:p w14:paraId="6D5EB1F7">
      <w:pPr>
        <w:pStyle w:val="15"/>
        <w:tabs>
          <w:tab w:val="right" w:leader="dot" w:pos="8312"/>
          <w:tab w:val="clear" w:pos="420"/>
          <w:tab w:val="clear" w:pos="1134"/>
          <w:tab w:val="clear" w:pos="8380"/>
        </w:tabs>
        <w:rPr>
          <w:sz w:val="28"/>
          <w:szCs w:val="22"/>
        </w:rPr>
      </w:pPr>
      <w:r>
        <w:fldChar w:fldCharType="begin"/>
      </w:r>
      <w:r>
        <w:instrText xml:space="preserve"> HYPERLINK \l "_Toc441" </w:instrText>
      </w:r>
      <w:r>
        <w:fldChar w:fldCharType="separate"/>
      </w:r>
      <w:r>
        <w:rPr>
          <w:sz w:val="28"/>
          <w:szCs w:val="4"/>
        </w:rPr>
        <w:t xml:space="preserve">第十四章 </w:t>
      </w:r>
      <w:r>
        <w:rPr>
          <w:rFonts w:hint="eastAsia"/>
          <w:sz w:val="28"/>
          <w:szCs w:val="22"/>
        </w:rPr>
        <w:t>日常监管和违反本规则的处理</w:t>
      </w:r>
      <w:r>
        <w:rPr>
          <w:sz w:val="28"/>
          <w:szCs w:val="22"/>
        </w:rPr>
        <w:tab/>
      </w:r>
      <w:r>
        <w:rPr>
          <w:sz w:val="28"/>
          <w:szCs w:val="22"/>
        </w:rPr>
        <w:fldChar w:fldCharType="begin"/>
      </w:r>
      <w:r>
        <w:rPr>
          <w:sz w:val="28"/>
          <w:szCs w:val="22"/>
        </w:rPr>
        <w:instrText xml:space="preserve"> PAGEREF _Toc441 \h </w:instrText>
      </w:r>
      <w:r>
        <w:rPr>
          <w:sz w:val="28"/>
          <w:szCs w:val="22"/>
        </w:rPr>
        <w:fldChar w:fldCharType="separate"/>
      </w:r>
      <w:r>
        <w:rPr>
          <w:sz w:val="28"/>
          <w:szCs w:val="22"/>
        </w:rPr>
        <w:t>140</w:t>
      </w:r>
      <w:r>
        <w:rPr>
          <w:sz w:val="28"/>
          <w:szCs w:val="22"/>
        </w:rPr>
        <w:fldChar w:fldCharType="end"/>
      </w:r>
      <w:r>
        <w:rPr>
          <w:sz w:val="28"/>
          <w:szCs w:val="22"/>
        </w:rPr>
        <w:fldChar w:fldCharType="end"/>
      </w:r>
    </w:p>
    <w:p w14:paraId="7BF00068">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"_Toc10365" </w:instrText>
      </w:r>
      <w:r>
        <w:rPr>
          <w:rFonts w:hint="eastAsia"/>
        </w:rPr>
        <w:fldChar w:fldCharType="separate"/>
      </w:r>
      <w:r>
        <w:rPr>
          <w:rFonts w:hint="eastAsia" w:eastAsia="仿宋_GB2312"/>
          <w:b w:val="0"/>
          <w:bCs/>
          <w:sz w:val="28"/>
          <w:szCs w:val="22"/>
        </w:rPr>
        <w:t>第一节 日常监管</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_Toc10365 \h </w:instrText>
      </w:r>
      <w:r>
        <w:rPr>
          <w:rFonts w:hint="eastAsia" w:eastAsia="仿宋_GB2312"/>
          <w:b w:val="0"/>
          <w:bCs/>
          <w:sz w:val="28"/>
          <w:szCs w:val="22"/>
        </w:rPr>
        <w:fldChar w:fldCharType="separate"/>
      </w:r>
      <w:r>
        <w:rPr>
          <w:rFonts w:hint="eastAsia" w:eastAsia="仿宋_GB2312"/>
          <w:b w:val="0"/>
          <w:bCs/>
          <w:sz w:val="28"/>
          <w:szCs w:val="22"/>
        </w:rPr>
        <w:t>140</w:t>
      </w:r>
      <w:r>
        <w:rPr>
          <w:rFonts w:hint="eastAsia" w:eastAsia="仿宋_GB2312"/>
          <w:b w:val="0"/>
          <w:bCs/>
          <w:sz w:val="28"/>
          <w:szCs w:val="22"/>
        </w:rPr>
        <w:fldChar w:fldCharType="end"/>
      </w:r>
      <w:r>
        <w:rPr>
          <w:rFonts w:hint="eastAsia" w:eastAsia="仿宋_GB2312"/>
          <w:b w:val="0"/>
          <w:bCs/>
          <w:sz w:val="28"/>
          <w:szCs w:val="22"/>
        </w:rPr>
        <w:fldChar w:fldCharType="end"/>
      </w:r>
    </w:p>
    <w:p w14:paraId="7A0DA6E9">
      <w:pPr>
        <w:pStyle w:val="18"/>
        <w:tabs>
          <w:tab w:val="right" w:leader="dot" w:pos="8312"/>
          <w:tab w:val="clear" w:pos="1276"/>
          <w:tab w:val="clear" w:pos="8380"/>
        </w:tabs>
        <w:ind w:left="420" w:leftChars="200"/>
        <w:rPr>
          <w:rFonts w:eastAsia="仿宋_GB2312"/>
          <w:b w:val="0"/>
          <w:bCs/>
          <w:sz w:val="28"/>
          <w:szCs w:val="22"/>
        </w:rPr>
      </w:pPr>
      <w:r>
        <w:rPr>
          <w:rFonts w:hint="eastAsia"/>
        </w:rPr>
        <w:fldChar w:fldCharType="begin"/>
      </w:r>
      <w:r>
        <w:instrText xml:space="preserve"> HYPERLINK \l "_Toc32123" </w:instrText>
      </w:r>
      <w:r>
        <w:rPr>
          <w:rFonts w:hint="eastAsia"/>
        </w:rPr>
        <w:fldChar w:fldCharType="separate"/>
      </w:r>
      <w:r>
        <w:rPr>
          <w:rFonts w:hint="eastAsia" w:eastAsia="仿宋_GB2312"/>
          <w:b w:val="0"/>
          <w:bCs/>
          <w:sz w:val="28"/>
          <w:szCs w:val="22"/>
        </w:rPr>
        <w:t>第二节 违反本规则的处理</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_Toc32123 \h </w:instrText>
      </w:r>
      <w:r>
        <w:rPr>
          <w:rFonts w:hint="eastAsia" w:eastAsia="仿宋_GB2312"/>
          <w:b w:val="0"/>
          <w:bCs/>
          <w:sz w:val="28"/>
          <w:szCs w:val="22"/>
        </w:rPr>
        <w:fldChar w:fldCharType="separate"/>
      </w:r>
      <w:r>
        <w:rPr>
          <w:rFonts w:hint="eastAsia" w:eastAsia="仿宋_GB2312"/>
          <w:b w:val="0"/>
          <w:bCs/>
          <w:sz w:val="28"/>
          <w:szCs w:val="22"/>
        </w:rPr>
        <w:t>141</w:t>
      </w:r>
      <w:r>
        <w:rPr>
          <w:rFonts w:hint="eastAsia" w:eastAsia="仿宋_GB2312"/>
          <w:b w:val="0"/>
          <w:bCs/>
          <w:sz w:val="28"/>
          <w:szCs w:val="22"/>
        </w:rPr>
        <w:fldChar w:fldCharType="end"/>
      </w:r>
      <w:r>
        <w:rPr>
          <w:rFonts w:hint="eastAsia" w:eastAsia="仿宋_GB2312"/>
          <w:b w:val="0"/>
          <w:bCs/>
          <w:sz w:val="28"/>
          <w:szCs w:val="22"/>
        </w:rPr>
        <w:fldChar w:fldCharType="end"/>
      </w:r>
    </w:p>
    <w:p w14:paraId="0F267F17">
      <w:pPr>
        <w:pStyle w:val="15"/>
        <w:tabs>
          <w:tab w:val="right" w:leader="dot" w:pos="8312"/>
          <w:tab w:val="clear" w:pos="420"/>
          <w:tab w:val="clear" w:pos="1134"/>
          <w:tab w:val="clear" w:pos="8380"/>
        </w:tabs>
        <w:rPr>
          <w:sz w:val="28"/>
          <w:szCs w:val="22"/>
        </w:rPr>
      </w:pPr>
      <w:r>
        <w:fldChar w:fldCharType="begin"/>
      </w:r>
      <w:r>
        <w:instrText xml:space="preserve"> HYPERLINK \l "_Toc2388" </w:instrText>
      </w:r>
      <w:r>
        <w:fldChar w:fldCharType="separate"/>
      </w:r>
      <w:r>
        <w:rPr>
          <w:sz w:val="28"/>
          <w:szCs w:val="4"/>
        </w:rPr>
        <w:t xml:space="preserve">第十五章 </w:t>
      </w:r>
      <w:r>
        <w:rPr>
          <w:rFonts w:hint="eastAsia"/>
          <w:sz w:val="28"/>
          <w:szCs w:val="22"/>
        </w:rPr>
        <w:t>释</w:t>
      </w:r>
      <w:r>
        <w:rPr>
          <w:sz w:val="28"/>
          <w:szCs w:val="22"/>
        </w:rPr>
        <w:t xml:space="preserve">  </w:t>
      </w:r>
      <w:r>
        <w:rPr>
          <w:rFonts w:hint="eastAsia"/>
          <w:sz w:val="28"/>
          <w:szCs w:val="22"/>
        </w:rPr>
        <w:t>义</w:t>
      </w:r>
      <w:r>
        <w:rPr>
          <w:sz w:val="28"/>
          <w:szCs w:val="22"/>
        </w:rPr>
        <w:tab/>
      </w:r>
      <w:r>
        <w:rPr>
          <w:sz w:val="28"/>
          <w:szCs w:val="22"/>
        </w:rPr>
        <w:fldChar w:fldCharType="begin"/>
      </w:r>
      <w:r>
        <w:rPr>
          <w:sz w:val="28"/>
          <w:szCs w:val="22"/>
        </w:rPr>
        <w:instrText xml:space="preserve"> PAGEREF _Toc2388 \h </w:instrText>
      </w:r>
      <w:r>
        <w:rPr>
          <w:sz w:val="28"/>
          <w:szCs w:val="22"/>
        </w:rPr>
        <w:fldChar w:fldCharType="separate"/>
      </w:r>
      <w:r>
        <w:rPr>
          <w:sz w:val="28"/>
          <w:szCs w:val="22"/>
        </w:rPr>
        <w:t>145</w:t>
      </w:r>
      <w:r>
        <w:rPr>
          <w:sz w:val="28"/>
          <w:szCs w:val="22"/>
        </w:rPr>
        <w:fldChar w:fldCharType="end"/>
      </w:r>
      <w:r>
        <w:rPr>
          <w:sz w:val="28"/>
          <w:szCs w:val="22"/>
        </w:rPr>
        <w:fldChar w:fldCharType="end"/>
      </w:r>
    </w:p>
    <w:p w14:paraId="409D4061">
      <w:pPr>
        <w:pStyle w:val="15"/>
        <w:tabs>
          <w:tab w:val="right" w:leader="dot" w:pos="8312"/>
          <w:tab w:val="clear" w:pos="420"/>
          <w:tab w:val="clear" w:pos="1134"/>
          <w:tab w:val="clear" w:pos="8380"/>
        </w:tabs>
        <w:rPr>
          <w:sz w:val="28"/>
          <w:szCs w:val="22"/>
        </w:rPr>
      </w:pPr>
      <w:r>
        <w:fldChar w:fldCharType="begin"/>
      </w:r>
      <w:r>
        <w:instrText xml:space="preserve"> HYPERLINK \l "_Toc20802" </w:instrText>
      </w:r>
      <w:r>
        <w:fldChar w:fldCharType="separate"/>
      </w:r>
      <w:r>
        <w:rPr>
          <w:sz w:val="28"/>
          <w:szCs w:val="4"/>
        </w:rPr>
        <w:t xml:space="preserve">第十六章 </w:t>
      </w:r>
      <w:r>
        <w:rPr>
          <w:rFonts w:hint="eastAsia"/>
          <w:sz w:val="28"/>
          <w:szCs w:val="22"/>
        </w:rPr>
        <w:t>附</w:t>
      </w:r>
      <w:r>
        <w:rPr>
          <w:sz w:val="28"/>
          <w:szCs w:val="22"/>
        </w:rPr>
        <w:t xml:space="preserve">  </w:t>
      </w:r>
      <w:r>
        <w:rPr>
          <w:rFonts w:hint="eastAsia"/>
          <w:sz w:val="28"/>
          <w:szCs w:val="22"/>
        </w:rPr>
        <w:t>则</w:t>
      </w:r>
      <w:r>
        <w:rPr>
          <w:sz w:val="28"/>
          <w:szCs w:val="22"/>
        </w:rPr>
        <w:tab/>
      </w:r>
      <w:r>
        <w:rPr>
          <w:sz w:val="28"/>
          <w:szCs w:val="22"/>
        </w:rPr>
        <w:fldChar w:fldCharType="begin"/>
      </w:r>
      <w:r>
        <w:rPr>
          <w:sz w:val="28"/>
          <w:szCs w:val="22"/>
        </w:rPr>
        <w:instrText xml:space="preserve"> PAGEREF _Toc20802 \h </w:instrText>
      </w:r>
      <w:r>
        <w:rPr>
          <w:sz w:val="28"/>
          <w:szCs w:val="22"/>
        </w:rPr>
        <w:fldChar w:fldCharType="separate"/>
      </w:r>
      <w:r>
        <w:rPr>
          <w:sz w:val="28"/>
          <w:szCs w:val="22"/>
        </w:rPr>
        <w:t>151</w:t>
      </w:r>
      <w:r>
        <w:rPr>
          <w:sz w:val="28"/>
          <w:szCs w:val="22"/>
        </w:rPr>
        <w:fldChar w:fldCharType="end"/>
      </w:r>
      <w:r>
        <w:rPr>
          <w:sz w:val="28"/>
          <w:szCs w:val="22"/>
        </w:rPr>
        <w:fldChar w:fldCharType="end"/>
      </w:r>
    </w:p>
    <w:p w14:paraId="6231A30D">
      <w:pPr>
        <w:tabs>
          <w:tab w:val="left" w:leader="dot" w:pos="8280"/>
        </w:tabs>
        <w:snapToGrid w:val="0"/>
        <w:spacing w:line="560" w:lineRule="exact"/>
        <w:ind w:firstLine="440" w:firstLineChars="200"/>
        <w:rPr>
          <w:rFonts w:hint="eastAsia" w:ascii="仿宋_GB2312" w:hAnsi="宋体" w:eastAsia="仿宋_GB2312"/>
          <w:sz w:val="36"/>
          <w:szCs w:val="36"/>
        </w:rPr>
      </w:pPr>
      <w:r>
        <w:rPr>
          <w:rFonts w:eastAsia="仿宋_GB2312"/>
          <w:sz w:val="22"/>
          <w:szCs w:val="22"/>
          <w:shd w:val="clear" w:color="FFFFFF" w:fill="D9D9D9"/>
        </w:rPr>
        <w:fldChar w:fldCharType="end"/>
      </w:r>
    </w:p>
    <w:p w14:paraId="6B93E5E8">
      <w:pPr>
        <w:tabs>
          <w:tab w:val="left" w:leader="dot" w:pos="8280"/>
        </w:tabs>
        <w:snapToGrid w:val="0"/>
        <w:spacing w:line="560" w:lineRule="exact"/>
        <w:ind w:firstLine="720" w:firstLineChars="200"/>
        <w:rPr>
          <w:rFonts w:hint="eastAsia" w:ascii="仿宋_GB2312" w:hAnsi="宋体" w:eastAsia="仿宋_GB2312"/>
          <w:sz w:val="36"/>
          <w:szCs w:val="36"/>
        </w:rPr>
        <w:sectPr>
          <w:headerReference r:id="rId3" w:type="default"/>
          <w:footerReference r:id="rId4" w:type="default"/>
          <w:footerReference r:id="rId5" w:type="even"/>
          <w:pgSz w:w="11906" w:h="16838"/>
          <w:pgMar w:top="1440" w:right="1797" w:bottom="1440" w:left="1797" w:header="851" w:footer="992" w:gutter="0"/>
          <w:pgNumType w:start="1"/>
          <w:cols w:space="425" w:num="1"/>
          <w:docGrid w:type="lines" w:linePitch="312" w:charSpace="0"/>
        </w:sectPr>
      </w:pPr>
    </w:p>
    <w:p w14:paraId="2CB03E10">
      <w:pPr>
        <w:pStyle w:val="81"/>
        <w:ind w:firstLine="643"/>
        <w:rPr>
          <w:rFonts w:hint="eastAsia"/>
          <w:b/>
          <w:bCs/>
        </w:rPr>
      </w:pPr>
      <w:bookmarkStart w:id="1" w:name="_Toc23919"/>
      <w:bookmarkStart w:id="2" w:name="_Toc170284215"/>
      <w:bookmarkStart w:id="3" w:name="_Toc32135"/>
      <w:r>
        <w:rPr>
          <w:rFonts w:hint="eastAsia"/>
          <w:b/>
          <w:bCs/>
        </w:rPr>
        <w:t>总  则</w:t>
      </w:r>
      <w:bookmarkEnd w:id="1"/>
      <w:bookmarkEnd w:id="2"/>
      <w:bookmarkEnd w:id="3"/>
    </w:p>
    <w:p w14:paraId="624DE38C">
      <w:pPr>
        <w:pStyle w:val="34"/>
        <w:numPr>
          <w:ilvl w:val="0"/>
          <w:numId w:val="2"/>
        </w:numPr>
        <w:spacing w:line="560" w:lineRule="exact"/>
        <w:ind w:left="0" w:firstLine="640"/>
        <w:rPr>
          <w:rFonts w:hint="eastAsia" w:ascii="仿宋_GB2312" w:hAnsi="宋体"/>
          <w:sz w:val="32"/>
          <w:szCs w:val="32"/>
        </w:rPr>
      </w:pPr>
      <w:r>
        <w:rPr>
          <w:rFonts w:hint="eastAsia" w:ascii="仿宋_GB2312" w:hAnsi="宋体"/>
          <w:sz w:val="32"/>
          <w:szCs w:val="32"/>
        </w:rPr>
        <w:t>为了规范上海证券交易所（以下简称本所）科创板上市和持续监管事宜，支持引导科技创新企业更好地发展，提升公司治理水平，维护证券市场公开、公平、公正，保护投资者的合法权益，增强投资者回报，推动提高上市公司质量，促进资本市场健康发展，根据《中华人民共和国公司法》(以下简称《公司法》)、《中华人民共和国证券法》（以下简称《证券法》）、《关于在上海证券交易所设立科创板并试点注册制的实施意见》《科创板上市公司持续监管办法（试行）》《证券交易所管理办法》等相关法律、行政法规、部门规章、规范性文件（以下统称法律法规）以及《上海证券交易所章程》，制定本规则。</w:t>
      </w:r>
    </w:p>
    <w:p w14:paraId="77AC5E56">
      <w:pPr>
        <w:pStyle w:val="34"/>
        <w:numPr>
          <w:ilvl w:val="0"/>
          <w:numId w:val="2"/>
        </w:numPr>
        <w:spacing w:line="560" w:lineRule="exact"/>
        <w:ind w:left="0" w:firstLine="640"/>
        <w:rPr>
          <w:rFonts w:hint="eastAsia" w:ascii="仿宋_GB2312" w:hAnsi="宋体"/>
          <w:sz w:val="32"/>
          <w:szCs w:val="32"/>
        </w:rPr>
      </w:pPr>
      <w:r>
        <w:rPr>
          <w:rFonts w:hint="eastAsia" w:ascii="仿宋_GB2312" w:hAnsi="宋体"/>
          <w:sz w:val="32"/>
          <w:szCs w:val="32"/>
        </w:rPr>
        <w:t>股票、存托凭证及其衍生品种在本所科创板的上市和持续监管等事宜，适用本规则；本规则未作规定的，适用本所其他有关规定。</w:t>
      </w:r>
    </w:p>
    <w:p w14:paraId="58FEEE27">
      <w:pPr>
        <w:pStyle w:val="34"/>
        <w:numPr>
          <w:ilvl w:val="0"/>
          <w:numId w:val="2"/>
        </w:numPr>
        <w:spacing w:line="560" w:lineRule="exact"/>
        <w:ind w:left="0" w:firstLine="640"/>
        <w:rPr>
          <w:rFonts w:hint="eastAsia" w:ascii="仿宋_GB2312" w:hAnsi="宋体"/>
          <w:sz w:val="32"/>
          <w:szCs w:val="32"/>
        </w:rPr>
      </w:pPr>
      <w:r>
        <w:rPr>
          <w:rFonts w:hint="eastAsia" w:ascii="仿宋_GB2312" w:hAnsi="宋体"/>
          <w:sz w:val="32"/>
          <w:szCs w:val="32"/>
        </w:rPr>
        <w:t>发行人股票在本所科创板首次上市，应当经本所审核并由中国证监会作出同意注册决定。发行人应当与本所签订上市协议，明确双方的权利、义务和其他有关事项。</w:t>
      </w:r>
    </w:p>
    <w:p w14:paraId="640827AE">
      <w:pPr>
        <w:pStyle w:val="34"/>
        <w:numPr>
          <w:ilvl w:val="0"/>
          <w:numId w:val="2"/>
        </w:numPr>
        <w:spacing w:line="560" w:lineRule="exact"/>
        <w:ind w:left="0" w:firstLine="640"/>
        <w:rPr>
          <w:rFonts w:hint="eastAsia" w:ascii="仿宋_GB2312" w:hAnsi="宋体"/>
          <w:sz w:val="32"/>
          <w:szCs w:val="32"/>
        </w:rPr>
      </w:pPr>
      <w:r>
        <w:rPr>
          <w:rFonts w:hint="eastAsia" w:ascii="仿宋_GB2312" w:hAnsi="宋体"/>
          <w:sz w:val="32"/>
          <w:szCs w:val="32"/>
        </w:rPr>
        <w:t>发行人、上市公司及其董事、高级管理人员、核心技术人员、股东或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应当遵守法律法规、本规则以及本所其他规定。</w:t>
      </w:r>
    </w:p>
    <w:p w14:paraId="6AA72E2D">
      <w:pPr>
        <w:pStyle w:val="34"/>
        <w:numPr>
          <w:ilvl w:val="0"/>
          <w:numId w:val="2"/>
        </w:numPr>
        <w:spacing w:line="560" w:lineRule="exact"/>
        <w:ind w:left="0" w:firstLine="640"/>
        <w:rPr>
          <w:rFonts w:hint="eastAsia" w:ascii="仿宋_GB2312" w:hAnsi="宋体"/>
          <w:sz w:val="32"/>
          <w:szCs w:val="32"/>
        </w:rPr>
      </w:pPr>
      <w:r>
        <w:rPr>
          <w:rFonts w:hint="eastAsia" w:ascii="仿宋_GB2312" w:hAnsi="宋体"/>
          <w:sz w:val="32"/>
          <w:szCs w:val="32"/>
        </w:rPr>
        <w:t>为发行人、上市公司以及相关信息披露义务人提供服务的保荐机构、保荐代表人、证券服务机构及其相关人员，应当遵守法律法规、本规则以及本所其他规定，诚实守信，勤勉尽责。</w:t>
      </w:r>
    </w:p>
    <w:p w14:paraId="3C3922B7">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宋体" w:eastAsia="仿宋_GB2312"/>
          <w:sz w:val="32"/>
          <w:szCs w:val="32"/>
        </w:rPr>
        <w:t>保荐机构、保荐代表人和证券服务机构制作、出具文件应当对所依据资料内容的真实性、准确性、完整性进行核查和验证，所制作、出具的文件不得有虚假记载、误导性陈述或者重大遗漏</w:t>
      </w:r>
      <w:r>
        <w:rPr>
          <w:rFonts w:hint="eastAsia" w:ascii="仿宋_GB2312" w:eastAsia="仿宋_GB2312"/>
          <w:bCs/>
          <w:sz w:val="32"/>
          <w:szCs w:val="32"/>
        </w:rPr>
        <w:t>。</w:t>
      </w:r>
    </w:p>
    <w:p w14:paraId="0673F1E6">
      <w:pPr>
        <w:pStyle w:val="34"/>
        <w:numPr>
          <w:ilvl w:val="0"/>
          <w:numId w:val="2"/>
        </w:numPr>
        <w:spacing w:line="560" w:lineRule="exact"/>
        <w:ind w:left="0" w:firstLine="640"/>
        <w:rPr>
          <w:rFonts w:hint="eastAsia" w:ascii="仿宋_GB2312" w:hAnsi="宋体"/>
          <w:sz w:val="32"/>
          <w:szCs w:val="32"/>
        </w:rPr>
      </w:pPr>
      <w:r>
        <w:rPr>
          <w:rFonts w:hint="eastAsia" w:ascii="仿宋_GB2312" w:hAnsi="宋体"/>
          <w:sz w:val="32"/>
          <w:szCs w:val="32"/>
        </w:rPr>
        <w:t>本所依据法律法规、本规则以及本所其他规定、上市协议、相关主体的声明与承诺，对前述第</w:t>
      </w:r>
      <w:r>
        <w:rPr>
          <w:rFonts w:ascii="仿宋_GB2312" w:hAnsi="宋体"/>
          <w:sz w:val="32"/>
          <w:szCs w:val="32"/>
        </w:rPr>
        <w:t>1.4</w:t>
      </w:r>
      <w:r>
        <w:rPr>
          <w:rFonts w:hint="eastAsia" w:ascii="仿宋_GB2312" w:hAnsi="宋体"/>
          <w:sz w:val="32"/>
          <w:szCs w:val="32"/>
        </w:rPr>
        <w:t>条、第</w:t>
      </w:r>
      <w:r>
        <w:rPr>
          <w:rFonts w:ascii="仿宋_GB2312" w:hAnsi="宋体"/>
          <w:sz w:val="32"/>
          <w:szCs w:val="32"/>
        </w:rPr>
        <w:t>1.5</w:t>
      </w:r>
      <w:r>
        <w:rPr>
          <w:rFonts w:hint="eastAsia" w:ascii="仿宋_GB2312" w:hAnsi="宋体"/>
          <w:sz w:val="32"/>
          <w:szCs w:val="32"/>
        </w:rPr>
        <w:t>条规定的机构及相关人员进行自律监管。</w:t>
      </w:r>
    </w:p>
    <w:p w14:paraId="0AEF6073">
      <w:pPr>
        <w:spacing w:line="560" w:lineRule="exact"/>
        <w:rPr>
          <w:rFonts w:hint="eastAsia" w:ascii="仿宋_GB2312" w:hAnsi="宋体" w:eastAsia="仿宋_GB2312"/>
          <w:sz w:val="32"/>
          <w:szCs w:val="32"/>
        </w:rPr>
      </w:pPr>
    </w:p>
    <w:p w14:paraId="630C5DCC">
      <w:pPr>
        <w:pStyle w:val="81"/>
        <w:ind w:firstLine="643"/>
        <w:rPr>
          <w:rFonts w:hint="eastAsia"/>
          <w:b/>
          <w:bCs/>
        </w:rPr>
      </w:pPr>
      <w:bookmarkStart w:id="4" w:name="_Toc170284216"/>
      <w:bookmarkStart w:id="5" w:name="_Toc18232"/>
      <w:bookmarkStart w:id="6" w:name="_Toc18705"/>
      <w:r>
        <w:rPr>
          <w:rFonts w:hint="eastAsia"/>
          <w:b/>
          <w:bCs/>
        </w:rPr>
        <w:t>股票上市与交易</w:t>
      </w:r>
      <w:bookmarkEnd w:id="4"/>
      <w:bookmarkEnd w:id="5"/>
      <w:bookmarkEnd w:id="6"/>
    </w:p>
    <w:p w14:paraId="13C576CA">
      <w:pPr>
        <w:pStyle w:val="36"/>
        <w:numPr>
          <w:ilvl w:val="1"/>
          <w:numId w:val="1"/>
        </w:numPr>
        <w:ind w:left="0" w:firstLine="643"/>
        <w:rPr>
          <w:rFonts w:hint="eastAsia"/>
        </w:rPr>
      </w:pPr>
      <w:bookmarkStart w:id="7" w:name="_Toc170284217"/>
      <w:bookmarkStart w:id="8" w:name="_Toc6717"/>
      <w:bookmarkStart w:id="9" w:name="_Toc26027"/>
      <w:r>
        <w:rPr>
          <w:rFonts w:hint="eastAsia"/>
        </w:rPr>
        <w:t>首次公开发行股票的上市</w:t>
      </w:r>
      <w:bookmarkEnd w:id="7"/>
      <w:bookmarkEnd w:id="8"/>
      <w:bookmarkEnd w:id="9"/>
    </w:p>
    <w:p w14:paraId="4F0C2D8A">
      <w:pPr>
        <w:numPr>
          <w:ilvl w:val="2"/>
          <w:numId w:val="3"/>
        </w:numPr>
        <w:tabs>
          <w:tab w:val="left" w:pos="1260"/>
          <w:tab w:val="clear" w:pos="720"/>
        </w:tabs>
        <w:autoSpaceDE w:val="0"/>
        <w:autoSpaceDN w:val="0"/>
        <w:adjustRightInd w:val="0"/>
        <w:snapToGrid w:val="0"/>
        <w:spacing w:line="560" w:lineRule="exact"/>
        <w:ind w:left="0"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发行人申请在本所科创板上市，应当符合下列条件：</w:t>
      </w:r>
    </w:p>
    <w:p w14:paraId="5F15B44F">
      <w:pPr>
        <w:spacing w:line="560" w:lineRule="exact"/>
        <w:ind w:firstLine="640" w:firstLineChars="200"/>
        <w:rPr>
          <w:rFonts w:ascii="仿宋_GB2312" w:eastAsia="仿宋_GB2312"/>
          <w:sz w:val="32"/>
          <w:szCs w:val="32"/>
        </w:rPr>
      </w:pPr>
      <w:r>
        <w:rPr>
          <w:rFonts w:hint="eastAsia" w:ascii="仿宋_GB2312" w:eastAsia="仿宋_GB2312"/>
          <w:sz w:val="32"/>
          <w:szCs w:val="32"/>
        </w:rPr>
        <w:t>（一）符合中国证监会规定的发行条件；</w:t>
      </w:r>
    </w:p>
    <w:p w14:paraId="584D601F">
      <w:pPr>
        <w:spacing w:line="560" w:lineRule="exact"/>
        <w:ind w:firstLine="640" w:firstLineChars="200"/>
        <w:rPr>
          <w:rFonts w:ascii="仿宋_GB2312" w:eastAsia="仿宋_GB2312"/>
          <w:sz w:val="32"/>
          <w:szCs w:val="32"/>
        </w:rPr>
      </w:pPr>
      <w:r>
        <w:rPr>
          <w:rFonts w:hint="eastAsia" w:ascii="仿宋_GB2312" w:eastAsia="仿宋_GB2312"/>
          <w:sz w:val="32"/>
          <w:szCs w:val="32"/>
        </w:rPr>
        <w:t>（二）发行后股本总额不低于人民币3000万元；</w:t>
      </w:r>
    </w:p>
    <w:p w14:paraId="6B579BD0">
      <w:pPr>
        <w:spacing w:line="560" w:lineRule="exact"/>
        <w:ind w:firstLine="640" w:firstLineChars="200"/>
        <w:rPr>
          <w:rFonts w:ascii="仿宋_GB2312" w:eastAsia="仿宋_GB2312"/>
          <w:sz w:val="32"/>
          <w:szCs w:val="32"/>
        </w:rPr>
      </w:pPr>
      <w:r>
        <w:rPr>
          <w:rFonts w:hint="eastAsia" w:ascii="仿宋_GB2312" w:eastAsia="仿宋_GB2312"/>
          <w:sz w:val="32"/>
          <w:szCs w:val="32"/>
        </w:rPr>
        <w:t>（三）公开发行的股份达到公司股份总数的25%以上；公司股本总额超过人民币4亿元的，公开发行股份的比例为10%以上；</w:t>
      </w:r>
    </w:p>
    <w:p w14:paraId="047EB737">
      <w:pPr>
        <w:spacing w:line="560" w:lineRule="exact"/>
        <w:ind w:firstLine="640" w:firstLineChars="200"/>
        <w:rPr>
          <w:rFonts w:ascii="仿宋_GB2312" w:eastAsia="仿宋_GB2312"/>
          <w:sz w:val="32"/>
          <w:szCs w:val="32"/>
        </w:rPr>
      </w:pPr>
      <w:r>
        <w:rPr>
          <w:rFonts w:hint="eastAsia" w:ascii="仿宋_GB2312" w:eastAsia="仿宋_GB2312"/>
          <w:sz w:val="32"/>
          <w:szCs w:val="32"/>
        </w:rPr>
        <w:t>（四）市值及财务指标符合本规则规定的标准；</w:t>
      </w:r>
    </w:p>
    <w:p w14:paraId="32B9DA92">
      <w:pPr>
        <w:spacing w:line="560" w:lineRule="exact"/>
        <w:ind w:firstLine="640" w:firstLineChars="200"/>
        <w:rPr>
          <w:rFonts w:ascii="仿宋_GB2312" w:eastAsia="仿宋_GB2312"/>
          <w:sz w:val="32"/>
          <w:szCs w:val="32"/>
        </w:rPr>
      </w:pPr>
      <w:r>
        <w:rPr>
          <w:rFonts w:hint="eastAsia" w:ascii="仿宋_GB2312" w:eastAsia="仿宋_GB2312"/>
          <w:sz w:val="32"/>
          <w:szCs w:val="32"/>
        </w:rPr>
        <w:t>（五）本所规定的其他上市条件。</w:t>
      </w:r>
    </w:p>
    <w:p w14:paraId="3B285750">
      <w:pPr>
        <w:spacing w:line="560" w:lineRule="exact"/>
        <w:ind w:firstLine="640" w:firstLineChars="200"/>
        <w:rPr>
          <w:rFonts w:hint="eastAsia" w:ascii="仿宋_GB2312" w:hAnsi="宋体" w:eastAsia="仿宋_GB2312" w:cs="宋体"/>
          <w:sz w:val="32"/>
          <w:szCs w:val="32"/>
        </w:rPr>
      </w:pPr>
      <w:r>
        <w:rPr>
          <w:rFonts w:ascii="仿宋_GB2312" w:eastAsia="仿宋_GB2312" w:cs="宋体"/>
          <w:sz w:val="32"/>
          <w:szCs w:val="32"/>
        </w:rPr>
        <w:t>红筹企业发行股票的，前款第二项调整为</w:t>
      </w:r>
      <w:r>
        <w:rPr>
          <w:rFonts w:hint="eastAsia" w:ascii="仿宋_GB2312" w:eastAsia="仿宋_GB2312" w:cs="宋体"/>
          <w:sz w:val="32"/>
          <w:szCs w:val="32"/>
        </w:rPr>
        <w:t>发行后的股份总数不低于3000万股</w:t>
      </w:r>
      <w:r>
        <w:rPr>
          <w:rFonts w:ascii="仿宋_GB2312" w:eastAsia="仿宋_GB2312" w:cs="宋体"/>
          <w:sz w:val="32"/>
          <w:szCs w:val="32"/>
        </w:rPr>
        <w:t>，前款第三项调整为</w:t>
      </w:r>
      <w:r>
        <w:rPr>
          <w:rFonts w:hint="eastAsia" w:ascii="仿宋_GB2312" w:eastAsia="仿宋_GB2312" w:cs="宋体"/>
          <w:sz w:val="32"/>
          <w:szCs w:val="32"/>
        </w:rPr>
        <w:t>公开发行的股份达到公司股份总数的25%以上；公司股份总数超过4亿股的，公开发行股份的比例为10%以上</w:t>
      </w:r>
      <w:r>
        <w:rPr>
          <w:rFonts w:ascii="仿宋_GB2312" w:eastAsia="仿宋_GB2312" w:cs="宋体"/>
          <w:sz w:val="32"/>
          <w:szCs w:val="32"/>
        </w:rPr>
        <w:t>。红筹企业发行存托凭证的，前款第二项调整为</w:t>
      </w:r>
      <w:r>
        <w:rPr>
          <w:rFonts w:hint="eastAsia" w:ascii="仿宋_GB2312" w:eastAsia="仿宋_GB2312" w:cs="宋体"/>
          <w:sz w:val="32"/>
          <w:szCs w:val="32"/>
        </w:rPr>
        <w:t>发行后的存托凭证总份数不低于3000万份</w:t>
      </w:r>
      <w:r>
        <w:rPr>
          <w:rFonts w:ascii="仿宋_GB2312" w:eastAsia="仿宋_GB2312" w:cs="宋体"/>
          <w:sz w:val="32"/>
          <w:szCs w:val="32"/>
        </w:rPr>
        <w:t>，前款第三项调整为</w:t>
      </w:r>
      <w:r>
        <w:rPr>
          <w:rFonts w:hint="eastAsia" w:ascii="仿宋_GB2312" w:eastAsia="仿宋_GB2312" w:cs="宋体"/>
          <w:sz w:val="32"/>
          <w:szCs w:val="32"/>
        </w:rPr>
        <w:t>公开发行的存托凭证对应基础股份达到公司股份总数的25%以上；发行后的存托凭证总份数超过4亿份的，公开发行存托凭证对应基础股份达到公司股份总数的10%以上</w:t>
      </w:r>
      <w:r>
        <w:rPr>
          <w:rFonts w:ascii="仿宋_GB2312" w:eastAsia="仿宋_GB2312" w:cs="宋体"/>
          <w:sz w:val="32"/>
          <w:szCs w:val="32"/>
        </w:rPr>
        <w:t>。</w:t>
      </w:r>
    </w:p>
    <w:p w14:paraId="42BFF9F2">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本所可以根据市场情况，经中国证监会批准，对上市条件和具体标准进行调整。</w:t>
      </w:r>
    </w:p>
    <w:p w14:paraId="5A73ED8F">
      <w:pPr>
        <w:numPr>
          <w:ilvl w:val="2"/>
          <w:numId w:val="3"/>
        </w:numPr>
        <w:tabs>
          <w:tab w:val="left" w:pos="1260"/>
          <w:tab w:val="clear" w:pos="720"/>
        </w:tabs>
        <w:autoSpaceDE w:val="0"/>
        <w:autoSpaceDN w:val="0"/>
        <w:adjustRightInd w:val="0"/>
        <w:snapToGrid w:val="0"/>
        <w:spacing w:line="560" w:lineRule="exact"/>
        <w:ind w:left="0"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发行人申请在本所科创板上市，</w:t>
      </w:r>
      <w:r>
        <w:rPr>
          <w:rFonts w:hint="eastAsia" w:ascii="仿宋_GB2312" w:eastAsia="仿宋_GB2312"/>
          <w:sz w:val="32"/>
          <w:szCs w:val="32"/>
        </w:rPr>
        <w:t>市值及财务指标应当至少符合下列标准中的一项</w:t>
      </w:r>
      <w:r>
        <w:rPr>
          <w:rFonts w:hint="eastAsia" w:ascii="仿宋_GB2312" w:hAnsi="宋体" w:eastAsia="仿宋_GB2312" w:cs="宋体"/>
          <w:sz w:val="32"/>
          <w:szCs w:val="32"/>
        </w:rPr>
        <w:t>：</w:t>
      </w:r>
    </w:p>
    <w:p w14:paraId="1FC3BAE1">
      <w:pPr>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（一）预计市值不低于人民币10亿元，最近两年净利润均为正且累计净利润不低于人民币5000万元，或者预计市值不低于人民币10亿元，最近一年净利润为正且营业收入不低于人民币1亿元；</w:t>
      </w:r>
    </w:p>
    <w:p w14:paraId="77037317">
      <w:pPr>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（二）预计市值不低于人民币15亿元，最近一年营业收入不低于人民币2亿元，且最近三年累计研发投入占最近三年累计营业收入的比例不低于15%；</w:t>
      </w:r>
    </w:p>
    <w:p w14:paraId="3F16985D">
      <w:pPr>
        <w:spacing w:line="560" w:lineRule="exact"/>
        <w:ind w:firstLine="640" w:firstLineChars="200"/>
        <w:rPr>
          <w:rFonts w:ascii="仿宋_GB2312" w:eastAsia="仿宋_GB2312"/>
          <w:sz w:val="32"/>
          <w:szCs w:val="32"/>
        </w:rPr>
      </w:pPr>
      <w:r>
        <w:rPr>
          <w:rFonts w:hint="eastAsia" w:ascii="仿宋_GB2312" w:eastAsia="仿宋_GB2312"/>
          <w:sz w:val="32"/>
          <w:szCs w:val="32"/>
        </w:rPr>
        <w:t>（三）预计市值不低于人民币20亿元，最近一年营业收入不低于人民币3亿元，且最近三年经营活动产生的现金流量净额累计不低于人民币1亿元；</w:t>
      </w:r>
    </w:p>
    <w:p w14:paraId="158B8CB1">
      <w:pPr>
        <w:spacing w:line="560" w:lineRule="exact"/>
        <w:ind w:firstLine="640" w:firstLineChars="200"/>
        <w:rPr>
          <w:rFonts w:ascii="仿宋_GB2312" w:eastAsia="仿宋_GB2312"/>
          <w:sz w:val="32"/>
          <w:szCs w:val="32"/>
        </w:rPr>
      </w:pPr>
      <w:r>
        <w:rPr>
          <w:rFonts w:hint="eastAsia" w:ascii="仿宋_GB2312" w:eastAsia="仿宋_GB2312"/>
          <w:sz w:val="32"/>
          <w:szCs w:val="32"/>
        </w:rPr>
        <w:t>（四）预计市值不低于人民币30亿元，且最近一年营业收入不低于人民币3亿元；</w:t>
      </w:r>
    </w:p>
    <w:p w14:paraId="27FD6D55">
      <w:pPr>
        <w:spacing w:line="560" w:lineRule="exact"/>
        <w:ind w:firstLine="640" w:firstLineChars="200"/>
        <w:rPr>
          <w:rFonts w:ascii="仿宋_GB2312" w:eastAsia="仿宋_GB2312"/>
          <w:sz w:val="32"/>
          <w:szCs w:val="32"/>
        </w:rPr>
      </w:pPr>
      <w:r>
        <w:rPr>
          <w:rFonts w:hint="eastAsia" w:ascii="仿宋_GB2312" w:eastAsia="仿宋_GB2312"/>
          <w:sz w:val="32"/>
          <w:szCs w:val="32"/>
        </w:rPr>
        <w:t>（五）预计市值不低于人民币40亿元，</w:t>
      </w:r>
      <w:r>
        <w:rPr>
          <w:rFonts w:ascii="仿宋_GB2312" w:eastAsia="仿宋_GB2312"/>
          <w:sz w:val="32"/>
          <w:szCs w:val="32"/>
        </w:rPr>
        <w:t>主要业务或产品需经国家有关部门批准，市场空间大，目前已取得阶段性成果。</w:t>
      </w:r>
      <w:r>
        <w:rPr>
          <w:rFonts w:hint="eastAsia" w:ascii="仿宋_GB2312" w:eastAsia="仿宋_GB2312"/>
          <w:sz w:val="32"/>
          <w:szCs w:val="32"/>
        </w:rPr>
        <w:t>医药行业企业需至少有一项核心产品获准开展二期临床试验，其他</w:t>
      </w:r>
      <w:r>
        <w:rPr>
          <w:rFonts w:ascii="仿宋_GB2312" w:eastAsia="仿宋_GB2312"/>
          <w:sz w:val="32"/>
          <w:szCs w:val="32"/>
        </w:rPr>
        <w:t>符合科创板定位的</w:t>
      </w:r>
      <w:r>
        <w:rPr>
          <w:rFonts w:hint="eastAsia" w:ascii="仿宋_GB2312" w:eastAsia="仿宋_GB2312"/>
          <w:sz w:val="32"/>
          <w:szCs w:val="32"/>
        </w:rPr>
        <w:t>企业</w:t>
      </w:r>
      <w:r>
        <w:rPr>
          <w:rFonts w:ascii="仿宋_GB2312" w:eastAsia="仿宋_GB2312"/>
          <w:sz w:val="32"/>
          <w:szCs w:val="32"/>
        </w:rPr>
        <w:t>需具备明显的技术优势并满足相应条件</w:t>
      </w:r>
      <w:r>
        <w:rPr>
          <w:rFonts w:hint="eastAsia" w:ascii="仿宋_GB2312" w:eastAsia="仿宋_GB2312"/>
          <w:sz w:val="32"/>
          <w:szCs w:val="32"/>
        </w:rPr>
        <w:t>。</w:t>
      </w:r>
    </w:p>
    <w:p w14:paraId="51B9A2B3">
      <w:pPr>
        <w:spacing w:line="560" w:lineRule="exact"/>
        <w:ind w:firstLine="640" w:firstLineChars="200"/>
        <w:rPr>
          <w:rFonts w:ascii="仿宋_GB2312" w:eastAsia="仿宋_GB2312"/>
          <w:sz w:val="32"/>
          <w:szCs w:val="32"/>
        </w:rPr>
      </w:pPr>
      <w:r>
        <w:rPr>
          <w:rFonts w:hint="eastAsia" w:ascii="仿宋_GB2312" w:eastAsia="仿宋_GB2312"/>
          <w:sz w:val="32"/>
          <w:szCs w:val="32"/>
        </w:rPr>
        <w:t>本条所称净利润以扣除非经常性损益前后的孰低者为准，所称净利润、营业收入、经营活动产生的现金流量净额均指经审计的数值。本节所称预计市值，是指股票公开发行后按照总股本乘以发行价格计算出来的发行人股票名义总价值。</w:t>
      </w:r>
    </w:p>
    <w:p w14:paraId="331B5CC2">
      <w:pPr>
        <w:numPr>
          <w:ilvl w:val="2"/>
          <w:numId w:val="3"/>
        </w:numPr>
        <w:tabs>
          <w:tab w:val="left" w:pos="1260"/>
          <w:tab w:val="clear" w:pos="720"/>
        </w:tabs>
        <w:autoSpaceDE w:val="0"/>
        <w:autoSpaceDN w:val="0"/>
        <w:adjustRightInd w:val="0"/>
        <w:snapToGrid w:val="0"/>
        <w:spacing w:line="560" w:lineRule="exact"/>
        <w:ind w:left="0" w:firstLine="640" w:firstLineChars="200"/>
        <w:rPr>
          <w:rFonts w:hint="eastAsia" w:ascii="仿宋_GB2312" w:hAnsi="宋体" w:eastAsia="仿宋_GB2312" w:cs="宋体"/>
          <w:sz w:val="32"/>
          <w:szCs w:val="32"/>
        </w:rPr>
      </w:pPr>
      <w:r>
        <w:rPr>
          <w:rFonts w:ascii="仿宋_GB2312" w:eastAsia="仿宋_GB2312"/>
          <w:sz w:val="32"/>
          <w:szCs w:val="32"/>
        </w:rPr>
        <w:t>符合《国务院办公厅转发证监会关于开展创新企业境内发行股票或存托凭证试点若干意见的通知》（国办发</w:t>
      </w:r>
      <w:r>
        <w:rPr>
          <w:rFonts w:hint="eastAsia" w:ascii="宋体" w:hAnsi="宋体" w:cs="宋体"/>
          <w:sz w:val="32"/>
          <w:szCs w:val="32"/>
        </w:rPr>
        <w:t>﹝</w:t>
      </w:r>
      <w:r>
        <w:rPr>
          <w:rFonts w:ascii="仿宋_GB2312" w:eastAsia="仿宋_GB2312"/>
          <w:sz w:val="32"/>
          <w:szCs w:val="32"/>
        </w:rPr>
        <w:t>2018</w:t>
      </w:r>
      <w:r>
        <w:rPr>
          <w:rFonts w:hint="eastAsia" w:ascii="宋体" w:hAnsi="宋体" w:cs="宋体"/>
          <w:sz w:val="32"/>
          <w:szCs w:val="32"/>
        </w:rPr>
        <w:t>﹞</w:t>
      </w:r>
      <w:r>
        <w:rPr>
          <w:rFonts w:ascii="仿宋_GB2312" w:eastAsia="仿宋_GB2312"/>
          <w:sz w:val="32"/>
          <w:szCs w:val="32"/>
        </w:rPr>
        <w:t>21号）相关规定的红筹企业，可以申请发行股票或存托凭证并在科创板上市。</w:t>
      </w:r>
    </w:p>
    <w:p w14:paraId="4686F2B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营业收入快速增长，</w:t>
      </w:r>
      <w:r>
        <w:rPr>
          <w:rFonts w:ascii="仿宋_GB2312" w:eastAsia="仿宋_GB2312"/>
          <w:sz w:val="32"/>
          <w:szCs w:val="32"/>
        </w:rPr>
        <w:t>拥有自主研发、国际领先技术，同行业竞争中处于相对优势地位的尚未在境外上市红筹企业，申请在科创板上市的，市值及财务指标应当</w:t>
      </w:r>
      <w:r>
        <w:rPr>
          <w:rFonts w:hint="eastAsia" w:ascii="仿宋_GB2312" w:eastAsia="仿宋_GB2312"/>
          <w:sz w:val="32"/>
          <w:szCs w:val="32"/>
        </w:rPr>
        <w:t>至少</w:t>
      </w:r>
      <w:r>
        <w:rPr>
          <w:rFonts w:ascii="仿宋_GB2312" w:eastAsia="仿宋_GB2312"/>
          <w:sz w:val="32"/>
          <w:szCs w:val="32"/>
        </w:rPr>
        <w:t>符合下列标准之一：</w:t>
      </w:r>
    </w:p>
    <w:p w14:paraId="3F9F42F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（一）预计市值不低于人民币100亿元；</w:t>
      </w:r>
    </w:p>
    <w:p w14:paraId="60DE9DB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（二）预计市值不低于人民币50亿元，且最近一年营业收入不低于人民币5亿元。</w:t>
      </w:r>
    </w:p>
    <w:p w14:paraId="7F575D2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前款所称营业收入快速增长，指符合下列标准之一：</w:t>
      </w:r>
    </w:p>
    <w:p w14:paraId="60C566A4">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（一）最近一年营业收入不低于人民币5亿元的，最近3年营业收入复合增长率10%以上；</w:t>
      </w:r>
    </w:p>
    <w:p w14:paraId="68A5407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（二）最近一年营业收入低于人民币5亿元的，最近3年营业收入复合增长率20%以上；</w:t>
      </w:r>
    </w:p>
    <w:p w14:paraId="24C9BB7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（三）受行业周期性波动等因素影响，行业整体处于下行周期的，发行人最近3年营业收入复合增长率高于同行业可比公司同期平均增长水平。</w:t>
      </w:r>
    </w:p>
    <w:p w14:paraId="587E24EB">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处于研发阶段的红筹企业和对国家创新驱动发展战略有重要意义的红筹企业，不适用“营业收入快速增长”上述要求。</w:t>
      </w:r>
    </w:p>
    <w:p w14:paraId="50EAAFCA">
      <w:pPr>
        <w:numPr>
          <w:ilvl w:val="2"/>
          <w:numId w:val="3"/>
        </w:numPr>
        <w:tabs>
          <w:tab w:val="left" w:pos="1260"/>
          <w:tab w:val="clear" w:pos="720"/>
        </w:tabs>
        <w:autoSpaceDE w:val="0"/>
        <w:autoSpaceDN w:val="0"/>
        <w:adjustRightInd w:val="0"/>
        <w:snapToGrid w:val="0"/>
        <w:spacing w:line="560" w:lineRule="exact"/>
        <w:ind w:left="0"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发行人具有表决权差异安排的，</w:t>
      </w:r>
      <w:r>
        <w:rPr>
          <w:rFonts w:hint="eastAsia" w:ascii="仿宋_GB2312" w:eastAsia="仿宋_GB2312"/>
          <w:sz w:val="32"/>
          <w:szCs w:val="32"/>
        </w:rPr>
        <w:t>市值及财务指标应当至少符合下列标准中的一项</w:t>
      </w:r>
      <w:r>
        <w:rPr>
          <w:rFonts w:hint="eastAsia" w:ascii="仿宋_GB2312" w:hAnsi="宋体" w:eastAsia="仿宋_GB2312" w:cs="宋体"/>
          <w:sz w:val="32"/>
          <w:szCs w:val="32"/>
        </w:rPr>
        <w:t>：</w:t>
      </w:r>
    </w:p>
    <w:p w14:paraId="799C3261">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（一）预计市值不低于人民币100亿元；</w:t>
      </w:r>
    </w:p>
    <w:p w14:paraId="1F72FE7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（二）预计市值不低于人民币50亿元，且最近一年营业收入不低于人民币5亿元。</w:t>
      </w:r>
    </w:p>
    <w:p w14:paraId="682C1DE3">
      <w:pPr>
        <w:adjustRightInd w:val="0"/>
        <w:snapToGrid w:val="0"/>
        <w:spacing w:line="560" w:lineRule="exact"/>
        <w:ind w:firstLine="640" w:firstLineChars="200"/>
        <w:rPr>
          <w:rFonts w:ascii="仿宋_GB2312" w:hAnsi="Calibri" w:eastAsia="仿宋_GB2312"/>
          <w:sz w:val="32"/>
          <w:szCs w:val="32"/>
        </w:rPr>
      </w:pPr>
      <w:r>
        <w:rPr>
          <w:rFonts w:hint="eastAsia" w:ascii="仿宋_GB2312" w:hAnsi="宋体" w:eastAsia="仿宋_GB2312" w:cs="宋体"/>
          <w:sz w:val="32"/>
          <w:szCs w:val="32"/>
        </w:rPr>
        <w:t>发行人特别表决权股份的持有人资格、公司章程关于表决权差异安排的具体规定，应当符合本规则第四章第五节的规定。</w:t>
      </w:r>
    </w:p>
    <w:p w14:paraId="024102CF">
      <w:pPr>
        <w:autoSpaceDE w:val="0"/>
        <w:autoSpaceDN w:val="0"/>
        <w:adjustRightInd w:val="0"/>
        <w:snapToGrid w:val="0"/>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仿宋_GB2312" w:eastAsia="仿宋_GB2312"/>
          <w:sz w:val="32"/>
          <w:szCs w:val="32"/>
        </w:rPr>
        <w:t>本规则所称表决权差异安排，是指发行人依照《公司法》第一百四十四条的规定，在一般规定的普通股份之外，发行拥有特别表决权的股份（以下简称特别表决权股份）。每一特别表决权股份拥有的表决权数量大于每一普通股份拥有的表决权数量，其他股东权利与普通股份相同。</w:t>
      </w:r>
    </w:p>
    <w:p w14:paraId="35845643">
      <w:pPr>
        <w:numPr>
          <w:ilvl w:val="2"/>
          <w:numId w:val="3"/>
        </w:numPr>
        <w:tabs>
          <w:tab w:val="left" w:pos="1260"/>
          <w:tab w:val="clear" w:pos="720"/>
        </w:tabs>
        <w:autoSpaceDE w:val="0"/>
        <w:autoSpaceDN w:val="0"/>
        <w:adjustRightInd w:val="0"/>
        <w:snapToGrid w:val="0"/>
        <w:spacing w:line="560" w:lineRule="exact"/>
        <w:ind w:left="0" w:firstLine="640" w:firstLineChars="200"/>
        <w:rPr>
          <w:rFonts w:hint="eastAsia" w:ascii="仿宋_GB2312" w:hAnsi="宋体" w:eastAsia="仿宋_GB2312" w:cs="宋体"/>
          <w:sz w:val="32"/>
          <w:szCs w:val="32"/>
        </w:rPr>
      </w:pPr>
      <w:r>
        <w:rPr>
          <w:rFonts w:hint="eastAsia" w:ascii="仿宋_GB2312" w:hAnsi="宋体" w:eastAsia="仿宋_GB2312"/>
          <w:sz w:val="32"/>
          <w:szCs w:val="32"/>
        </w:rPr>
        <w:t>发行人首次公开发行股票经中国证监会同意注册并完成股份公开发行后，向本所提出股票上市申请的，应</w:t>
      </w:r>
      <w:r>
        <w:rPr>
          <w:rFonts w:hint="eastAsia" w:ascii="仿宋_GB2312" w:hAnsi="宋体" w:eastAsia="仿宋_GB2312" w:cs="宋体"/>
          <w:sz w:val="32"/>
          <w:szCs w:val="32"/>
        </w:rPr>
        <w:t>当提交下列文件：</w:t>
      </w:r>
    </w:p>
    <w:p w14:paraId="4F00B1B2">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（一）上市申请书；</w:t>
      </w:r>
    </w:p>
    <w:p w14:paraId="0C40A6A5">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（二）中国证监会同意注册的决定；</w:t>
      </w:r>
    </w:p>
    <w:p w14:paraId="7EEA0930">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（三）首次公开发行结束后发行人全部股票已经中国证券登记结算有限责任公司（以下简称中国结算）上海分公司登记的证明文件；</w:t>
      </w:r>
    </w:p>
    <w:p w14:paraId="40AD803B">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（四）首次公开发行结束后，会计师事务所出具的验资报告；</w:t>
      </w:r>
    </w:p>
    <w:p w14:paraId="01552291">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（五）发行人、控股股东、实际控制人、董事、高级管理人员等根据本规则要求出具的证明、声明及承诺；</w:t>
      </w:r>
    </w:p>
    <w:p w14:paraId="532883D8">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（六）首次公开发行后至上市前，按规定新增的财务资料和有关重大事项的说明（如适用）；</w:t>
      </w:r>
    </w:p>
    <w:p w14:paraId="61A4CCF6">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（七）本所要求的其他文件。</w:t>
      </w:r>
    </w:p>
    <w:p w14:paraId="18E4D139">
      <w:pPr>
        <w:numPr>
          <w:ilvl w:val="2"/>
          <w:numId w:val="3"/>
        </w:numPr>
        <w:tabs>
          <w:tab w:val="left" w:pos="1260"/>
          <w:tab w:val="clear" w:pos="720"/>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发行人及其董事、高级管理人员应当保证上市申请文件真实、准确、完整，不存在虚假记载、误导性陈述或者重大遗漏。</w:t>
      </w:r>
    </w:p>
    <w:p w14:paraId="6A8FBDF1">
      <w:pPr>
        <w:numPr>
          <w:ilvl w:val="2"/>
          <w:numId w:val="3"/>
        </w:numPr>
        <w:tabs>
          <w:tab w:val="left" w:pos="1260"/>
          <w:tab w:val="clear" w:pos="720"/>
        </w:tabs>
        <w:autoSpaceDE w:val="0"/>
        <w:autoSpaceDN w:val="0"/>
        <w:adjustRightInd w:val="0"/>
        <w:snapToGrid w:val="0"/>
        <w:spacing w:line="560" w:lineRule="exact"/>
        <w:ind w:left="0" w:firstLine="640" w:firstLineChars="200"/>
        <w:rPr>
          <w:rFonts w:hint="eastAsia" w:ascii="仿宋_GB2312" w:hAnsi="宋体" w:eastAsia="仿宋_GB2312" w:cs="宋体"/>
          <w:sz w:val="32"/>
          <w:szCs w:val="32"/>
        </w:rPr>
      </w:pPr>
      <w:r>
        <w:rPr>
          <w:rFonts w:hint="eastAsia" w:ascii="仿宋_GB2312" w:hAnsi="宋体" w:eastAsia="仿宋_GB2312"/>
          <w:sz w:val="32"/>
          <w:szCs w:val="32"/>
        </w:rPr>
        <w:t>本所收到发行人上市申请文件后</w:t>
      </w:r>
      <w:r>
        <w:rPr>
          <w:rFonts w:ascii="仿宋_GB2312" w:hAnsi="宋体" w:eastAsia="仿宋_GB2312"/>
          <w:sz w:val="32"/>
          <w:szCs w:val="32"/>
        </w:rPr>
        <w:t>5</w:t>
      </w:r>
      <w:r>
        <w:rPr>
          <w:rFonts w:hint="eastAsia" w:ascii="仿宋_GB2312" w:hAnsi="宋体" w:eastAsia="仿宋_GB2312"/>
          <w:sz w:val="32"/>
          <w:szCs w:val="32"/>
        </w:rPr>
        <w:t>个交易日内，作出是否同意上市的决定。</w:t>
      </w:r>
    </w:p>
    <w:p w14:paraId="726BEC9E">
      <w:pPr>
        <w:autoSpaceDE w:val="0"/>
        <w:autoSpaceDN w:val="0"/>
        <w:adjustRightInd w:val="0"/>
        <w:snapToGrid w:val="0"/>
        <w:spacing w:line="560" w:lineRule="exact"/>
        <w:rPr>
          <w:rFonts w:hint="eastAsia" w:ascii="仿宋_GB2312" w:hAnsi="宋体" w:eastAsia="仿宋_GB2312" w:cs="宋体"/>
          <w:sz w:val="32"/>
          <w:szCs w:val="32"/>
        </w:rPr>
      </w:pPr>
      <w:r>
        <w:rPr>
          <w:rFonts w:hint="eastAsia" w:ascii="仿宋_GB2312" w:hAnsi="宋体" w:eastAsia="仿宋_GB2312"/>
          <w:sz w:val="32"/>
          <w:szCs w:val="32"/>
        </w:rPr>
        <w:t xml:space="preserve">    发行人发生</w:t>
      </w:r>
      <w:r>
        <w:rPr>
          <w:rFonts w:hint="eastAsia" w:ascii="仿宋_GB2312" w:eastAsia="仿宋_GB2312"/>
          <w:sz w:val="32"/>
          <w:szCs w:val="32"/>
        </w:rPr>
        <w:t>重大事项，对是否符合上市条件和信息披露要求产生重大影响的，本所可提请上市审核委员会（以下简称上市委员会）进行审议，审议时间不计入前款规定时限。</w:t>
      </w:r>
    </w:p>
    <w:p w14:paraId="5A5589B6">
      <w:pPr>
        <w:numPr>
          <w:ilvl w:val="2"/>
          <w:numId w:val="3"/>
        </w:numPr>
        <w:tabs>
          <w:tab w:val="left" w:pos="1260"/>
          <w:tab w:val="clear" w:pos="720"/>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发行人应当于股票上市前5个交易日内，在符合中国证监会规定条件的媒体及本所网站（以下简称符合条件的媒体）上披露下列文件：</w:t>
      </w:r>
    </w:p>
    <w:p w14:paraId="2A30CD64">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（一）上市公告书；</w:t>
      </w:r>
    </w:p>
    <w:p w14:paraId="5F73F71A">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（二）公司章程；</w:t>
      </w:r>
    </w:p>
    <w:p w14:paraId="40710023">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（三）本所要求的其他文件。</w:t>
      </w:r>
    </w:p>
    <w:p w14:paraId="74E8490A">
      <w:pPr>
        <w:pStyle w:val="36"/>
        <w:numPr>
          <w:ilvl w:val="1"/>
          <w:numId w:val="1"/>
        </w:numPr>
        <w:ind w:left="0" w:firstLine="643"/>
        <w:rPr>
          <w:rFonts w:hint="eastAsia"/>
        </w:rPr>
      </w:pPr>
      <w:bookmarkStart w:id="10" w:name="_Toc170284218"/>
      <w:bookmarkStart w:id="11" w:name="_Toc14868"/>
      <w:bookmarkStart w:id="12" w:name="_Toc969"/>
      <w:r>
        <w:rPr>
          <w:rFonts w:hint="eastAsia"/>
        </w:rPr>
        <w:t>上市公司股票发行上市</w:t>
      </w:r>
      <w:bookmarkEnd w:id="10"/>
      <w:bookmarkEnd w:id="11"/>
      <w:bookmarkEnd w:id="12"/>
    </w:p>
    <w:p w14:paraId="13EAB31A">
      <w:pPr>
        <w:numPr>
          <w:ilvl w:val="2"/>
          <w:numId w:val="4"/>
        </w:numPr>
        <w:tabs>
          <w:tab w:val="left" w:pos="0"/>
          <w:tab w:val="clear" w:pos="72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上市公司依法向不特定对象发行股票的，可以在规定时间内披露招股说明书、配股说明书等相关文件，并向本所申请办理股票发行、配股事宜。</w:t>
      </w:r>
    </w:p>
    <w:p w14:paraId="408FE2DD">
      <w:pPr>
        <w:numPr>
          <w:ilvl w:val="2"/>
          <w:numId w:val="4"/>
        </w:numPr>
        <w:tabs>
          <w:tab w:val="left" w:pos="0"/>
          <w:tab w:val="clear" w:pos="720"/>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上市公司股票向不特定对象发行或配股结束并完成登记后，应当在股票上市前披露上市公告等相关文件，并向本所申请办理新增股份上市事宜。</w:t>
      </w:r>
    </w:p>
    <w:p w14:paraId="7D3ECCFA">
      <w:pPr>
        <w:numPr>
          <w:ilvl w:val="2"/>
          <w:numId w:val="4"/>
        </w:numPr>
        <w:tabs>
          <w:tab w:val="left" w:pos="0"/>
          <w:tab w:val="clear" w:pos="720"/>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上市公司向特定对象发行股票结束并完成登记后，</w:t>
      </w:r>
      <w:r>
        <w:rPr>
          <w:rFonts w:hint="eastAsia" w:ascii="仿宋_GB2312" w:eastAsia="仿宋_GB2312"/>
          <w:sz w:val="32"/>
          <w:szCs w:val="32"/>
        </w:rPr>
        <w:t>应当在股票上市前披露发行结果公告等相关文件，</w:t>
      </w:r>
      <w:r>
        <w:rPr>
          <w:rFonts w:hint="eastAsia" w:ascii="仿宋_GB2312" w:hAnsi="宋体" w:eastAsia="仿宋_GB2312"/>
          <w:sz w:val="32"/>
          <w:szCs w:val="32"/>
        </w:rPr>
        <w:t>并向本所申请办理新增股份上市事宜。</w:t>
      </w:r>
    </w:p>
    <w:p w14:paraId="6970BE10">
      <w:pPr>
        <w:pStyle w:val="36"/>
        <w:numPr>
          <w:ilvl w:val="1"/>
          <w:numId w:val="1"/>
        </w:numPr>
        <w:ind w:left="0" w:firstLine="643"/>
        <w:rPr>
          <w:rFonts w:hint="eastAsia" w:hAnsi="宋体"/>
          <w:u w:val="single"/>
          <w:shd w:val="pct10" w:color="auto" w:fill="FFFFFF"/>
        </w:rPr>
      </w:pPr>
      <w:bookmarkStart w:id="13" w:name="_Toc170284219"/>
      <w:bookmarkStart w:id="14" w:name="_Toc21579"/>
      <w:bookmarkStart w:id="15" w:name="_Toc22110"/>
      <w:r>
        <w:rPr>
          <w:rFonts w:hint="eastAsia"/>
        </w:rPr>
        <w:t>股份解除限售</w:t>
      </w:r>
      <w:bookmarkEnd w:id="13"/>
      <w:bookmarkEnd w:id="14"/>
      <w:bookmarkEnd w:id="15"/>
    </w:p>
    <w:p w14:paraId="34244B75">
      <w:pPr>
        <w:numPr>
          <w:ilvl w:val="2"/>
          <w:numId w:val="5"/>
        </w:numPr>
        <w:tabs>
          <w:tab w:val="left" w:pos="0"/>
          <w:tab w:val="clear" w:pos="72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下列股份符合解除限售条件的，股东可以通过上市公司申请解除限售：</w:t>
      </w:r>
    </w:p>
    <w:p w14:paraId="1F41A765">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（一）发行人首次公开发行前已发行的股份（以下简称首发前股份）；</w:t>
      </w:r>
    </w:p>
    <w:p w14:paraId="6B9107A1">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（二）上市公司向特定对象发行的股份；</w:t>
      </w:r>
    </w:p>
    <w:p w14:paraId="412092C0">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（三）发行人、上市公司向证券投资基金、战略投资者及其他法人或者自然人配售的股份；</w:t>
      </w:r>
    </w:p>
    <w:p w14:paraId="35B16E1A">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（四）董事、高级管理人员以及核心技术人员等所持限售股份；</w:t>
      </w:r>
    </w:p>
    <w:p w14:paraId="1EA905A2">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（五）其他限售股份。</w:t>
      </w:r>
    </w:p>
    <w:p w14:paraId="5930B7D6">
      <w:pPr>
        <w:numPr>
          <w:ilvl w:val="2"/>
          <w:numId w:val="5"/>
        </w:numPr>
        <w:tabs>
          <w:tab w:val="left" w:pos="0"/>
          <w:tab w:val="clear" w:pos="72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上市公司申请股份解除限售，应当在限售解除前5个交易日披露提示性公告。</w:t>
      </w:r>
    </w:p>
    <w:p w14:paraId="2E3E2669">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上市公司应当披露股东履行限售承诺的情况，保荐机构、</w:t>
      </w:r>
      <w:r>
        <w:rPr>
          <w:rFonts w:hint="eastAsia" w:ascii="仿宋_GB2312" w:hAnsi="宋体" w:eastAsia="仿宋_GB2312"/>
          <w:sz w:val="32"/>
          <w:szCs w:val="32"/>
        </w:rPr>
        <w:t>证券服务机构</w:t>
      </w:r>
      <w:r>
        <w:rPr>
          <w:rFonts w:hint="eastAsia" w:ascii="仿宋_GB2312" w:eastAsia="仿宋_GB2312"/>
          <w:sz w:val="32"/>
          <w:szCs w:val="32"/>
        </w:rPr>
        <w:t>应当发表意见并披露。</w:t>
      </w:r>
    </w:p>
    <w:p w14:paraId="14DE795B">
      <w:pPr>
        <w:pStyle w:val="36"/>
        <w:numPr>
          <w:ilvl w:val="1"/>
          <w:numId w:val="1"/>
        </w:numPr>
        <w:ind w:left="0" w:firstLine="643"/>
        <w:rPr>
          <w:rFonts w:hint="eastAsia"/>
        </w:rPr>
      </w:pPr>
      <w:bookmarkStart w:id="16" w:name="_Toc530297503"/>
      <w:bookmarkEnd w:id="16"/>
      <w:bookmarkStart w:id="17" w:name="_Toc530297484"/>
      <w:bookmarkEnd w:id="17"/>
      <w:bookmarkStart w:id="18" w:name="_Toc530237023"/>
      <w:bookmarkEnd w:id="18"/>
      <w:bookmarkStart w:id="19" w:name="_Toc530297494"/>
      <w:bookmarkEnd w:id="19"/>
      <w:bookmarkStart w:id="20" w:name="_Toc530237028"/>
      <w:bookmarkEnd w:id="20"/>
      <w:bookmarkStart w:id="21" w:name="_Toc530237021"/>
      <w:bookmarkEnd w:id="21"/>
      <w:bookmarkStart w:id="22" w:name="_Toc530237024"/>
      <w:bookmarkEnd w:id="22"/>
      <w:bookmarkStart w:id="23" w:name="_Toc530297491"/>
      <w:bookmarkEnd w:id="23"/>
      <w:bookmarkStart w:id="24" w:name="_Toc530237017"/>
      <w:bookmarkEnd w:id="24"/>
      <w:bookmarkStart w:id="25" w:name="_Toc530297501"/>
      <w:bookmarkEnd w:id="25"/>
      <w:bookmarkStart w:id="26" w:name="_Toc530297479"/>
      <w:bookmarkEnd w:id="26"/>
      <w:bookmarkStart w:id="27" w:name="_Toc530297496"/>
      <w:bookmarkEnd w:id="27"/>
      <w:bookmarkStart w:id="28" w:name="_Toc530297506"/>
      <w:bookmarkEnd w:id="28"/>
      <w:bookmarkStart w:id="29" w:name="_Toc530237025"/>
      <w:bookmarkEnd w:id="29"/>
      <w:bookmarkStart w:id="30" w:name="_Toc530237004"/>
      <w:bookmarkEnd w:id="30"/>
      <w:bookmarkStart w:id="31" w:name="_Toc530297507"/>
      <w:bookmarkEnd w:id="31"/>
      <w:bookmarkStart w:id="32" w:name="_Toc530237006"/>
      <w:bookmarkEnd w:id="32"/>
      <w:bookmarkStart w:id="33" w:name="_Toc530237013"/>
      <w:bookmarkEnd w:id="33"/>
      <w:bookmarkStart w:id="34" w:name="_Toc530297498"/>
      <w:bookmarkEnd w:id="34"/>
      <w:bookmarkStart w:id="35" w:name="_Toc530237031"/>
      <w:bookmarkEnd w:id="35"/>
      <w:bookmarkStart w:id="36" w:name="_Toc530297497"/>
      <w:bookmarkEnd w:id="36"/>
      <w:bookmarkStart w:id="37" w:name="_Toc530237022"/>
      <w:bookmarkEnd w:id="37"/>
      <w:bookmarkStart w:id="38" w:name="_Toc530237005"/>
      <w:bookmarkEnd w:id="38"/>
      <w:bookmarkStart w:id="39" w:name="_Toc530237008"/>
      <w:bookmarkEnd w:id="39"/>
      <w:bookmarkStart w:id="40" w:name="_Toc530237009"/>
      <w:bookmarkEnd w:id="40"/>
      <w:bookmarkStart w:id="41" w:name="_Toc530297499"/>
      <w:bookmarkEnd w:id="41"/>
      <w:bookmarkStart w:id="42" w:name="_Toc530237011"/>
      <w:bookmarkEnd w:id="42"/>
      <w:bookmarkStart w:id="43" w:name="_Toc530297489"/>
      <w:bookmarkEnd w:id="43"/>
      <w:bookmarkStart w:id="44" w:name="_Toc530237029"/>
      <w:bookmarkEnd w:id="44"/>
      <w:bookmarkStart w:id="45" w:name="_Toc530297482"/>
      <w:bookmarkEnd w:id="45"/>
      <w:bookmarkStart w:id="46" w:name="_Toc530297480"/>
      <w:bookmarkEnd w:id="46"/>
      <w:bookmarkStart w:id="47" w:name="_Toc530297490"/>
      <w:bookmarkEnd w:id="47"/>
      <w:bookmarkStart w:id="48" w:name="_Toc530297502"/>
      <w:bookmarkEnd w:id="48"/>
      <w:bookmarkStart w:id="49" w:name="_Toc530297493"/>
      <w:bookmarkEnd w:id="49"/>
      <w:bookmarkStart w:id="50" w:name="_Toc530297487"/>
      <w:bookmarkEnd w:id="50"/>
      <w:bookmarkStart w:id="51" w:name="_Toc530297486"/>
      <w:bookmarkEnd w:id="51"/>
      <w:bookmarkStart w:id="52" w:name="_Toc530237018"/>
      <w:bookmarkEnd w:id="52"/>
      <w:bookmarkStart w:id="53" w:name="_Toc530237026"/>
      <w:bookmarkEnd w:id="53"/>
      <w:bookmarkStart w:id="54" w:name="_Toc530297485"/>
      <w:bookmarkEnd w:id="54"/>
      <w:bookmarkStart w:id="55" w:name="_Toc530237030"/>
      <w:bookmarkEnd w:id="55"/>
      <w:bookmarkStart w:id="56" w:name="_Toc530237010"/>
      <w:bookmarkEnd w:id="56"/>
      <w:bookmarkStart w:id="57" w:name="_Toc530237014"/>
      <w:bookmarkEnd w:id="57"/>
      <w:bookmarkStart w:id="58" w:name="_Toc530297500"/>
      <w:bookmarkEnd w:id="58"/>
      <w:bookmarkStart w:id="59" w:name="_Toc530237012"/>
      <w:bookmarkEnd w:id="59"/>
      <w:bookmarkStart w:id="60" w:name="_Toc530237020"/>
      <w:bookmarkEnd w:id="60"/>
      <w:bookmarkStart w:id="61" w:name="_Toc530297488"/>
      <w:bookmarkEnd w:id="61"/>
      <w:bookmarkStart w:id="62" w:name="_Toc530237015"/>
      <w:bookmarkEnd w:id="62"/>
      <w:bookmarkStart w:id="63" w:name="_Toc530237027"/>
      <w:bookmarkEnd w:id="63"/>
      <w:bookmarkStart w:id="64" w:name="_Toc530297504"/>
      <w:bookmarkEnd w:id="64"/>
      <w:bookmarkStart w:id="65" w:name="_Toc530237019"/>
      <w:bookmarkEnd w:id="65"/>
      <w:bookmarkStart w:id="66" w:name="_Toc530297483"/>
      <w:bookmarkEnd w:id="66"/>
      <w:bookmarkStart w:id="67" w:name="_Toc530237032"/>
      <w:bookmarkEnd w:id="67"/>
      <w:bookmarkStart w:id="68" w:name="_Toc530297495"/>
      <w:bookmarkEnd w:id="68"/>
      <w:bookmarkStart w:id="69" w:name="_Toc530237007"/>
      <w:bookmarkEnd w:id="69"/>
      <w:bookmarkStart w:id="70" w:name="_Toc530297481"/>
      <w:bookmarkEnd w:id="70"/>
      <w:bookmarkStart w:id="71" w:name="_Toc530237016"/>
      <w:bookmarkEnd w:id="71"/>
      <w:bookmarkStart w:id="72" w:name="_Toc530297492"/>
      <w:bookmarkEnd w:id="72"/>
      <w:bookmarkStart w:id="73" w:name="_Toc530297505"/>
      <w:bookmarkEnd w:id="73"/>
      <w:bookmarkStart w:id="74" w:name="_Toc2849"/>
      <w:bookmarkStart w:id="75" w:name="_Toc170284220"/>
      <w:bookmarkStart w:id="76" w:name="_Toc32190"/>
      <w:r>
        <w:rPr>
          <w:rFonts w:hint="eastAsia"/>
        </w:rPr>
        <w:t>股份减持</w:t>
      </w:r>
      <w:bookmarkEnd w:id="74"/>
      <w:bookmarkEnd w:id="75"/>
      <w:bookmarkEnd w:id="76"/>
    </w:p>
    <w:p w14:paraId="5902756B">
      <w:pPr>
        <w:numPr>
          <w:ilvl w:val="2"/>
          <w:numId w:val="6"/>
        </w:numPr>
        <w:tabs>
          <w:tab w:val="left" w:pos="0"/>
          <w:tab w:val="left" w:pos="1560"/>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上市公司股份的限售与减持，适用本规则；本规则未规定的，适用本所其他有关规定。</w:t>
      </w:r>
    </w:p>
    <w:p w14:paraId="531755D4">
      <w:pPr>
        <w:tabs>
          <w:tab w:val="left" w:pos="0"/>
          <w:tab w:val="left" w:pos="432"/>
          <w:tab w:val="left" w:pos="1560"/>
          <w:tab w:val="left" w:pos="1713"/>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上市公司股东可以通过询价转让、配售方式转让首发前股份，转让的方式、程序、价格、比例以及后续转让等事项，由本所另行规定。</w:t>
      </w:r>
    </w:p>
    <w:p w14:paraId="6122BFB0">
      <w:pPr>
        <w:numPr>
          <w:ilvl w:val="2"/>
          <w:numId w:val="6"/>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公司股东持有的首发前股份，可以在公司上市前托管在为公司提供首次公开发行上市保荐服务的保荐机构，并由保荐机构按照本所业务规则的规定，对股东减持首发前股份的交易委托进行监督管理。</w:t>
      </w:r>
    </w:p>
    <w:p w14:paraId="3680DCD8">
      <w:pPr>
        <w:numPr>
          <w:ilvl w:val="2"/>
          <w:numId w:val="6"/>
        </w:numPr>
        <w:tabs>
          <w:tab w:val="left" w:pos="0"/>
          <w:tab w:val="left" w:pos="1560"/>
        </w:tabs>
        <w:autoSpaceDE w:val="0"/>
        <w:autoSpaceDN w:val="0"/>
        <w:adjustRightInd w:val="0"/>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公司上市时未盈利的，在公司实现盈利前，控股股东、实际控制人自公司股票上市之日起3个完整会计年度内，不得减持首发前股份；自公司股票上市之日起第4个会计年度和第5个会计年度内，每年减持的首发前股份不得超过公司股份总数的2%，并应当符合本所其他规则关于减持股份的相关规定。</w:t>
      </w:r>
    </w:p>
    <w:p w14:paraId="5E64B512">
      <w:pPr>
        <w:pStyle w:val="7"/>
        <w:spacing w:after="0"/>
        <w:ind w:firstLine="640" w:firstLineChars="200"/>
      </w:pPr>
      <w:r>
        <w:rPr>
          <w:rFonts w:hint="eastAsia" w:ascii="仿宋_GB2312" w:hAnsi="黑体" w:eastAsia="仿宋_GB2312"/>
          <w:sz w:val="32"/>
          <w:szCs w:val="32"/>
        </w:rPr>
        <w:t>公司上市时未盈利的，在公司实现盈利前，董事、高级管理人员及核心技术人员自公司股票上市之日起3个完整会计年度内，不得减持首发前股份；在前述期间内离职的，应当继续遵守本款规定。</w:t>
      </w:r>
    </w:p>
    <w:p w14:paraId="6EE0A253">
      <w:pPr>
        <w:tabs>
          <w:tab w:val="left" w:pos="0"/>
          <w:tab w:val="left" w:pos="432"/>
          <w:tab w:val="left" w:pos="1560"/>
          <w:tab w:val="left" w:pos="1713"/>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公司实现盈利后，前两款规定的股东可以自当年年度报告披露后次日起减持首发前股份，但应当遵守本节其他规定。</w:t>
      </w:r>
    </w:p>
    <w:p w14:paraId="71B3D987">
      <w:pPr>
        <w:numPr>
          <w:ilvl w:val="2"/>
          <w:numId w:val="6"/>
        </w:numPr>
        <w:tabs>
          <w:tab w:val="left" w:pos="0"/>
          <w:tab w:val="left" w:pos="1560"/>
        </w:tabs>
        <w:autoSpaceDE w:val="0"/>
        <w:autoSpaceDN w:val="0"/>
        <w:adjustRightInd w:val="0"/>
        <w:snapToGrid w:val="0"/>
        <w:spacing w:line="560" w:lineRule="exact"/>
        <w:ind w:left="0" w:firstLine="640" w:firstLineChars="200"/>
        <w:rPr>
          <w:rFonts w:hint="eastAsia" w:ascii="仿宋_GB2312" w:hAnsi="宋体" w:eastAsia="仿宋_GB2312" w:cs="宋体"/>
          <w:sz w:val="32"/>
          <w:szCs w:val="32"/>
        </w:rPr>
      </w:pPr>
      <w:r>
        <w:rPr>
          <w:rFonts w:hint="eastAsia" w:ascii="仿宋_GB2312" w:hAnsi="黑体" w:eastAsia="仿宋_GB2312"/>
          <w:sz w:val="32"/>
          <w:szCs w:val="32"/>
        </w:rPr>
        <w:t>上市公司</w:t>
      </w:r>
      <w:r>
        <w:rPr>
          <w:rFonts w:hint="eastAsia" w:ascii="仿宋_GB2312" w:hAnsi="宋体" w:eastAsia="仿宋_GB2312"/>
          <w:sz w:val="32"/>
          <w:szCs w:val="32"/>
        </w:rPr>
        <w:t>控股股东、实际控制人减持本公司首发前股份的，应当遵守下列规定：</w:t>
      </w:r>
    </w:p>
    <w:p w14:paraId="3497FA91">
      <w:pPr>
        <w:tabs>
          <w:tab w:val="left" w:pos="15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sz w:val="32"/>
          <w:szCs w:val="32"/>
        </w:rPr>
        <w:t>（一）自公司股票上市之日起36个月内，不得转让或者委托他人管理其直接和间接持有的首发前股份</w:t>
      </w:r>
      <w:r>
        <w:rPr>
          <w:rFonts w:hint="eastAsia" w:ascii="仿宋_GB2312" w:hAnsi="宋体" w:eastAsia="仿宋_GB2312" w:cs="宋体"/>
          <w:sz w:val="32"/>
          <w:szCs w:val="32"/>
        </w:rPr>
        <w:t>，也不得提议由上市公司回购该部分股份；</w:t>
      </w:r>
    </w:p>
    <w:p w14:paraId="64DF8D76">
      <w:pPr>
        <w:tabs>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（二）法律法规、本规则以及本所业务规则对控股股东、实际控制人股份转让的其他规定。</w:t>
      </w:r>
    </w:p>
    <w:p w14:paraId="119AFAB7">
      <w:pPr>
        <w:tabs>
          <w:tab w:val="left" w:pos="15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sz w:val="32"/>
          <w:szCs w:val="32"/>
        </w:rPr>
        <w:t>发行人向本所申请其股票首次公开发行并上市时，控股股东、实际控制人应当承诺遵守前款规定。</w:t>
      </w:r>
      <w:r>
        <w:rPr>
          <w:rFonts w:hint="eastAsia" w:ascii="仿宋_GB2312" w:hAnsi="宋体" w:eastAsia="仿宋_GB2312" w:cs="宋体"/>
          <w:sz w:val="32"/>
          <w:szCs w:val="32"/>
        </w:rPr>
        <w:t xml:space="preserve"> </w:t>
      </w:r>
    </w:p>
    <w:p w14:paraId="7A862592">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自发行人股票上市之日起12个月后，出现下列情形之一的，经上述承诺主体申请并经本所同意，可以豁免遵守上述承诺：</w:t>
      </w:r>
    </w:p>
    <w:p w14:paraId="2CBA3652">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（一）转让双方存在实际控制关系，或者均受同一实际控制人所控制，且受让方承诺继续遵守上述承诺；</w:t>
      </w:r>
    </w:p>
    <w:p w14:paraId="383D9B72">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（二）因上市公司陷入危机或者面临严重财务困难，受让人提出挽救公司的方案获得该公司股东会审议通过和有关部门批准，且受让人承诺继续遵守上述承诺；</w:t>
      </w:r>
    </w:p>
    <w:p w14:paraId="58A90A50">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（三）本所认定的其他情形。</w:t>
      </w:r>
    </w:p>
    <w:p w14:paraId="7FDA48F3">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发行人没有或者难以认定控股股东、实际控制人的，按照相关规定承诺所持首次公开发行前股份自发行人股票上市之日起36个月内不得转让的股东，适用前款第一项规定。</w:t>
      </w:r>
    </w:p>
    <w:p w14:paraId="6CED1A09">
      <w:pPr>
        <w:numPr>
          <w:ilvl w:val="2"/>
          <w:numId w:val="6"/>
        </w:numPr>
        <w:tabs>
          <w:tab w:val="left" w:pos="0"/>
          <w:tab w:val="left" w:pos="1560"/>
        </w:tabs>
        <w:autoSpaceDE w:val="0"/>
        <w:autoSpaceDN w:val="0"/>
        <w:adjustRightInd w:val="0"/>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上市公司核心技术人员减持本公司首发前股份的，应当遵守下列规定：</w:t>
      </w:r>
    </w:p>
    <w:p w14:paraId="16A9FE40">
      <w:pPr>
        <w:tabs>
          <w:tab w:val="left" w:pos="1560"/>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宋体" w:eastAsia="仿宋_GB2312"/>
          <w:sz w:val="32"/>
          <w:szCs w:val="32"/>
        </w:rPr>
        <w:t>（一）</w:t>
      </w:r>
      <w:r>
        <w:rPr>
          <w:rFonts w:hint="eastAsia" w:ascii="仿宋_GB2312" w:hAnsi="黑体" w:eastAsia="仿宋_GB2312"/>
          <w:sz w:val="32"/>
          <w:szCs w:val="32"/>
        </w:rPr>
        <w:t>自公司股票上市之日起12个月内和离职后6个月内不得转让本公司首发前股份；</w:t>
      </w:r>
    </w:p>
    <w:p w14:paraId="47695EA7">
      <w:pPr>
        <w:tabs>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黑体" w:eastAsia="仿宋_GB2312"/>
          <w:sz w:val="32"/>
          <w:szCs w:val="32"/>
        </w:rPr>
        <w:t>（二）自所持首发前股份限售期满之日起4年内，每年转让的首发前股份不得</w:t>
      </w:r>
      <w:r>
        <w:rPr>
          <w:rFonts w:hint="eastAsia" w:ascii="仿宋_GB2312" w:hAnsi="宋体" w:eastAsia="仿宋_GB2312"/>
          <w:sz w:val="32"/>
          <w:szCs w:val="32"/>
        </w:rPr>
        <w:t>超过上市时所持公司首发前股份总数的25%，减持比例可以累积使用；</w:t>
      </w:r>
    </w:p>
    <w:p w14:paraId="72019B83">
      <w:pPr>
        <w:tabs>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（三）法律法规、本规则以及本所业务规则对核心技术人员股份转让的其他规定。</w:t>
      </w:r>
    </w:p>
    <w:p w14:paraId="4B704F38">
      <w:pPr>
        <w:numPr>
          <w:ilvl w:val="2"/>
          <w:numId w:val="6"/>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hAnsi="黑体" w:eastAsia="仿宋_GB2312"/>
          <w:sz w:val="32"/>
          <w:szCs w:val="32"/>
        </w:rPr>
        <w:t>上市公司控股股东、实际控制人在限售期满后减持首发前股份的，应当明确并披露公司的控制权安排，保证上市公司持续稳定经营。</w:t>
      </w:r>
    </w:p>
    <w:p w14:paraId="792A7900">
      <w:pPr>
        <w:numPr>
          <w:ilvl w:val="2"/>
          <w:numId w:val="6"/>
        </w:numPr>
        <w:tabs>
          <w:tab w:val="left" w:pos="0"/>
          <w:tab w:val="left" w:pos="1560"/>
        </w:tabs>
        <w:autoSpaceDE w:val="0"/>
        <w:autoSpaceDN w:val="0"/>
        <w:adjustRightInd w:val="0"/>
        <w:snapToGrid w:val="0"/>
        <w:spacing w:line="560" w:lineRule="exact"/>
        <w:ind w:left="0" w:firstLine="640" w:firstLineChars="200"/>
        <w:rPr>
          <w:rFonts w:ascii="仿宋_GB2312" w:hAnsi="Calibri" w:eastAsia="仿宋_GB2312"/>
          <w:sz w:val="32"/>
          <w:szCs w:val="32"/>
        </w:rPr>
      </w:pPr>
      <w:r>
        <w:rPr>
          <w:rFonts w:hint="eastAsia" w:ascii="仿宋_GB2312" w:eastAsia="仿宋_GB2312"/>
          <w:sz w:val="32"/>
          <w:szCs w:val="32"/>
        </w:rPr>
        <w:t>上市公司控股股东、实际控制人减持股份，依照本所其他规则披露减持计划的，还应当在减持计划中披露上市公司是否存在重大负面事项、重大风险、控股股东或者实际控制人认为应当说明的事项，以及本所要求披露的其他内容</w:t>
      </w:r>
      <w:r>
        <w:rPr>
          <w:rFonts w:hint="eastAsia" w:ascii="仿宋_GB2312" w:hAnsi="Calibri" w:eastAsia="仿宋_GB2312"/>
          <w:sz w:val="32"/>
          <w:szCs w:val="32"/>
        </w:rPr>
        <w:t>。</w:t>
      </w:r>
    </w:p>
    <w:p w14:paraId="0CD3E78E">
      <w:pPr>
        <w:numPr>
          <w:ilvl w:val="2"/>
          <w:numId w:val="6"/>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上市公司股东所持股份应当与其一致行动人所持股份合并计算。一致行动人的认定适用《上市公司收购管理办法》的规定。</w:t>
      </w:r>
    </w:p>
    <w:p w14:paraId="770348F1">
      <w:pPr>
        <w:tabs>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上市公司披露无控股股东、实际控制人的，第一大股东应当参照适用本节关于控股股东、实际控制人的规定，但是持有上市公司股份低于5%的除外。</w:t>
      </w:r>
    </w:p>
    <w:p w14:paraId="28DAFF06">
      <w:pPr>
        <w:tabs>
          <w:tab w:val="left" w:pos="1560"/>
        </w:tabs>
        <w:autoSpaceDE w:val="0"/>
        <w:autoSpaceDN w:val="0"/>
        <w:adjustRightInd w:val="0"/>
        <w:snapToGrid w:val="0"/>
        <w:spacing w:line="560" w:lineRule="exact"/>
        <w:ind w:firstLine="640" w:firstLineChars="200"/>
        <w:rPr>
          <w:rFonts w:ascii="仿宋_GB2312" w:hAnsi="Calibri" w:eastAsia="仿宋_GB2312"/>
          <w:sz w:val="32"/>
          <w:szCs w:val="32"/>
        </w:rPr>
      </w:pPr>
      <w:r>
        <w:rPr>
          <w:rFonts w:hint="eastAsia" w:ascii="仿宋_GB2312" w:hAnsi="仿宋" w:eastAsia="仿宋_GB2312"/>
          <w:sz w:val="32"/>
          <w:szCs w:val="32"/>
        </w:rPr>
        <w:t>发行人的高级管理人员与核心员工参与设立的专项资产管理计划，通过</w:t>
      </w:r>
      <w:r>
        <w:rPr>
          <w:rFonts w:hint="eastAsia" w:ascii="仿宋_GB2312" w:eastAsia="仿宋_GB2312"/>
          <w:sz w:val="32"/>
          <w:szCs w:val="32"/>
        </w:rPr>
        <w:t>集中竞价、大宗交易等方式在二级市场</w:t>
      </w:r>
      <w:r>
        <w:rPr>
          <w:rFonts w:hint="eastAsia" w:ascii="仿宋_GB2312" w:hAnsi="Calibri" w:eastAsia="仿宋_GB2312"/>
          <w:sz w:val="32"/>
          <w:szCs w:val="32"/>
        </w:rPr>
        <w:t>减持</w:t>
      </w:r>
      <w:r>
        <w:rPr>
          <w:rFonts w:hint="eastAsia" w:ascii="仿宋_GB2312" w:hAnsi="仿宋" w:eastAsia="仿宋_GB2312"/>
          <w:sz w:val="32"/>
          <w:szCs w:val="32"/>
        </w:rPr>
        <w:t>参与战略配售获配股份的，应当按照本规则关于</w:t>
      </w:r>
      <w:r>
        <w:rPr>
          <w:rFonts w:hint="eastAsia" w:ascii="仿宋_GB2312" w:eastAsia="仿宋_GB2312"/>
          <w:sz w:val="32"/>
          <w:szCs w:val="32"/>
        </w:rPr>
        <w:t>上市公司股东</w:t>
      </w:r>
      <w:r>
        <w:rPr>
          <w:rFonts w:hint="eastAsia" w:ascii="仿宋_GB2312" w:hAnsi="Calibri" w:eastAsia="仿宋_GB2312"/>
          <w:sz w:val="32"/>
          <w:szCs w:val="32"/>
        </w:rPr>
        <w:t>减持首发前股份的规定履行相应信息披露义务。</w:t>
      </w:r>
    </w:p>
    <w:p w14:paraId="6ECCC7D1">
      <w:pPr>
        <w:pStyle w:val="7"/>
      </w:pPr>
    </w:p>
    <w:p w14:paraId="5AB8F90E">
      <w:pPr>
        <w:pStyle w:val="81"/>
        <w:ind w:firstLine="643"/>
        <w:rPr>
          <w:rFonts w:hint="eastAsia"/>
          <w:b/>
          <w:bCs/>
        </w:rPr>
      </w:pPr>
      <w:bookmarkStart w:id="77" w:name="_Toc170284221"/>
      <w:bookmarkStart w:id="78" w:name="_Toc15906"/>
      <w:bookmarkStart w:id="79" w:name="_Toc30837"/>
      <w:r>
        <w:rPr>
          <w:rFonts w:hint="eastAsia"/>
          <w:b/>
          <w:bCs/>
        </w:rPr>
        <w:t>持续督导</w:t>
      </w:r>
      <w:bookmarkEnd w:id="77"/>
      <w:bookmarkEnd w:id="78"/>
      <w:bookmarkEnd w:id="79"/>
    </w:p>
    <w:p w14:paraId="63B16869">
      <w:pPr>
        <w:pStyle w:val="36"/>
        <w:numPr>
          <w:ilvl w:val="1"/>
          <w:numId w:val="1"/>
        </w:numPr>
        <w:ind w:left="0" w:firstLine="643"/>
        <w:rPr>
          <w:rFonts w:hint="eastAsia"/>
        </w:rPr>
      </w:pPr>
      <w:bookmarkStart w:id="80" w:name="_Toc530093692"/>
      <w:bookmarkEnd w:id="80"/>
      <w:bookmarkStart w:id="81" w:name="_Toc9923"/>
      <w:bookmarkStart w:id="82" w:name="_Toc170284222"/>
      <w:bookmarkStart w:id="83" w:name="_Toc2875"/>
      <w:r>
        <w:rPr>
          <w:rFonts w:hint="eastAsia"/>
        </w:rPr>
        <w:t>一般规定</w:t>
      </w:r>
      <w:bookmarkEnd w:id="81"/>
      <w:bookmarkEnd w:id="82"/>
      <w:bookmarkEnd w:id="83"/>
    </w:p>
    <w:p w14:paraId="6F167882">
      <w:pPr>
        <w:pStyle w:val="34"/>
        <w:numPr>
          <w:ilvl w:val="0"/>
          <w:numId w:val="7"/>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为发行人首次公开发行股票提供保荐服务的保荐机构，应当对发行人进行持续督导。</w:t>
      </w:r>
    </w:p>
    <w:p w14:paraId="31660925">
      <w:pPr>
        <w:spacing w:line="560" w:lineRule="exact"/>
        <w:ind w:firstLine="640" w:firstLineChars="200"/>
        <w:rPr>
          <w:sz w:val="32"/>
          <w:szCs w:val="32"/>
        </w:rPr>
      </w:pPr>
      <w:r>
        <w:rPr>
          <w:rFonts w:hint="eastAsia" w:ascii="仿宋_GB2312" w:hAnsi="宋体" w:eastAsia="仿宋_GB2312"/>
          <w:sz w:val="32"/>
          <w:szCs w:val="32"/>
        </w:rPr>
        <w:t>上市公司发行股份和重大资产重组的持续督导事宜，按照中国证监会和本所有关规定执行。</w:t>
      </w:r>
    </w:p>
    <w:p w14:paraId="3E8A184E">
      <w:pPr>
        <w:pStyle w:val="34"/>
        <w:numPr>
          <w:ilvl w:val="0"/>
          <w:numId w:val="7"/>
        </w:numPr>
        <w:tabs>
          <w:tab w:val="left" w:pos="1418"/>
        </w:tabs>
        <w:spacing w:line="560" w:lineRule="exact"/>
        <w:ind w:left="0" w:firstLine="640"/>
        <w:rPr>
          <w:rFonts w:hint="eastAsia" w:ascii="仿宋_GB2312" w:hAnsi="宋体"/>
          <w:kern w:val="2"/>
          <w:sz w:val="32"/>
          <w:szCs w:val="32"/>
        </w:rPr>
      </w:pPr>
      <w:r>
        <w:rPr>
          <w:rFonts w:hint="eastAsia" w:ascii="仿宋_GB2312" w:hAnsi="宋体"/>
          <w:sz w:val="32"/>
          <w:szCs w:val="32"/>
        </w:rPr>
        <w:t>首次公开发行股票并在科创板上市的，持续督导期间为</w:t>
      </w:r>
      <w:r>
        <w:rPr>
          <w:rFonts w:hint="eastAsia" w:ascii="仿宋_GB2312" w:hAnsi="宋体"/>
          <w:kern w:val="2"/>
          <w:sz w:val="32"/>
          <w:szCs w:val="32"/>
        </w:rPr>
        <w:t>股票上市当年剩余时间以及其后3个完整会计年度。上市后发行新股、可转换公司债券的，持续督导期间为股票、可转换公司债券上市当年剩余时间及其后2个完整会计年度。中国证监会和本所对其他衍生品种持续督导另有规定的，从其规定。</w:t>
      </w:r>
    </w:p>
    <w:p w14:paraId="6A2C0F28">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持续督导期届满，上市公司及相关信息披露义务人存在尚未完结的督导事项的，保荐机构应当就相关事项继续履行督导义务，直至相关事项全部完成。</w:t>
      </w:r>
    </w:p>
    <w:p w14:paraId="5BF91AA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保荐机构应当与发行人、上市公司或相关方就持续督导期间的权利义务签订持续督导协议。</w:t>
      </w:r>
    </w:p>
    <w:p w14:paraId="005EC8D7">
      <w:pPr>
        <w:pStyle w:val="34"/>
        <w:numPr>
          <w:ilvl w:val="0"/>
          <w:numId w:val="7"/>
        </w:numPr>
        <w:tabs>
          <w:tab w:val="left" w:pos="1418"/>
        </w:tabs>
        <w:spacing w:line="560" w:lineRule="exact"/>
        <w:ind w:left="0" w:firstLine="640"/>
        <w:rPr>
          <w:rFonts w:hint="eastAsia" w:ascii="仿宋_GB2312" w:hAnsi="宋体"/>
          <w:sz w:val="32"/>
          <w:szCs w:val="32"/>
        </w:rPr>
      </w:pPr>
      <w:r>
        <w:rPr>
          <w:rFonts w:hint="eastAsia" w:ascii="仿宋_GB2312" w:hAnsi="黑体"/>
          <w:sz w:val="32"/>
          <w:szCs w:val="32"/>
        </w:rPr>
        <w:t>上市公司原则上不得变更履行持续督导职责的保荐机构。</w:t>
      </w:r>
    </w:p>
    <w:p w14:paraId="0DCA1C5B">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上市公司因再次发行股票另行聘请保荐机构的，另行聘请的保荐机构应当履行剩余期限的持续督导职责。</w:t>
      </w:r>
    </w:p>
    <w:p w14:paraId="3FBC6184">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保荐机构被撤销保荐资格的，上市公司应当在1个月内另行聘请保荐机构，履行剩余期限的持续督导职责。另行聘请的保荐机构持续督导的时间不得少于1个完整的会计年度。</w:t>
      </w:r>
    </w:p>
    <w:p w14:paraId="63B9BD54">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原保荐机构在履行持续督导职责期间未勤勉尽责的，其责任不因保荐机构的更换而免除或者终止。</w:t>
      </w:r>
    </w:p>
    <w:p w14:paraId="6203A08F">
      <w:pPr>
        <w:pStyle w:val="34"/>
        <w:numPr>
          <w:ilvl w:val="0"/>
          <w:numId w:val="7"/>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保荐机构应当建立健全并有效执行持续督导业务管理制度。</w:t>
      </w:r>
    </w:p>
    <w:p w14:paraId="722CCCDF">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保荐机构、保荐代表人应当制作并保存持续督导工作底稿。工作底稿应当真实、准确、完整地反映保荐机构、保荐代表人履行持续督导职责所开展的主要工作，并作为出具相关意见或者报告的基础。</w:t>
      </w:r>
    </w:p>
    <w:p w14:paraId="32158907">
      <w:pPr>
        <w:pStyle w:val="34"/>
        <w:numPr>
          <w:ilvl w:val="0"/>
          <w:numId w:val="7"/>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保荐机构应当指定为发行人首次公开发行提供保荐服务的保荐代表人负责持续督导工作，并在上市公告书中予以披露。前述保荐代表人不能履职的，保荐机构应当另行指定履职能力相当的保荐代表人并披露。</w:t>
      </w:r>
    </w:p>
    <w:p w14:paraId="0B79478D">
      <w:pPr>
        <w:tabs>
          <w:tab w:val="left" w:pos="1418"/>
        </w:tabs>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保荐机构应当建立健全保荐代表人工作制度，</w:t>
      </w:r>
      <w:r>
        <w:rPr>
          <w:rFonts w:ascii="仿宋_GB2312" w:hAnsi="宋体" w:eastAsia="仿宋_GB2312"/>
          <w:sz w:val="32"/>
          <w:szCs w:val="32"/>
        </w:rPr>
        <w:t>明确</w:t>
      </w:r>
      <w:r>
        <w:rPr>
          <w:rFonts w:hint="eastAsia" w:ascii="仿宋_GB2312" w:hAnsi="宋体" w:eastAsia="仿宋_GB2312"/>
          <w:sz w:val="32"/>
          <w:szCs w:val="32"/>
        </w:rPr>
        <w:t>保荐代表人的</w:t>
      </w:r>
      <w:r>
        <w:rPr>
          <w:rFonts w:ascii="仿宋_GB2312" w:hAnsi="宋体" w:eastAsia="仿宋_GB2312"/>
          <w:sz w:val="32"/>
          <w:szCs w:val="32"/>
        </w:rPr>
        <w:t>工作要求和职责，建立有效的</w:t>
      </w:r>
      <w:r>
        <w:rPr>
          <w:rFonts w:hint="eastAsia" w:ascii="仿宋_GB2312" w:hAnsi="宋体" w:eastAsia="仿宋_GB2312"/>
          <w:sz w:val="32"/>
          <w:szCs w:val="32"/>
        </w:rPr>
        <w:t>考核、激励和</w:t>
      </w:r>
      <w:r>
        <w:rPr>
          <w:rFonts w:ascii="仿宋_GB2312" w:hAnsi="宋体" w:eastAsia="仿宋_GB2312"/>
          <w:sz w:val="32"/>
          <w:szCs w:val="32"/>
        </w:rPr>
        <w:t>约束机制。</w:t>
      </w:r>
    </w:p>
    <w:p w14:paraId="4901C857">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保荐代表人未按照本规则履行职责的，保荐机构应当督促保荐代表人履行职责。</w:t>
      </w:r>
    </w:p>
    <w:p w14:paraId="403A5ED5">
      <w:pPr>
        <w:pStyle w:val="34"/>
        <w:numPr>
          <w:ilvl w:val="0"/>
          <w:numId w:val="7"/>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保荐机构在持续督导期间，应当履行下列持续督导职责：</w:t>
      </w:r>
    </w:p>
    <w:p w14:paraId="0747DB99">
      <w:pPr>
        <w:pStyle w:val="34"/>
        <w:numPr>
          <w:ilvl w:val="3"/>
          <w:numId w:val="1"/>
        </w:numPr>
        <w:tabs>
          <w:tab w:val="left" w:pos="1418"/>
          <w:tab w:val="left" w:pos="1701"/>
        </w:tabs>
        <w:spacing w:line="560" w:lineRule="exact"/>
        <w:ind w:left="0" w:firstLine="709" w:firstLineChars="0"/>
        <w:rPr>
          <w:rFonts w:hint="eastAsia" w:ascii="仿宋_GB2312" w:hAnsi="黑体"/>
          <w:sz w:val="32"/>
          <w:szCs w:val="32"/>
        </w:rPr>
      </w:pPr>
      <w:r>
        <w:rPr>
          <w:rFonts w:hint="eastAsia" w:ascii="仿宋_GB2312" w:hAnsi="黑体"/>
          <w:sz w:val="32"/>
          <w:szCs w:val="32"/>
        </w:rPr>
        <w:t>督促上市公司建立和执行信息披露、规范运作、承诺履行、分红回报等制度；</w:t>
      </w:r>
    </w:p>
    <w:p w14:paraId="05C99CF0">
      <w:pPr>
        <w:pStyle w:val="34"/>
        <w:numPr>
          <w:ilvl w:val="3"/>
          <w:numId w:val="1"/>
        </w:numPr>
        <w:tabs>
          <w:tab w:val="left" w:pos="0"/>
          <w:tab w:val="left" w:pos="1418"/>
          <w:tab w:val="clear" w:pos="1980"/>
        </w:tabs>
        <w:spacing w:line="560" w:lineRule="exact"/>
        <w:ind w:left="0" w:firstLine="709" w:firstLineChars="0"/>
        <w:rPr>
          <w:rFonts w:hint="eastAsia" w:ascii="仿宋_GB2312" w:hAnsi="黑体"/>
          <w:sz w:val="32"/>
          <w:szCs w:val="32"/>
        </w:rPr>
      </w:pPr>
      <w:r>
        <w:rPr>
          <w:rFonts w:hint="eastAsia" w:ascii="仿宋_GB2312" w:hAnsi="黑体"/>
          <w:sz w:val="32"/>
          <w:szCs w:val="32"/>
        </w:rPr>
        <w:t>识别并督促上市公司披露对公司持续经营能力、核心竞争力或者控制权稳定有重大不利影响的风险或者负面事项，并发表意见；</w:t>
      </w:r>
    </w:p>
    <w:p w14:paraId="154AA401">
      <w:pPr>
        <w:pStyle w:val="34"/>
        <w:numPr>
          <w:ilvl w:val="3"/>
          <w:numId w:val="1"/>
        </w:numPr>
        <w:tabs>
          <w:tab w:val="left" w:pos="0"/>
          <w:tab w:val="left" w:pos="1418"/>
          <w:tab w:val="clear" w:pos="1980"/>
        </w:tabs>
        <w:spacing w:line="560" w:lineRule="exact"/>
        <w:ind w:left="0" w:firstLine="709" w:firstLineChars="0"/>
        <w:rPr>
          <w:rFonts w:hint="eastAsia" w:ascii="仿宋_GB2312" w:hAnsi="黑体"/>
          <w:sz w:val="32"/>
          <w:szCs w:val="32"/>
        </w:rPr>
      </w:pPr>
      <w:r>
        <w:rPr>
          <w:rFonts w:hint="eastAsia" w:ascii="仿宋_GB2312" w:hAnsi="黑体"/>
          <w:sz w:val="32"/>
          <w:szCs w:val="32"/>
        </w:rPr>
        <w:t>关注上市公司股票交易异常波动情况，督促上市公司按照本规则规定履行核查、信息披露等义务；</w:t>
      </w:r>
    </w:p>
    <w:p w14:paraId="08723FC5">
      <w:pPr>
        <w:pStyle w:val="34"/>
        <w:numPr>
          <w:ilvl w:val="3"/>
          <w:numId w:val="1"/>
        </w:numPr>
        <w:tabs>
          <w:tab w:val="left" w:pos="0"/>
          <w:tab w:val="left" w:pos="1418"/>
          <w:tab w:val="clear" w:pos="1980"/>
        </w:tabs>
        <w:spacing w:line="560" w:lineRule="exact"/>
        <w:ind w:left="0" w:firstLine="709" w:firstLineChars="0"/>
        <w:rPr>
          <w:rFonts w:hint="eastAsia" w:ascii="仿宋_GB2312" w:hAnsi="黑体"/>
          <w:sz w:val="32"/>
          <w:szCs w:val="32"/>
        </w:rPr>
      </w:pPr>
      <w:r>
        <w:rPr>
          <w:rFonts w:hint="eastAsia" w:ascii="仿宋_GB2312" w:hAnsi="黑体"/>
          <w:sz w:val="32"/>
          <w:szCs w:val="32"/>
        </w:rPr>
        <w:t>对上市公司存在的可能严重影响公司或者投资者合法权益的事项开展专项核查，并出具现场核查报告；</w:t>
      </w:r>
    </w:p>
    <w:p w14:paraId="001E5AED">
      <w:pPr>
        <w:pStyle w:val="34"/>
        <w:numPr>
          <w:ilvl w:val="3"/>
          <w:numId w:val="1"/>
        </w:numPr>
        <w:tabs>
          <w:tab w:val="left" w:pos="0"/>
          <w:tab w:val="left" w:pos="1418"/>
          <w:tab w:val="clear" w:pos="1980"/>
        </w:tabs>
        <w:spacing w:line="560" w:lineRule="exact"/>
        <w:ind w:left="0" w:firstLine="709" w:firstLineChars="0"/>
        <w:rPr>
          <w:rFonts w:hint="eastAsia" w:ascii="仿宋_GB2312" w:hAnsi="黑体"/>
          <w:sz w:val="32"/>
          <w:szCs w:val="32"/>
        </w:rPr>
      </w:pPr>
      <w:r>
        <w:rPr>
          <w:rFonts w:hint="eastAsia" w:ascii="仿宋_GB2312" w:hAnsi="黑体"/>
          <w:sz w:val="32"/>
          <w:szCs w:val="32"/>
        </w:rPr>
        <w:t>定期出具并披露持续督导跟踪报告；</w:t>
      </w:r>
    </w:p>
    <w:p w14:paraId="5673DD77">
      <w:pPr>
        <w:pStyle w:val="34"/>
        <w:numPr>
          <w:ilvl w:val="3"/>
          <w:numId w:val="1"/>
        </w:numPr>
        <w:tabs>
          <w:tab w:val="left" w:pos="0"/>
          <w:tab w:val="left" w:pos="1418"/>
          <w:tab w:val="clear" w:pos="1980"/>
        </w:tabs>
        <w:spacing w:line="560" w:lineRule="exact"/>
        <w:ind w:left="0" w:firstLine="709" w:firstLineChars="0"/>
        <w:rPr>
          <w:rFonts w:hint="eastAsia" w:ascii="仿宋_GB2312" w:hAnsi="黑体"/>
          <w:sz w:val="32"/>
          <w:szCs w:val="32"/>
        </w:rPr>
      </w:pPr>
      <w:r>
        <w:rPr>
          <w:rFonts w:hint="eastAsia" w:ascii="仿宋_GB2312"/>
          <w:sz w:val="32"/>
          <w:szCs w:val="32"/>
        </w:rPr>
        <w:t>中国证监会、本所规定或者保荐协议约定的其他职责</w:t>
      </w:r>
      <w:r>
        <w:rPr>
          <w:rFonts w:hint="eastAsia" w:ascii="仿宋_GB2312" w:hAnsi="黑体"/>
          <w:sz w:val="32"/>
          <w:szCs w:val="32"/>
        </w:rPr>
        <w:t>。</w:t>
      </w:r>
    </w:p>
    <w:p w14:paraId="50352E82">
      <w:pPr>
        <w:tabs>
          <w:tab w:val="left" w:pos="1418"/>
        </w:tabs>
        <w:spacing w:line="560" w:lineRule="exact"/>
        <w:ind w:firstLine="640"/>
        <w:rPr>
          <w:rFonts w:hint="eastAsia" w:ascii="仿宋_GB2312" w:hAnsi="宋体" w:eastAsia="仿宋_GB2312"/>
          <w:sz w:val="32"/>
          <w:szCs w:val="32"/>
        </w:rPr>
      </w:pPr>
      <w:r>
        <w:rPr>
          <w:rFonts w:ascii="仿宋_GB2312" w:hAnsi="宋体" w:eastAsia="仿宋_GB2312"/>
          <w:sz w:val="32"/>
          <w:szCs w:val="32"/>
        </w:rPr>
        <w:t>保荐机构</w:t>
      </w:r>
      <w:r>
        <w:rPr>
          <w:rFonts w:hint="eastAsia" w:ascii="仿宋_GB2312" w:hAnsi="宋体" w:eastAsia="仿宋_GB2312"/>
          <w:sz w:val="32"/>
          <w:szCs w:val="32"/>
        </w:rPr>
        <w:t>、保荐代表人</w:t>
      </w:r>
      <w:r>
        <w:rPr>
          <w:rFonts w:ascii="仿宋_GB2312" w:hAnsi="宋体" w:eastAsia="仿宋_GB2312"/>
          <w:sz w:val="32"/>
          <w:szCs w:val="32"/>
        </w:rPr>
        <w:t>应当针对</w:t>
      </w:r>
      <w:r>
        <w:rPr>
          <w:rFonts w:hint="eastAsia" w:ascii="仿宋_GB2312" w:hAnsi="宋体" w:eastAsia="仿宋_GB2312"/>
          <w:sz w:val="32"/>
          <w:szCs w:val="32"/>
        </w:rPr>
        <w:t>上市公司</w:t>
      </w:r>
      <w:r>
        <w:rPr>
          <w:rFonts w:ascii="仿宋_GB2312" w:hAnsi="宋体" w:eastAsia="仿宋_GB2312"/>
          <w:sz w:val="32"/>
          <w:szCs w:val="32"/>
        </w:rPr>
        <w:t>的具体情况，</w:t>
      </w:r>
      <w:r>
        <w:rPr>
          <w:rFonts w:hint="eastAsia" w:ascii="仿宋_GB2312" w:hAnsi="宋体" w:eastAsia="仿宋_GB2312"/>
          <w:sz w:val="32"/>
          <w:szCs w:val="32"/>
        </w:rPr>
        <w:t>制定履行各项持续督导职责的实施方案。</w:t>
      </w:r>
    </w:p>
    <w:p w14:paraId="4B3EF6F2">
      <w:pPr>
        <w:pStyle w:val="34"/>
        <w:numPr>
          <w:ilvl w:val="0"/>
          <w:numId w:val="7"/>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上市公司应当按照下列要求，积极配合保荐机构履行持续督导职责：</w:t>
      </w:r>
    </w:p>
    <w:p w14:paraId="7A36293B">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（一）根据保荐机构和保荐代表人的要求，及时提供履行持续督导职责必需的相关信息；</w:t>
      </w:r>
    </w:p>
    <w:p w14:paraId="1908C83E">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（二）发生应当披露的重大事项或者出现重大风险的，及时告知保荐机构和保荐代表人；</w:t>
      </w:r>
    </w:p>
    <w:p w14:paraId="691BCCAA">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（三）根据保荐机构和保荐代表人的督导意见，及时履行信息披露义务或者采取相应整改措施；</w:t>
      </w:r>
    </w:p>
    <w:p w14:paraId="1B2F47A2">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（四）协助保荐机构和保荐代表人披露持续督导意见；</w:t>
      </w:r>
    </w:p>
    <w:p w14:paraId="7CCDEDF2">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（五）为保荐机构和保荐代表人履行持续督导职责提供其他必要的条件和便利。</w:t>
      </w:r>
    </w:p>
    <w:p w14:paraId="16558D3E">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上市公司不配合保荐机构、保荐代表人持续督导工作的，保荐机构、保荐代表人应当督促公司改正，并及时报告本所。</w:t>
      </w:r>
    </w:p>
    <w:p w14:paraId="1469DCBE">
      <w:pPr>
        <w:pStyle w:val="36"/>
        <w:numPr>
          <w:ilvl w:val="1"/>
          <w:numId w:val="1"/>
        </w:numPr>
        <w:ind w:left="0" w:firstLine="643"/>
        <w:rPr>
          <w:rFonts w:hint="eastAsia"/>
        </w:rPr>
      </w:pPr>
      <w:bookmarkStart w:id="84" w:name="_Toc2518"/>
      <w:bookmarkStart w:id="85" w:name="_Toc170284223"/>
      <w:bookmarkStart w:id="86" w:name="_Toc3941"/>
      <w:r>
        <w:rPr>
          <w:rFonts w:hint="eastAsia"/>
        </w:rPr>
        <w:t>持续督导职责的履行</w:t>
      </w:r>
      <w:bookmarkEnd w:id="84"/>
      <w:bookmarkEnd w:id="85"/>
      <w:bookmarkEnd w:id="86"/>
    </w:p>
    <w:p w14:paraId="3C7C56D5">
      <w:pPr>
        <w:pStyle w:val="34"/>
        <w:numPr>
          <w:ilvl w:val="0"/>
          <w:numId w:val="8"/>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保荐机构、保荐代表人应当协助和督促上市公司建立相应的内部制度、决策程序及内控机制，以符合</w:t>
      </w:r>
      <w:bookmarkStart w:id="87" w:name="OLE_LINK6"/>
      <w:bookmarkStart w:id="88" w:name="OLE_LINK5"/>
      <w:r>
        <w:rPr>
          <w:rFonts w:hint="eastAsia" w:ascii="仿宋_GB2312" w:hAnsi="宋体"/>
          <w:sz w:val="32"/>
          <w:szCs w:val="32"/>
        </w:rPr>
        <w:t>法律法规和本规则</w:t>
      </w:r>
      <w:bookmarkEnd w:id="87"/>
      <w:bookmarkEnd w:id="88"/>
      <w:r>
        <w:rPr>
          <w:rFonts w:hint="eastAsia" w:ascii="仿宋_GB2312" w:hAnsi="宋体"/>
          <w:sz w:val="32"/>
          <w:szCs w:val="32"/>
        </w:rPr>
        <w:t>的要求，并确保上市公司及其控股股东、实际控制人、董事、高级管理人员、核心技术人员知晓其在本规则下的各项义务。</w:t>
      </w:r>
    </w:p>
    <w:p w14:paraId="1B02ACA3">
      <w:pPr>
        <w:pStyle w:val="34"/>
        <w:numPr>
          <w:ilvl w:val="0"/>
          <w:numId w:val="8"/>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保荐机构、保荐代表人应当持续督促上市公司充分披露投资者作出价值判断和投资决策所必需的信息，并确保信息披露真实、准确、完整、及时、公平。</w:t>
      </w:r>
    </w:p>
    <w:p w14:paraId="4B631235">
      <w:pPr>
        <w:tabs>
          <w:tab w:val="left" w:pos="1418"/>
        </w:tabs>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保荐机构、保荐代表人应当对上市公司制作信息披露公告文件提供必要的指导和协助，确保其信息披露内容简明易懂，语言浅白平实，具有可理解性。</w:t>
      </w:r>
    </w:p>
    <w:p w14:paraId="326935A0">
      <w:pPr>
        <w:tabs>
          <w:tab w:val="left" w:pos="1418"/>
        </w:tabs>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保荐机构、保荐代表人应当督促上市公司控股股东、实际控制人履行信息披露义务，告知并督促其不得要求或者协助上市公司隐瞒重要信息。</w:t>
      </w:r>
    </w:p>
    <w:p w14:paraId="19C10976">
      <w:pPr>
        <w:pStyle w:val="34"/>
        <w:numPr>
          <w:ilvl w:val="0"/>
          <w:numId w:val="8"/>
        </w:numPr>
        <w:tabs>
          <w:tab w:val="left" w:pos="1418"/>
        </w:tabs>
        <w:spacing w:line="560" w:lineRule="exact"/>
        <w:ind w:left="0" w:firstLine="640"/>
        <w:rPr>
          <w:sz w:val="32"/>
          <w:szCs w:val="32"/>
        </w:rPr>
      </w:pPr>
      <w:r>
        <w:rPr>
          <w:rFonts w:hint="eastAsia" w:ascii="仿宋_GB2312" w:hAnsi="宋体"/>
          <w:sz w:val="32"/>
          <w:szCs w:val="32"/>
        </w:rPr>
        <w:t>上市公司或其控股股东、实际控制人作出承诺的，保荐机构、保荐代表人应当督促其对承诺事项的具体内容、履约方式及时间、履约能力分析、履约风险及对策、不能履约时的救济措施等方面进行充分信息披露。</w:t>
      </w:r>
    </w:p>
    <w:p w14:paraId="78F661B2">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保荐机构、保荐代表人应当针对前款规定的承诺披露事项，持续跟进相关主体履行承诺的进展情况，督促相关主体及时、充分履行承诺。</w:t>
      </w:r>
    </w:p>
    <w:p w14:paraId="6B50FF87">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上市公司或其控股股东、实际控制人披露、履行或者变更承诺事项，不符合法律法规、本规则以及本所其他规定的，保荐机构和保荐代表人应当及时提出督导意见，并督促相关主体进行补正。</w:t>
      </w:r>
    </w:p>
    <w:p w14:paraId="27F0DFF3">
      <w:pPr>
        <w:pStyle w:val="34"/>
        <w:numPr>
          <w:ilvl w:val="0"/>
          <w:numId w:val="8"/>
        </w:numPr>
        <w:tabs>
          <w:tab w:val="left" w:pos="1418"/>
        </w:tabs>
        <w:spacing w:line="560" w:lineRule="exact"/>
        <w:ind w:left="0" w:firstLine="640"/>
        <w:rPr>
          <w:sz w:val="32"/>
          <w:szCs w:val="32"/>
        </w:rPr>
      </w:pPr>
      <w:r>
        <w:rPr>
          <w:rFonts w:hint="eastAsia" w:ascii="仿宋_GB2312" w:hAnsi="宋体"/>
          <w:sz w:val="32"/>
          <w:szCs w:val="32"/>
        </w:rPr>
        <w:t>保荐机构、保荐代表人应当督促上市公司积极回报投资者，建立健全并有效执行符合公司发展阶段的现金分红和股份回购制度。</w:t>
      </w:r>
    </w:p>
    <w:p w14:paraId="0F75D9C1">
      <w:pPr>
        <w:pStyle w:val="34"/>
        <w:numPr>
          <w:ilvl w:val="0"/>
          <w:numId w:val="8"/>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保荐机构、保荐代表人应当持续关注上市公司运作，对上市公司及其业务有充分了解；通过日常沟通、定期回访、调阅资料、列席股东会等方式，关注上市公司日常经营和股票交易情况，有效识别并督促上市公司披露重大风险或者重大负面事项。</w:t>
      </w:r>
    </w:p>
    <w:p w14:paraId="0E5A417B">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保荐机构、保荐代表人应当核实上市公司重大风险披露是否真实、准确、完整。披露内容存在虚假记载、误导性陈述或者重大遗漏的，保荐机构、保荐代表人应当发表意见予以说明。</w:t>
      </w:r>
    </w:p>
    <w:p w14:paraId="358AA6D0">
      <w:pPr>
        <w:pStyle w:val="34"/>
        <w:numPr>
          <w:ilvl w:val="0"/>
          <w:numId w:val="8"/>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上市公司及相关信息披露义务人出现本章第3.2.7条、第3.2.8条和第3.2.9条规定事项的，保荐机构、保荐代表人应当督促公司严格履行信息披露义务，并于公司披露公告时，就信息披露是否真实、准确、完整及本章规定的其他内容发表意见并披露。</w:t>
      </w:r>
    </w:p>
    <w:p w14:paraId="2D3844E1">
      <w:pPr>
        <w:tabs>
          <w:tab w:val="left" w:pos="1418"/>
        </w:tabs>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保荐机构、保荐代表人无法按时履行前款所述职责的，应当披露尚待核实的事项及预计发表意见的时间，并充分提示风险。</w:t>
      </w:r>
    </w:p>
    <w:p w14:paraId="58B65B10">
      <w:pPr>
        <w:pStyle w:val="34"/>
        <w:numPr>
          <w:ilvl w:val="0"/>
          <w:numId w:val="8"/>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上市公司日常经营出现下列情形的，保荐机构、保荐代表人应当就相关事项对公司经营的影响以及是否存在其他未披露重大风险发表意见并披露：</w:t>
      </w:r>
    </w:p>
    <w:p w14:paraId="4A23920D">
      <w:pPr>
        <w:pStyle w:val="34"/>
        <w:numPr>
          <w:ilvl w:val="0"/>
          <w:numId w:val="9"/>
        </w:numPr>
        <w:tabs>
          <w:tab w:val="left" w:pos="709"/>
        </w:tabs>
        <w:spacing w:line="560" w:lineRule="exact"/>
        <w:ind w:left="0" w:firstLine="640"/>
        <w:rPr>
          <w:rFonts w:hint="eastAsia" w:ascii="仿宋_GB2312" w:hAnsi="宋体"/>
          <w:sz w:val="32"/>
          <w:szCs w:val="32"/>
        </w:rPr>
      </w:pPr>
      <w:r>
        <w:rPr>
          <w:rFonts w:hint="eastAsia" w:ascii="仿宋_GB2312" w:hAnsi="宋体"/>
          <w:sz w:val="32"/>
          <w:szCs w:val="32"/>
        </w:rPr>
        <w:t>主要业务停滞或出现可能导致主要业务停滞的重大风险事件；</w:t>
      </w:r>
    </w:p>
    <w:p w14:paraId="424ED384">
      <w:pPr>
        <w:pStyle w:val="34"/>
        <w:numPr>
          <w:ilvl w:val="0"/>
          <w:numId w:val="9"/>
        </w:numPr>
        <w:tabs>
          <w:tab w:val="left" w:pos="709"/>
        </w:tabs>
        <w:spacing w:line="560" w:lineRule="exact"/>
        <w:ind w:left="0" w:firstLine="640"/>
        <w:rPr>
          <w:rFonts w:hint="eastAsia" w:ascii="仿宋_GB2312" w:hAnsi="宋体"/>
          <w:sz w:val="32"/>
          <w:szCs w:val="32"/>
        </w:rPr>
      </w:pPr>
      <w:r>
        <w:rPr>
          <w:rFonts w:hint="eastAsia" w:ascii="仿宋_GB2312"/>
          <w:sz w:val="32"/>
          <w:szCs w:val="32"/>
        </w:rPr>
        <w:t>资产被查封、扣押或冻结</w:t>
      </w:r>
      <w:r>
        <w:rPr>
          <w:rFonts w:hint="eastAsia" w:ascii="仿宋_GB2312" w:hAnsi="宋体"/>
          <w:sz w:val="32"/>
          <w:szCs w:val="32"/>
        </w:rPr>
        <w:t>；</w:t>
      </w:r>
    </w:p>
    <w:p w14:paraId="755B686F">
      <w:pPr>
        <w:pStyle w:val="34"/>
        <w:numPr>
          <w:ilvl w:val="0"/>
          <w:numId w:val="9"/>
        </w:numPr>
        <w:tabs>
          <w:tab w:val="left" w:pos="709"/>
        </w:tabs>
        <w:spacing w:line="560" w:lineRule="exact"/>
        <w:ind w:left="0" w:firstLine="640"/>
        <w:rPr>
          <w:rFonts w:hint="eastAsia" w:ascii="仿宋_GB2312" w:hAnsi="宋体"/>
          <w:sz w:val="32"/>
          <w:szCs w:val="32"/>
        </w:rPr>
      </w:pPr>
      <w:r>
        <w:rPr>
          <w:rFonts w:hint="eastAsia" w:ascii="仿宋_GB2312" w:hAnsi="宋体"/>
          <w:sz w:val="32"/>
          <w:szCs w:val="32"/>
        </w:rPr>
        <w:t>未能清偿到期债务；</w:t>
      </w:r>
    </w:p>
    <w:p w14:paraId="6A46E389">
      <w:pPr>
        <w:pStyle w:val="34"/>
        <w:numPr>
          <w:ilvl w:val="0"/>
          <w:numId w:val="9"/>
        </w:numPr>
        <w:tabs>
          <w:tab w:val="left" w:pos="709"/>
        </w:tabs>
        <w:spacing w:line="560" w:lineRule="exact"/>
        <w:ind w:left="0" w:firstLine="640"/>
        <w:rPr>
          <w:rFonts w:hint="eastAsia" w:ascii="仿宋_GB2312" w:hAnsi="宋体"/>
          <w:sz w:val="32"/>
          <w:szCs w:val="32"/>
        </w:rPr>
      </w:pPr>
      <w:r>
        <w:rPr>
          <w:rFonts w:hint="eastAsia" w:ascii="仿宋_GB2312" w:hAnsi="宋体"/>
          <w:sz w:val="32"/>
          <w:szCs w:val="32"/>
        </w:rPr>
        <w:t>控股股东、实际控制人、董事、高级管理人员、核心技术人员涉嫌犯罪被依法采取强制措施；</w:t>
      </w:r>
    </w:p>
    <w:p w14:paraId="71694413">
      <w:pPr>
        <w:pStyle w:val="34"/>
        <w:numPr>
          <w:ilvl w:val="0"/>
          <w:numId w:val="9"/>
        </w:numPr>
        <w:tabs>
          <w:tab w:val="left" w:pos="709"/>
        </w:tabs>
        <w:spacing w:line="560" w:lineRule="exact"/>
        <w:ind w:left="0" w:firstLine="640"/>
        <w:rPr>
          <w:rFonts w:hint="eastAsia" w:ascii="仿宋_GB2312" w:hAnsi="宋体"/>
          <w:sz w:val="32"/>
          <w:szCs w:val="32"/>
        </w:rPr>
      </w:pPr>
      <w:r>
        <w:rPr>
          <w:rFonts w:hint="eastAsia" w:ascii="仿宋_GB2312" w:hAnsi="宋体"/>
          <w:sz w:val="32"/>
          <w:szCs w:val="32"/>
        </w:rPr>
        <w:t>涉及关联交易、为他人提供担保等重大事项；</w:t>
      </w:r>
    </w:p>
    <w:p w14:paraId="1C7EF1E0">
      <w:pPr>
        <w:pStyle w:val="34"/>
        <w:numPr>
          <w:ilvl w:val="0"/>
          <w:numId w:val="9"/>
        </w:numPr>
        <w:tabs>
          <w:tab w:val="left" w:pos="709"/>
        </w:tabs>
        <w:spacing w:line="560" w:lineRule="exact"/>
        <w:ind w:left="0" w:firstLine="640"/>
        <w:rPr>
          <w:rFonts w:hint="eastAsia" w:ascii="仿宋_GB2312" w:hAnsi="宋体"/>
          <w:sz w:val="32"/>
          <w:szCs w:val="32"/>
        </w:rPr>
      </w:pPr>
      <w:r>
        <w:rPr>
          <w:rFonts w:hint="eastAsia" w:ascii="仿宋_GB2312" w:hAnsi="宋体"/>
          <w:sz w:val="32"/>
          <w:szCs w:val="32"/>
        </w:rPr>
        <w:t>本所或者保荐机构认为应当发表意见的其他情形。</w:t>
      </w:r>
    </w:p>
    <w:p w14:paraId="60AD839B">
      <w:pPr>
        <w:pStyle w:val="34"/>
        <w:numPr>
          <w:ilvl w:val="0"/>
          <w:numId w:val="8"/>
        </w:numPr>
        <w:tabs>
          <w:tab w:val="left" w:pos="1418"/>
        </w:tabs>
        <w:spacing w:line="560" w:lineRule="exact"/>
        <w:ind w:left="0" w:firstLine="640"/>
        <w:rPr>
          <w:rFonts w:hint="eastAsia" w:ascii="仿宋_GB2312" w:hAnsi="仿宋"/>
          <w:sz w:val="32"/>
          <w:szCs w:val="32"/>
        </w:rPr>
      </w:pPr>
      <w:r>
        <w:rPr>
          <w:rFonts w:hint="eastAsia" w:ascii="仿宋_GB2312" w:hAnsi="仿宋"/>
          <w:sz w:val="32"/>
          <w:szCs w:val="32"/>
        </w:rPr>
        <w:t>上市公司业务和技术出现下列情形的，保荐机构、保荐代表人应当就相关事项对公司核心竞争力和日常经营的影响，以及是否存在其他未披露重大风险发表意见并披露：</w:t>
      </w:r>
    </w:p>
    <w:p w14:paraId="224493FD">
      <w:pPr>
        <w:pStyle w:val="34"/>
        <w:numPr>
          <w:ilvl w:val="0"/>
          <w:numId w:val="10"/>
        </w:numPr>
        <w:spacing w:line="560" w:lineRule="exact"/>
        <w:ind w:left="0" w:firstLine="640"/>
        <w:rPr>
          <w:rFonts w:ascii="仿宋_GB2312" w:hAnsi="Times New Roman"/>
          <w:sz w:val="32"/>
          <w:szCs w:val="32"/>
        </w:rPr>
      </w:pPr>
      <w:r>
        <w:rPr>
          <w:rFonts w:hint="eastAsia" w:ascii="仿宋_GB2312" w:hAnsi="Times New Roman"/>
          <w:sz w:val="32"/>
          <w:szCs w:val="32"/>
        </w:rPr>
        <w:t>主要原材料供应或者产品销售出现重大不利变化；</w:t>
      </w:r>
    </w:p>
    <w:p w14:paraId="7D65323A">
      <w:pPr>
        <w:pStyle w:val="34"/>
        <w:numPr>
          <w:ilvl w:val="0"/>
          <w:numId w:val="10"/>
        </w:numPr>
        <w:spacing w:line="560" w:lineRule="exact"/>
        <w:ind w:left="0" w:firstLine="640"/>
        <w:rPr>
          <w:rFonts w:ascii="仿宋_GB2312" w:hAnsi="Times New Roman"/>
          <w:sz w:val="32"/>
          <w:szCs w:val="32"/>
        </w:rPr>
      </w:pPr>
      <w:r>
        <w:rPr>
          <w:rFonts w:hint="eastAsia" w:ascii="仿宋_GB2312" w:hAnsi="Times New Roman"/>
          <w:sz w:val="32"/>
          <w:szCs w:val="32"/>
        </w:rPr>
        <w:t>核心技术人员离职；</w:t>
      </w:r>
    </w:p>
    <w:p w14:paraId="161F2449">
      <w:pPr>
        <w:pStyle w:val="34"/>
        <w:numPr>
          <w:ilvl w:val="0"/>
          <w:numId w:val="10"/>
        </w:numPr>
        <w:spacing w:line="560" w:lineRule="exact"/>
        <w:ind w:left="0" w:firstLine="640"/>
        <w:rPr>
          <w:rFonts w:ascii="仿宋_GB2312" w:hAnsi="Times New Roman"/>
          <w:sz w:val="32"/>
          <w:szCs w:val="32"/>
        </w:rPr>
      </w:pPr>
      <w:r>
        <w:rPr>
          <w:rFonts w:hint="eastAsia" w:ascii="仿宋_GB2312" w:hAnsi="Times New Roman"/>
          <w:sz w:val="32"/>
          <w:szCs w:val="32"/>
        </w:rPr>
        <w:t>核心知识产权、特许经营权或者核心技术许可丧失、不能续期或者出现重大纠纷；</w:t>
      </w:r>
    </w:p>
    <w:p w14:paraId="6D0E3C6F">
      <w:pPr>
        <w:pStyle w:val="34"/>
        <w:numPr>
          <w:ilvl w:val="0"/>
          <w:numId w:val="10"/>
        </w:numPr>
        <w:spacing w:line="560" w:lineRule="exact"/>
        <w:ind w:left="0" w:firstLine="640"/>
        <w:rPr>
          <w:rFonts w:ascii="仿宋_GB2312" w:hAnsi="Times New Roman"/>
          <w:sz w:val="32"/>
          <w:szCs w:val="32"/>
        </w:rPr>
      </w:pPr>
      <w:r>
        <w:rPr>
          <w:rFonts w:hint="eastAsia" w:ascii="仿宋_GB2312" w:hAnsi="Times New Roman"/>
          <w:sz w:val="32"/>
          <w:szCs w:val="32"/>
        </w:rPr>
        <w:t>主要产品研发失败；</w:t>
      </w:r>
    </w:p>
    <w:p w14:paraId="27D07F70">
      <w:pPr>
        <w:pStyle w:val="34"/>
        <w:numPr>
          <w:ilvl w:val="0"/>
          <w:numId w:val="10"/>
        </w:numPr>
        <w:spacing w:line="560" w:lineRule="exact"/>
        <w:ind w:left="0" w:firstLine="640"/>
        <w:rPr>
          <w:rFonts w:ascii="仿宋_GB2312" w:hAnsi="Times New Roman"/>
          <w:sz w:val="32"/>
          <w:szCs w:val="32"/>
        </w:rPr>
      </w:pPr>
      <w:r>
        <w:rPr>
          <w:rFonts w:hint="eastAsia" w:ascii="仿宋_GB2312" w:hAnsi="Times New Roman"/>
          <w:sz w:val="32"/>
          <w:szCs w:val="32"/>
        </w:rPr>
        <w:t>核心竞争力丧失竞争优势或者市场出现具有明显优势的竞争者；</w:t>
      </w:r>
    </w:p>
    <w:p w14:paraId="5E1BD77A">
      <w:pPr>
        <w:pStyle w:val="34"/>
        <w:numPr>
          <w:ilvl w:val="0"/>
          <w:numId w:val="10"/>
        </w:numPr>
        <w:spacing w:line="560" w:lineRule="exact"/>
        <w:ind w:left="0" w:firstLine="640"/>
        <w:rPr>
          <w:rFonts w:ascii="仿宋_GB2312" w:hAnsi="Times New Roman"/>
          <w:sz w:val="32"/>
          <w:szCs w:val="32"/>
        </w:rPr>
      </w:pPr>
      <w:r>
        <w:rPr>
          <w:rFonts w:hint="eastAsia" w:ascii="仿宋_GB2312" w:hAnsi="宋体"/>
          <w:sz w:val="32"/>
          <w:szCs w:val="32"/>
        </w:rPr>
        <w:t>本所或者保荐机构认为应当发表意见的其他情形</w:t>
      </w:r>
      <w:r>
        <w:rPr>
          <w:rFonts w:hint="eastAsia" w:ascii="仿宋_GB2312" w:hAnsi="Times New Roman"/>
          <w:sz w:val="32"/>
          <w:szCs w:val="32"/>
        </w:rPr>
        <w:t>。</w:t>
      </w:r>
    </w:p>
    <w:p w14:paraId="59EE5F5A">
      <w:pPr>
        <w:pStyle w:val="34"/>
        <w:numPr>
          <w:ilvl w:val="0"/>
          <w:numId w:val="8"/>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控股股东、实际控制人及其一致行动人出现下列情形的，保荐机构、保荐代表人应当就相关事项对上市公司控制权稳定和日常经营的影响、是否存在侵害上市公司利益的情形以及其他未披露重大风险发表意见并披露：</w:t>
      </w:r>
    </w:p>
    <w:p w14:paraId="7DB7FD51">
      <w:pPr>
        <w:pStyle w:val="34"/>
        <w:numPr>
          <w:ilvl w:val="0"/>
          <w:numId w:val="11"/>
        </w:numPr>
        <w:tabs>
          <w:tab w:val="left" w:pos="709"/>
          <w:tab w:val="left" w:pos="851"/>
          <w:tab w:val="left" w:pos="993"/>
          <w:tab w:val="left" w:pos="1276"/>
        </w:tabs>
        <w:spacing w:line="560" w:lineRule="exact"/>
        <w:ind w:left="0" w:firstLine="640"/>
        <w:rPr>
          <w:rFonts w:hint="eastAsia" w:ascii="仿宋_GB2312" w:hAnsi="宋体"/>
          <w:sz w:val="32"/>
          <w:szCs w:val="32"/>
        </w:rPr>
      </w:pPr>
      <w:r>
        <w:rPr>
          <w:rFonts w:hint="eastAsia" w:ascii="仿宋_GB2312" w:hAnsi="宋体"/>
          <w:sz w:val="32"/>
          <w:szCs w:val="32"/>
        </w:rPr>
        <w:t>所持上市公司股份被司法冻结；</w:t>
      </w:r>
    </w:p>
    <w:p w14:paraId="13887784">
      <w:pPr>
        <w:pStyle w:val="34"/>
        <w:numPr>
          <w:ilvl w:val="0"/>
          <w:numId w:val="11"/>
        </w:numPr>
        <w:tabs>
          <w:tab w:val="left" w:pos="709"/>
        </w:tabs>
        <w:spacing w:line="560" w:lineRule="exact"/>
        <w:ind w:left="0" w:firstLine="640"/>
        <w:rPr>
          <w:rFonts w:hint="eastAsia" w:ascii="仿宋_GB2312" w:hAnsi="宋体"/>
          <w:sz w:val="32"/>
          <w:szCs w:val="32"/>
        </w:rPr>
      </w:pPr>
      <w:r>
        <w:rPr>
          <w:rFonts w:hint="eastAsia" w:ascii="仿宋_GB2312" w:hAnsi="宋体"/>
          <w:sz w:val="32"/>
          <w:szCs w:val="32"/>
        </w:rPr>
        <w:t>质押上市公司股份比例超过所持股份80%或者被强制平仓的；</w:t>
      </w:r>
    </w:p>
    <w:p w14:paraId="0D878732">
      <w:pPr>
        <w:pStyle w:val="34"/>
        <w:numPr>
          <w:ilvl w:val="0"/>
          <w:numId w:val="11"/>
        </w:numPr>
        <w:tabs>
          <w:tab w:val="left" w:pos="709"/>
        </w:tabs>
        <w:spacing w:line="560" w:lineRule="exact"/>
        <w:ind w:left="0" w:firstLine="640"/>
        <w:rPr>
          <w:rFonts w:hint="eastAsia" w:ascii="仿宋_GB2312" w:hAnsi="宋体"/>
          <w:sz w:val="32"/>
          <w:szCs w:val="32"/>
        </w:rPr>
      </w:pPr>
      <w:r>
        <w:rPr>
          <w:rFonts w:hint="eastAsia" w:ascii="仿宋_GB2312" w:hAnsi="宋体"/>
          <w:sz w:val="32"/>
          <w:szCs w:val="32"/>
        </w:rPr>
        <w:t>本所或者保荐机构认为应当发表意见的其他情形。</w:t>
      </w:r>
    </w:p>
    <w:p w14:paraId="37E32CC6">
      <w:pPr>
        <w:pStyle w:val="34"/>
        <w:numPr>
          <w:ilvl w:val="0"/>
          <w:numId w:val="8"/>
        </w:numPr>
        <w:tabs>
          <w:tab w:val="left" w:pos="1418"/>
        </w:tabs>
        <w:spacing w:line="560" w:lineRule="exact"/>
        <w:ind w:left="0" w:firstLine="640"/>
        <w:rPr>
          <w:rFonts w:hint="eastAsia" w:ascii="仿宋_GB2312" w:hAnsi="宋体"/>
          <w:sz w:val="32"/>
          <w:szCs w:val="32"/>
        </w:rPr>
      </w:pPr>
      <w:r>
        <w:rPr>
          <w:rFonts w:hint="eastAsia" w:ascii="仿宋_GB2312" w:hAnsi="仿宋_GB2312" w:cs="仿宋_GB2312"/>
          <w:sz w:val="32"/>
          <w:szCs w:val="32"/>
        </w:rPr>
        <w:t>上市公司股票交易出现严重异常波动的</w:t>
      </w:r>
      <w:r>
        <w:rPr>
          <w:rFonts w:hint="eastAsia" w:ascii="仿宋_GB2312"/>
          <w:sz w:val="32"/>
          <w:szCs w:val="32"/>
        </w:rPr>
        <w:t>，</w:t>
      </w:r>
      <w:r>
        <w:rPr>
          <w:rFonts w:hint="eastAsia" w:ascii="仿宋_GB2312" w:hAnsi="宋体"/>
          <w:sz w:val="32"/>
          <w:szCs w:val="32"/>
        </w:rPr>
        <w:t>保荐机构、保荐代表人应当督促上市公司及时按照本规则履行信息披露义务。</w:t>
      </w:r>
    </w:p>
    <w:p w14:paraId="6E5451CD">
      <w:pPr>
        <w:pStyle w:val="34"/>
        <w:numPr>
          <w:ilvl w:val="0"/>
          <w:numId w:val="8"/>
        </w:numPr>
        <w:tabs>
          <w:tab w:val="left" w:pos="1418"/>
        </w:tabs>
        <w:spacing w:line="560" w:lineRule="exact"/>
        <w:ind w:left="0" w:firstLine="640"/>
        <w:rPr>
          <w:rFonts w:hint="eastAsia" w:ascii="仿宋_GB2312" w:hAnsi="宋体"/>
          <w:sz w:val="32"/>
          <w:szCs w:val="32"/>
        </w:rPr>
      </w:pPr>
      <w:r>
        <w:rPr>
          <w:rFonts w:hint="eastAsia" w:ascii="仿宋_GB2312" w:hAnsi="仿宋_GB2312" w:cs="仿宋_GB2312"/>
          <w:sz w:val="32"/>
          <w:szCs w:val="32"/>
        </w:rPr>
        <w:t>保荐机构、保荐代表人应当督促控股股东、实际控制人、董事、高级管理人员及核心技术人员履行其作出的股份减持承诺，关注前述主体减持公司股份是否合规、对上市公司的影响等情况。</w:t>
      </w:r>
    </w:p>
    <w:p w14:paraId="730CC245">
      <w:pPr>
        <w:pStyle w:val="34"/>
        <w:numPr>
          <w:ilvl w:val="0"/>
          <w:numId w:val="8"/>
        </w:numPr>
        <w:tabs>
          <w:tab w:val="left" w:pos="1418"/>
        </w:tabs>
        <w:spacing w:line="560" w:lineRule="exact"/>
        <w:ind w:left="0" w:firstLine="640"/>
        <w:rPr>
          <w:rFonts w:hint="eastAsia" w:ascii="仿宋_GB2312" w:hAnsi="宋体"/>
          <w:sz w:val="32"/>
          <w:szCs w:val="32"/>
        </w:rPr>
      </w:pPr>
      <w:r>
        <w:rPr>
          <w:rFonts w:hint="eastAsia" w:ascii="仿宋_GB2312" w:hAnsi="仿宋_GB2312" w:cs="仿宋_GB2312"/>
          <w:sz w:val="32"/>
          <w:szCs w:val="32"/>
        </w:rPr>
        <w:t>保荐机构、保荐代表人应当关注上市公司使用募集资金的情况，督促其合理使用募集资金并持续披露使用情况。</w:t>
      </w:r>
    </w:p>
    <w:p w14:paraId="1FE71A26">
      <w:pPr>
        <w:pStyle w:val="34"/>
        <w:numPr>
          <w:ilvl w:val="0"/>
          <w:numId w:val="8"/>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上市公司出现下列情形之一的，保荐机构、保荐代表人应当自知道或者应当知道之日起15日内进行专项现场核查：</w:t>
      </w:r>
    </w:p>
    <w:p w14:paraId="6DE6706C">
      <w:pPr>
        <w:pStyle w:val="34"/>
        <w:numPr>
          <w:ilvl w:val="0"/>
          <w:numId w:val="12"/>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存在重大财务造假嫌疑；</w:t>
      </w:r>
    </w:p>
    <w:p w14:paraId="1A940C70">
      <w:pPr>
        <w:pStyle w:val="34"/>
        <w:numPr>
          <w:ilvl w:val="0"/>
          <w:numId w:val="12"/>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控股股东、实际控制人、董事或者高级管理人员涉嫌侵占上市公司利益；</w:t>
      </w:r>
    </w:p>
    <w:p w14:paraId="57EC13B2">
      <w:pPr>
        <w:pStyle w:val="34"/>
        <w:numPr>
          <w:ilvl w:val="0"/>
          <w:numId w:val="12"/>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可能存在重大违规担保；</w:t>
      </w:r>
    </w:p>
    <w:p w14:paraId="7C8A8261">
      <w:pPr>
        <w:pStyle w:val="34"/>
        <w:numPr>
          <w:ilvl w:val="0"/>
          <w:numId w:val="12"/>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资金往来或者现金流存在重大异常；</w:t>
      </w:r>
    </w:p>
    <w:p w14:paraId="4BC1BD74">
      <w:pPr>
        <w:pStyle w:val="34"/>
        <w:numPr>
          <w:ilvl w:val="0"/>
          <w:numId w:val="12"/>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本所或者保荐机构认为应当进行现场核查的其他事项。</w:t>
      </w:r>
    </w:p>
    <w:p w14:paraId="6496E309">
      <w:pPr>
        <w:pStyle w:val="34"/>
        <w:numPr>
          <w:ilvl w:val="0"/>
          <w:numId w:val="8"/>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保荐机构进行现场核查的，应当就核查情况、提请上市公司及投资者关注的问题、本次现场核查结论等事项出具现场核查报告，并在现场核查结束后15个交易日内披露。</w:t>
      </w:r>
    </w:p>
    <w:p w14:paraId="645E8145">
      <w:pPr>
        <w:pStyle w:val="34"/>
        <w:numPr>
          <w:ilvl w:val="0"/>
          <w:numId w:val="8"/>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保荐机构应当在上市公司年度报告、半年度报告披露之日起1</w:t>
      </w:r>
      <w:r>
        <w:rPr>
          <w:rFonts w:ascii="仿宋_GB2312" w:hAnsi="宋体"/>
          <w:sz w:val="32"/>
          <w:szCs w:val="32"/>
        </w:rPr>
        <w:t>5</w:t>
      </w:r>
      <w:r>
        <w:rPr>
          <w:rFonts w:hint="eastAsia" w:ascii="仿宋_GB2312" w:hAnsi="宋体"/>
          <w:sz w:val="32"/>
          <w:szCs w:val="32"/>
        </w:rPr>
        <w:t>个交易日内，披露包括下列内容的持续督导跟踪报告：</w:t>
      </w:r>
    </w:p>
    <w:p w14:paraId="24F10504">
      <w:pPr>
        <w:pStyle w:val="34"/>
        <w:numPr>
          <w:ilvl w:val="0"/>
          <w:numId w:val="13"/>
        </w:numPr>
        <w:tabs>
          <w:tab w:val="left" w:pos="1418"/>
          <w:tab w:val="left" w:pos="1560"/>
        </w:tabs>
        <w:spacing w:line="560" w:lineRule="exact"/>
        <w:ind w:left="0" w:firstLine="640"/>
        <w:rPr>
          <w:rFonts w:hint="eastAsia" w:ascii="仿宋_GB2312" w:hAnsi="宋体"/>
          <w:sz w:val="32"/>
          <w:szCs w:val="32"/>
        </w:rPr>
      </w:pPr>
      <w:r>
        <w:rPr>
          <w:rFonts w:hint="eastAsia" w:ascii="仿宋_GB2312" w:hAnsi="宋体"/>
          <w:sz w:val="32"/>
          <w:szCs w:val="32"/>
        </w:rPr>
        <w:t>保荐机构和保荐代表人发现的问题及整改情况；</w:t>
      </w:r>
    </w:p>
    <w:p w14:paraId="09673714">
      <w:pPr>
        <w:pStyle w:val="34"/>
        <w:numPr>
          <w:ilvl w:val="0"/>
          <w:numId w:val="13"/>
        </w:numPr>
        <w:tabs>
          <w:tab w:val="left" w:pos="1418"/>
          <w:tab w:val="left" w:pos="1560"/>
        </w:tabs>
        <w:spacing w:line="560" w:lineRule="exact"/>
        <w:ind w:left="0" w:firstLine="640"/>
        <w:rPr>
          <w:rFonts w:hint="eastAsia" w:ascii="仿宋_GB2312" w:hAnsi="宋体"/>
          <w:sz w:val="32"/>
          <w:szCs w:val="32"/>
        </w:rPr>
      </w:pPr>
      <w:r>
        <w:rPr>
          <w:rFonts w:hint="eastAsia" w:ascii="仿宋_GB2312" w:hAnsi="宋体"/>
          <w:sz w:val="32"/>
          <w:szCs w:val="32"/>
        </w:rPr>
        <w:t>重大风险事项；</w:t>
      </w:r>
    </w:p>
    <w:p w14:paraId="12B5859C">
      <w:pPr>
        <w:pStyle w:val="34"/>
        <w:numPr>
          <w:ilvl w:val="0"/>
          <w:numId w:val="13"/>
        </w:numPr>
        <w:tabs>
          <w:tab w:val="left" w:pos="1418"/>
          <w:tab w:val="left" w:pos="1560"/>
        </w:tabs>
        <w:spacing w:line="560" w:lineRule="exact"/>
        <w:ind w:left="0" w:firstLine="640"/>
        <w:rPr>
          <w:rFonts w:hint="eastAsia" w:ascii="仿宋_GB2312" w:hAnsi="宋体"/>
          <w:sz w:val="32"/>
          <w:szCs w:val="32"/>
        </w:rPr>
      </w:pPr>
      <w:r>
        <w:rPr>
          <w:rFonts w:ascii="仿宋_GB2312" w:hAnsi="宋体"/>
          <w:sz w:val="32"/>
          <w:szCs w:val="32"/>
        </w:rPr>
        <w:t>重大违规事项</w:t>
      </w:r>
      <w:r>
        <w:rPr>
          <w:rFonts w:hint="eastAsia" w:ascii="仿宋_GB2312" w:hAnsi="宋体"/>
          <w:sz w:val="32"/>
          <w:szCs w:val="32"/>
        </w:rPr>
        <w:t>；</w:t>
      </w:r>
    </w:p>
    <w:p w14:paraId="75ABF853">
      <w:pPr>
        <w:pStyle w:val="34"/>
        <w:numPr>
          <w:ilvl w:val="0"/>
          <w:numId w:val="13"/>
        </w:numPr>
        <w:tabs>
          <w:tab w:val="left" w:pos="1418"/>
          <w:tab w:val="left" w:pos="1560"/>
        </w:tabs>
        <w:spacing w:line="560" w:lineRule="exact"/>
        <w:ind w:left="0" w:firstLine="640"/>
        <w:rPr>
          <w:rFonts w:hint="eastAsia" w:ascii="仿宋_GB2312" w:hAnsi="宋体"/>
          <w:sz w:val="32"/>
          <w:szCs w:val="32"/>
        </w:rPr>
      </w:pPr>
      <w:r>
        <w:rPr>
          <w:rFonts w:hint="eastAsia" w:ascii="仿宋_GB2312" w:hAnsi="宋体"/>
          <w:sz w:val="32"/>
          <w:szCs w:val="32"/>
        </w:rPr>
        <w:t>主要财务指标的变动原因及合理性；</w:t>
      </w:r>
    </w:p>
    <w:p w14:paraId="6B49DD40">
      <w:pPr>
        <w:pStyle w:val="34"/>
        <w:numPr>
          <w:ilvl w:val="0"/>
          <w:numId w:val="13"/>
        </w:numPr>
        <w:tabs>
          <w:tab w:val="left" w:pos="1418"/>
          <w:tab w:val="left" w:pos="1560"/>
        </w:tabs>
        <w:spacing w:line="560" w:lineRule="exact"/>
        <w:ind w:left="0" w:firstLine="640"/>
        <w:rPr>
          <w:rFonts w:hint="eastAsia" w:ascii="仿宋_GB2312" w:hAnsi="宋体"/>
          <w:sz w:val="32"/>
          <w:szCs w:val="32"/>
        </w:rPr>
      </w:pPr>
      <w:r>
        <w:rPr>
          <w:rFonts w:hint="eastAsia" w:ascii="仿宋_GB2312" w:hAnsi="宋体"/>
          <w:sz w:val="32"/>
          <w:szCs w:val="32"/>
        </w:rPr>
        <w:t>核心竞争力的变化情况；</w:t>
      </w:r>
    </w:p>
    <w:p w14:paraId="49BB2812">
      <w:pPr>
        <w:pStyle w:val="34"/>
        <w:numPr>
          <w:ilvl w:val="0"/>
          <w:numId w:val="13"/>
        </w:numPr>
        <w:tabs>
          <w:tab w:val="left" w:pos="1418"/>
          <w:tab w:val="left" w:pos="1560"/>
        </w:tabs>
        <w:spacing w:line="560" w:lineRule="exact"/>
        <w:ind w:left="0" w:firstLine="640"/>
        <w:rPr>
          <w:rFonts w:hint="eastAsia" w:ascii="仿宋_GB2312" w:hAnsi="宋体"/>
          <w:sz w:val="32"/>
          <w:szCs w:val="32"/>
        </w:rPr>
      </w:pPr>
      <w:r>
        <w:rPr>
          <w:rFonts w:hint="eastAsia" w:ascii="仿宋_GB2312" w:hAnsi="宋体"/>
          <w:sz w:val="32"/>
          <w:szCs w:val="32"/>
        </w:rPr>
        <w:t>研发支出变化及研发进展；</w:t>
      </w:r>
    </w:p>
    <w:p w14:paraId="71EC46BC">
      <w:pPr>
        <w:pStyle w:val="34"/>
        <w:numPr>
          <w:ilvl w:val="0"/>
          <w:numId w:val="13"/>
        </w:numPr>
        <w:tabs>
          <w:tab w:val="left" w:pos="1418"/>
          <w:tab w:val="left" w:pos="1560"/>
        </w:tabs>
        <w:spacing w:line="560" w:lineRule="exact"/>
        <w:ind w:left="0" w:firstLine="640"/>
        <w:rPr>
          <w:rFonts w:hint="eastAsia" w:ascii="仿宋_GB2312" w:hAnsi="宋体"/>
          <w:sz w:val="32"/>
          <w:szCs w:val="32"/>
        </w:rPr>
      </w:pPr>
      <w:r>
        <w:rPr>
          <w:rFonts w:hint="eastAsia" w:ascii="仿宋_GB2312" w:hAnsi="宋体"/>
          <w:sz w:val="32"/>
          <w:szCs w:val="32"/>
        </w:rPr>
        <w:t>新增业务进展是否与前期信息披露一致（如有）；</w:t>
      </w:r>
    </w:p>
    <w:p w14:paraId="57D33864">
      <w:pPr>
        <w:pStyle w:val="34"/>
        <w:numPr>
          <w:ilvl w:val="0"/>
          <w:numId w:val="13"/>
        </w:numPr>
        <w:tabs>
          <w:tab w:val="left" w:pos="1418"/>
          <w:tab w:val="left" w:pos="1560"/>
        </w:tabs>
        <w:spacing w:line="560" w:lineRule="exact"/>
        <w:ind w:left="0" w:firstLine="640"/>
        <w:rPr>
          <w:rFonts w:hint="eastAsia" w:ascii="仿宋_GB2312" w:hAnsi="宋体"/>
          <w:sz w:val="32"/>
          <w:szCs w:val="32"/>
        </w:rPr>
      </w:pPr>
      <w:r>
        <w:rPr>
          <w:rFonts w:hint="eastAsia" w:ascii="仿宋_GB2312" w:hAnsi="宋体"/>
          <w:sz w:val="32"/>
          <w:szCs w:val="32"/>
        </w:rPr>
        <w:t>募集资金的使用情况及是否合规；</w:t>
      </w:r>
    </w:p>
    <w:p w14:paraId="53C8EFEC">
      <w:pPr>
        <w:pStyle w:val="34"/>
        <w:numPr>
          <w:ilvl w:val="0"/>
          <w:numId w:val="13"/>
        </w:numPr>
        <w:tabs>
          <w:tab w:val="left" w:pos="1418"/>
          <w:tab w:val="left" w:pos="1560"/>
        </w:tabs>
        <w:spacing w:line="560" w:lineRule="exact"/>
        <w:ind w:left="0" w:firstLine="640"/>
        <w:rPr>
          <w:rFonts w:hint="eastAsia" w:ascii="仿宋_GB2312" w:hAnsi="宋体"/>
          <w:sz w:val="32"/>
          <w:szCs w:val="32"/>
        </w:rPr>
      </w:pPr>
      <w:r>
        <w:rPr>
          <w:rFonts w:hint="eastAsia" w:ascii="仿宋_GB2312" w:hAnsi="宋体"/>
          <w:sz w:val="32"/>
          <w:szCs w:val="32"/>
        </w:rPr>
        <w:t>控股股东、实际控制人、董事、高级管理人员的持股、质押、冻结及减持情况；</w:t>
      </w:r>
    </w:p>
    <w:p w14:paraId="2DCAB008">
      <w:pPr>
        <w:pStyle w:val="34"/>
        <w:numPr>
          <w:ilvl w:val="0"/>
          <w:numId w:val="13"/>
        </w:numPr>
        <w:tabs>
          <w:tab w:val="left" w:pos="1418"/>
          <w:tab w:val="left" w:pos="1560"/>
        </w:tabs>
        <w:spacing w:line="560" w:lineRule="exact"/>
        <w:ind w:left="0" w:firstLine="640"/>
        <w:rPr>
          <w:rFonts w:hint="eastAsia" w:ascii="仿宋_GB2312" w:hAnsi="宋体"/>
          <w:sz w:val="32"/>
          <w:szCs w:val="32"/>
        </w:rPr>
      </w:pPr>
      <w:r>
        <w:rPr>
          <w:rFonts w:hint="eastAsia" w:ascii="仿宋_GB2312" w:hAnsi="宋体"/>
          <w:sz w:val="32"/>
          <w:szCs w:val="32"/>
        </w:rPr>
        <w:t>本所或者保荐机构认为应当发表意见的其他事项。</w:t>
      </w:r>
    </w:p>
    <w:p w14:paraId="29BEE248">
      <w:pPr>
        <w:tabs>
          <w:tab w:val="left" w:pos="1418"/>
          <w:tab w:val="left" w:pos="1560"/>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上市公司未实现盈利、业绩由盈转亏、营业收入与上年同期相比下降50%以上或者其他主要财务指标异常的，保荐机构应当在持续督导跟踪报告显著位置就上市公司是否存在重大风险发表结论性意见。</w:t>
      </w:r>
    </w:p>
    <w:p w14:paraId="1DE5A335">
      <w:pPr>
        <w:pStyle w:val="34"/>
        <w:numPr>
          <w:ilvl w:val="0"/>
          <w:numId w:val="8"/>
        </w:numPr>
        <w:tabs>
          <w:tab w:val="left" w:pos="1418"/>
        </w:tabs>
        <w:spacing w:line="560" w:lineRule="exact"/>
        <w:ind w:left="0" w:firstLine="640"/>
        <w:rPr>
          <w:rFonts w:hint="eastAsia" w:ascii="仿宋_GB2312" w:hAnsi="宋体"/>
          <w:sz w:val="32"/>
          <w:szCs w:val="32"/>
        </w:rPr>
      </w:pPr>
      <w:r>
        <w:rPr>
          <w:rFonts w:hint="eastAsia" w:ascii="仿宋_GB2312" w:hAnsi="黑体"/>
          <w:sz w:val="32"/>
          <w:szCs w:val="32"/>
        </w:rPr>
        <w:t>持续督导工作结束后，保荐机构应当在上市公司年度报告披露之日起的10个交易日内依据中国证监会和本所相关规定，向中国证监会和本所报送保荐总结报告书并披露。</w:t>
      </w:r>
    </w:p>
    <w:p w14:paraId="77CF1655">
      <w:pPr>
        <w:tabs>
          <w:tab w:val="left" w:pos="1418"/>
        </w:tabs>
        <w:spacing w:line="560" w:lineRule="exact"/>
        <w:ind w:firstLine="640" w:firstLineChars="200"/>
        <w:rPr>
          <w:rFonts w:hint="eastAsia" w:ascii="仿宋_GB2312" w:hAnsi="宋体" w:eastAsia="仿宋_GB2312"/>
          <w:sz w:val="32"/>
          <w:szCs w:val="32"/>
        </w:rPr>
      </w:pPr>
    </w:p>
    <w:p w14:paraId="15A17C71">
      <w:pPr>
        <w:pStyle w:val="81"/>
        <w:ind w:firstLine="643"/>
        <w:rPr>
          <w:rFonts w:hint="eastAsia"/>
          <w:b/>
          <w:bCs/>
        </w:rPr>
      </w:pPr>
      <w:bookmarkStart w:id="89" w:name="_Toc170284224"/>
      <w:bookmarkStart w:id="90" w:name="_Toc27186"/>
      <w:bookmarkStart w:id="91" w:name="_Toc14236"/>
      <w:r>
        <w:rPr>
          <w:rFonts w:hint="eastAsia"/>
          <w:b/>
          <w:bCs/>
        </w:rPr>
        <w:t>内部治理</w:t>
      </w:r>
      <w:bookmarkEnd w:id="89"/>
      <w:bookmarkEnd w:id="90"/>
      <w:bookmarkEnd w:id="91"/>
    </w:p>
    <w:p w14:paraId="1BA2CD26">
      <w:pPr>
        <w:pStyle w:val="36"/>
        <w:numPr>
          <w:ilvl w:val="1"/>
          <w:numId w:val="1"/>
        </w:numPr>
        <w:ind w:left="0" w:firstLine="643"/>
        <w:rPr>
          <w:rFonts w:hint="eastAsia"/>
        </w:rPr>
      </w:pPr>
      <w:bookmarkStart w:id="92" w:name="_Toc31634"/>
      <w:bookmarkStart w:id="93" w:name="_Toc170284225"/>
      <w:bookmarkStart w:id="94" w:name="_Toc29126"/>
      <w:r>
        <w:rPr>
          <w:rFonts w:hint="eastAsia"/>
        </w:rPr>
        <w:t>控股股东及实际控制人</w:t>
      </w:r>
      <w:bookmarkEnd w:id="92"/>
      <w:bookmarkEnd w:id="93"/>
      <w:bookmarkEnd w:id="94"/>
    </w:p>
    <w:p w14:paraId="7EB3B6A9">
      <w:pPr>
        <w:numPr>
          <w:ilvl w:val="1"/>
          <w:numId w:val="14"/>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上市公司控股股东、实际控制人应当诚实守信，规范行使权利，严格履行承诺，维护上市公司和全体股东的共同利益。</w:t>
      </w:r>
    </w:p>
    <w:p w14:paraId="0860F333">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控股股东、实际控制人应当履行信息披露义务，并保证披露信息的真实、准确、完整、及时、公平，不得有虚假记载、误导性陈述或者重大遗漏。</w:t>
      </w:r>
    </w:p>
    <w:p w14:paraId="19979057">
      <w:pPr>
        <w:numPr>
          <w:ilvl w:val="1"/>
          <w:numId w:val="14"/>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应当在公司股票首次上市前或者控制权变更完成后1个月内，正式签署并向本所提交《控股股东、实际控制人声明及承诺书》。声明事项发生重大变化的，应当在5个交易日内更新并提交。</w:t>
      </w:r>
    </w:p>
    <w:p w14:paraId="535E7437">
      <w:pPr>
        <w:tabs>
          <w:tab w:val="left" w:pos="0"/>
          <w:tab w:val="left" w:pos="1560"/>
        </w:tabs>
        <w:autoSpaceDE w:val="0"/>
        <w:autoSpaceDN w:val="0"/>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签署《控股股东、实际控制人声明及承诺书》时，应当由律师见证。</w:t>
      </w:r>
    </w:p>
    <w:p w14:paraId="2433CEA2">
      <w:pPr>
        <w:numPr>
          <w:ilvl w:val="1"/>
          <w:numId w:val="14"/>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上市公司控股股东、实际控制人应当维护上市公司独立性，按照上市公司的决策程序行使权利。</w:t>
      </w:r>
    </w:p>
    <w:p w14:paraId="60A5608E">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控股股东、实际控制人及其关联方不得违反法律法规和公司章程，直接或间接干预公司决策和经营活动，损害公司及其他股东合法权益。</w:t>
      </w:r>
    </w:p>
    <w:p w14:paraId="6C28F7EE">
      <w:pPr>
        <w:numPr>
          <w:ilvl w:val="1"/>
          <w:numId w:val="14"/>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上市公司控股股东、实际控制人不得通过关联交易、资金占用、担保、利润分配、资产重组、对外投资等方式损害上市公司利益，侵害上市公司财产权利，谋取上市公司商业机会。</w:t>
      </w:r>
    </w:p>
    <w:p w14:paraId="20A32920">
      <w:pPr>
        <w:numPr>
          <w:ilvl w:val="1"/>
          <w:numId w:val="14"/>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上市公司控股股东、实际控制人应当积极配合上市公司履行信息披露义务，不得要求或者协助上市公司隐瞒重要信息。</w:t>
      </w:r>
    </w:p>
    <w:p w14:paraId="6660A2D5">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上市公司控股股东、实际控制人收到公司问询的，应当及时了解情况并回复，保证回复内容真实、准确和完整。</w:t>
      </w:r>
    </w:p>
    <w:p w14:paraId="209CD15D">
      <w:pPr>
        <w:numPr>
          <w:ilvl w:val="1"/>
          <w:numId w:val="14"/>
        </w:numPr>
        <w:tabs>
          <w:tab w:val="left" w:pos="0"/>
          <w:tab w:val="left" w:pos="1560"/>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eastAsia="仿宋_GB2312"/>
          <w:sz w:val="32"/>
          <w:szCs w:val="32"/>
        </w:rPr>
        <w:t>上市公司应当根据股权结构、董事和高级管理人员的提名任免以及其他内部治理情况，客观、审慎地认定控制权归属。</w:t>
      </w:r>
      <w:r>
        <w:rPr>
          <w:rFonts w:hint="eastAsia" w:ascii="仿宋_GB2312" w:hAnsi="宋体" w:eastAsia="仿宋_GB2312"/>
          <w:sz w:val="32"/>
          <w:szCs w:val="32"/>
        </w:rPr>
        <w:t>具有下列情形之一的，构成控制：</w:t>
      </w:r>
    </w:p>
    <w:p w14:paraId="7E426C29">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（一）持有上市公司超过50%的股份，但是有相反证据的除外；</w:t>
      </w:r>
    </w:p>
    <w:p w14:paraId="45F1EE3D">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（二）实际支配上市公司股份表决权超过30%；</w:t>
      </w:r>
    </w:p>
    <w:p w14:paraId="67AB50B1">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（三）通过实际支配上市公司股份表决权能够决定董事会半数以上成员的任免；</w:t>
      </w:r>
    </w:p>
    <w:p w14:paraId="6102B5C7">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（四）依其可实际支配的上市公司股份表决权足以对公司股东会的决议产生重大影响；</w:t>
      </w:r>
    </w:p>
    <w:p w14:paraId="7301C52B">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（五）可以实际支配或者决定上市公司的重大经营决策、重要人事任命等事项；</w:t>
      </w:r>
    </w:p>
    <w:p w14:paraId="55B6EE40">
      <w:pPr>
        <w:spacing w:line="560" w:lineRule="exact"/>
        <w:ind w:firstLine="640" w:firstLineChars="200"/>
        <w:rPr>
          <w:rFonts w:ascii="仿宋_GB2312" w:eastAsia="仿宋_GB2312"/>
          <w:sz w:val="32"/>
          <w:szCs w:val="32"/>
        </w:rPr>
      </w:pPr>
      <w:r>
        <w:rPr>
          <w:rFonts w:hint="eastAsia" w:ascii="仿宋_GB2312" w:hAnsi="宋体" w:eastAsia="仿宋_GB2312"/>
          <w:kern w:val="28"/>
          <w:sz w:val="32"/>
          <w:szCs w:val="32"/>
        </w:rPr>
        <w:t>（六）中国证监会和本所认定的其他情形。</w:t>
      </w:r>
    </w:p>
    <w:p w14:paraId="502125BE">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签署一致行动协议共同控制上市公司的，应当在协议中明确共同控制安排及解除机制。</w:t>
      </w:r>
    </w:p>
    <w:p w14:paraId="38524CB0">
      <w:pPr>
        <w:numPr>
          <w:ilvl w:val="1"/>
          <w:numId w:val="14"/>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上市公司控股股东、实际控制人转让控制权的，应当保证公平合理，不得损害上市公司和其他股东的合法权益。</w:t>
      </w:r>
    </w:p>
    <w:p w14:paraId="649C43DA">
      <w:pPr>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控股股东、实际控制人转让控制权前存在下列情形的，应当予以解决：</w:t>
      </w:r>
    </w:p>
    <w:p w14:paraId="6A885169">
      <w:pPr>
        <w:spacing w:line="560" w:lineRule="exact"/>
        <w:ind w:firstLine="640" w:firstLineChars="200"/>
        <w:rPr>
          <w:rFonts w:ascii="仿宋_GB2312" w:eastAsia="仿宋_GB2312"/>
          <w:sz w:val="32"/>
          <w:szCs w:val="32"/>
        </w:rPr>
      </w:pPr>
      <w:r>
        <w:rPr>
          <w:rFonts w:hint="eastAsia" w:ascii="仿宋_GB2312" w:eastAsia="仿宋_GB2312"/>
          <w:sz w:val="32"/>
          <w:szCs w:val="32"/>
        </w:rPr>
        <w:t>（一）违规占用上市公司资金；</w:t>
      </w:r>
    </w:p>
    <w:p w14:paraId="746E47AD">
      <w:pPr>
        <w:spacing w:line="560" w:lineRule="exact"/>
        <w:ind w:firstLine="640" w:firstLineChars="200"/>
        <w:rPr>
          <w:rFonts w:ascii="仿宋_GB2312" w:eastAsia="仿宋_GB2312"/>
          <w:sz w:val="32"/>
          <w:szCs w:val="32"/>
        </w:rPr>
      </w:pPr>
      <w:r>
        <w:rPr>
          <w:rFonts w:hint="eastAsia" w:ascii="仿宋_GB2312" w:eastAsia="仿宋_GB2312"/>
          <w:sz w:val="32"/>
          <w:szCs w:val="32"/>
        </w:rPr>
        <w:t>（二）未清偿对上市公司债务或者未解除上市公司为其提供的担保；</w:t>
      </w:r>
    </w:p>
    <w:p w14:paraId="25F65A01">
      <w:pPr>
        <w:spacing w:line="560" w:lineRule="exact"/>
        <w:ind w:firstLine="640" w:firstLineChars="200"/>
        <w:rPr>
          <w:rFonts w:ascii="仿宋_GB2312" w:eastAsia="仿宋_GB2312"/>
          <w:sz w:val="32"/>
          <w:szCs w:val="32"/>
        </w:rPr>
      </w:pPr>
      <w:r>
        <w:rPr>
          <w:rFonts w:hint="eastAsia" w:ascii="仿宋_GB2312" w:eastAsia="仿宋_GB2312"/>
          <w:sz w:val="32"/>
          <w:szCs w:val="32"/>
        </w:rPr>
        <w:t>（三）对上市公司或者其他股东的承诺未履行完毕；</w:t>
      </w:r>
    </w:p>
    <w:p w14:paraId="4FBD4167">
      <w:pPr>
        <w:spacing w:line="560" w:lineRule="exact"/>
        <w:ind w:firstLine="640" w:firstLineChars="200"/>
        <w:rPr>
          <w:rFonts w:ascii="仿宋_GB2312" w:eastAsia="仿宋_GB2312"/>
          <w:sz w:val="32"/>
          <w:szCs w:val="32"/>
        </w:rPr>
      </w:pPr>
      <w:r>
        <w:rPr>
          <w:rFonts w:hint="eastAsia" w:ascii="仿宋_GB2312" w:eastAsia="仿宋_GB2312"/>
          <w:sz w:val="32"/>
          <w:szCs w:val="32"/>
        </w:rPr>
        <w:t>（四）对上市公司或者中小股东利益存在重大不利影响的其他事项。</w:t>
      </w:r>
    </w:p>
    <w:p w14:paraId="2313369F">
      <w:pPr>
        <w:numPr>
          <w:ilvl w:val="1"/>
          <w:numId w:val="14"/>
        </w:numPr>
        <w:tabs>
          <w:tab w:val="left" w:pos="0"/>
          <w:tab w:val="left" w:pos="156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持有上市公司5%以上股份的契约型基金、信托计划或资产管理计划，应当在权益变动文件中披露支配股份表决权的主体，以及该主体与上市公司控股股东、实际控制人是否存在关联关系。</w:t>
      </w:r>
    </w:p>
    <w:p w14:paraId="5C8E9A8F">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契约型基金、信托计划或资产管理计划成为上市公司控股股东、第一大股东或者实际控制人的，除应当履行前款规定义务外，还应当在权益变动文件中穿透披露至最终投资者。</w:t>
      </w:r>
    </w:p>
    <w:p w14:paraId="013C904A">
      <w:pPr>
        <w:numPr>
          <w:ilvl w:val="1"/>
          <w:numId w:val="14"/>
        </w:numPr>
        <w:tabs>
          <w:tab w:val="left" w:pos="0"/>
          <w:tab w:val="left" w:pos="1560"/>
          <w:tab w:val="left" w:pos="1843"/>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上市公司控股股东、实际控制人应当严格履行承诺，并披露承诺履行情况。承诺事项无法按期履行或者履行承诺将不利于维护公司权益的，承诺方应当立即告知上市公司，提出有效的解决措施，并予以披露。</w:t>
      </w:r>
    </w:p>
    <w:p w14:paraId="7F7B8870">
      <w:pPr>
        <w:tabs>
          <w:tab w:val="left" w:pos="0"/>
          <w:tab w:val="left" w:pos="1560"/>
          <w:tab w:val="left" w:pos="1843"/>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控股股东、实际控制人拟变更承诺的，应当按照中国证监会和本所有关规定履行相应决策程序。</w:t>
      </w:r>
    </w:p>
    <w:p w14:paraId="7EFEB7C5">
      <w:pPr>
        <w:pStyle w:val="36"/>
        <w:numPr>
          <w:ilvl w:val="1"/>
          <w:numId w:val="1"/>
        </w:numPr>
        <w:ind w:left="0" w:firstLine="643"/>
        <w:rPr>
          <w:rFonts w:hint="eastAsia"/>
        </w:rPr>
      </w:pPr>
      <w:bookmarkStart w:id="95" w:name="_Toc170284226"/>
      <w:bookmarkStart w:id="96" w:name="_Toc4365"/>
      <w:bookmarkStart w:id="97" w:name="_Toc27013"/>
      <w:r>
        <w:rPr>
          <w:rFonts w:hint="eastAsia"/>
        </w:rPr>
        <w:t>董事、高级管理人员</w:t>
      </w:r>
      <w:bookmarkEnd w:id="95"/>
      <w:bookmarkEnd w:id="96"/>
      <w:bookmarkEnd w:id="97"/>
    </w:p>
    <w:p w14:paraId="1FD71D52">
      <w:pPr>
        <w:pStyle w:val="34"/>
        <w:numPr>
          <w:ilvl w:val="0"/>
          <w:numId w:val="15"/>
        </w:numPr>
        <w:spacing w:line="560" w:lineRule="exact"/>
        <w:ind w:left="0" w:firstLine="640"/>
        <w:rPr>
          <w:rFonts w:hint="eastAsia" w:ascii="仿宋_GB2312" w:hAnsi="宋体"/>
          <w:sz w:val="32"/>
          <w:szCs w:val="32"/>
        </w:rPr>
      </w:pPr>
      <w:r>
        <w:rPr>
          <w:rFonts w:hint="eastAsia" w:ascii="仿宋_GB2312" w:hAnsi="宋体"/>
          <w:sz w:val="32"/>
          <w:szCs w:val="32"/>
        </w:rPr>
        <w:t>上市公司董事、高级管理人员应当履行忠实、勤勉义务，严格遵守承诺，维护上市公司和全体股东利益。</w:t>
      </w:r>
    </w:p>
    <w:p w14:paraId="5F4C0312">
      <w:pPr>
        <w:pStyle w:val="34"/>
        <w:spacing w:line="560" w:lineRule="exact"/>
        <w:ind w:firstLine="640"/>
        <w:rPr>
          <w:rFonts w:hint="eastAsia" w:ascii="仿宋_GB2312" w:hAnsi="宋体"/>
          <w:sz w:val="32"/>
          <w:szCs w:val="32"/>
        </w:rPr>
      </w:pPr>
      <w:r>
        <w:rPr>
          <w:rFonts w:hint="eastAsia" w:ascii="仿宋_GB2312" w:hAnsi="宋体"/>
          <w:sz w:val="32"/>
          <w:szCs w:val="32"/>
        </w:rPr>
        <w:t>独立董事应当在董事会中发挥参与决策、监督制衡、专业咨询作用。</w:t>
      </w:r>
    </w:p>
    <w:p w14:paraId="71C6A9FD">
      <w:pPr>
        <w:pStyle w:val="34"/>
        <w:numPr>
          <w:ilvl w:val="0"/>
          <w:numId w:val="15"/>
        </w:numPr>
        <w:spacing w:line="560" w:lineRule="exact"/>
        <w:ind w:left="0" w:firstLine="640"/>
        <w:rPr>
          <w:rFonts w:hint="eastAsia" w:ascii="仿宋_GB2312" w:hAnsi="宋体"/>
          <w:sz w:val="32"/>
          <w:szCs w:val="32"/>
        </w:rPr>
      </w:pPr>
      <w:r>
        <w:rPr>
          <w:rFonts w:hint="eastAsia" w:ascii="仿宋_GB2312" w:hAnsi="宋体"/>
          <w:sz w:val="32"/>
          <w:szCs w:val="32"/>
        </w:rPr>
        <w:t>上市公司董事、高级管理人员应当在公司股票首次上市前，新任董事、高级管理人员应当在任职后1个月内，签署并向本所提交《董事（高级管理人员）声明及承诺书》。声明事项发生重大变化的（持有本公司股票的情况除外），董事、高级管理人员应当在5个交易日内更新并提交。</w:t>
      </w:r>
    </w:p>
    <w:p w14:paraId="6BE3F10B">
      <w:pPr>
        <w:spacing w:line="560" w:lineRule="exact"/>
        <w:ind w:firstLine="640" w:firstLineChars="200"/>
        <w:rPr>
          <w:rFonts w:hint="eastAsia" w:ascii="仿宋_GB2312" w:hAnsi="宋体" w:eastAsia="仿宋_GB2312"/>
          <w:sz w:val="32"/>
          <w:szCs w:val="32"/>
        </w:rPr>
      </w:pPr>
      <w:r>
        <w:rPr>
          <w:rFonts w:hint="eastAsia" w:ascii="仿宋_GB2312" w:eastAsia="仿宋_GB2312"/>
          <w:kern w:val="0"/>
          <w:sz w:val="32"/>
          <w:szCs w:val="32"/>
        </w:rPr>
        <w:t>签署《</w:t>
      </w:r>
      <w:r>
        <w:rPr>
          <w:rFonts w:hint="eastAsia" w:ascii="仿宋_GB2312" w:hAnsi="宋体" w:eastAsia="仿宋_GB2312"/>
          <w:sz w:val="32"/>
          <w:szCs w:val="32"/>
        </w:rPr>
        <w:t>董事（高级管理人员）声明及承诺书</w:t>
      </w:r>
      <w:r>
        <w:rPr>
          <w:rFonts w:hint="eastAsia" w:ascii="仿宋_GB2312" w:eastAsia="仿宋_GB2312"/>
          <w:kern w:val="0"/>
          <w:sz w:val="32"/>
          <w:szCs w:val="32"/>
        </w:rPr>
        <w:t>》时，应当由律师见证。</w:t>
      </w:r>
    </w:p>
    <w:p w14:paraId="35236DB9">
      <w:pPr>
        <w:pStyle w:val="34"/>
        <w:numPr>
          <w:ilvl w:val="0"/>
          <w:numId w:val="15"/>
        </w:numPr>
        <w:tabs>
          <w:tab w:val="left" w:pos="1560"/>
        </w:tabs>
        <w:spacing w:line="560" w:lineRule="exact"/>
        <w:ind w:left="0" w:firstLine="640"/>
        <w:rPr>
          <w:rFonts w:hint="eastAsia" w:ascii="仿宋_GB2312" w:hAnsi="黑体"/>
          <w:sz w:val="32"/>
          <w:szCs w:val="32"/>
        </w:rPr>
      </w:pPr>
      <w:r>
        <w:rPr>
          <w:rFonts w:hint="eastAsia" w:ascii="仿宋_GB2312" w:hAnsi="黑体"/>
          <w:sz w:val="32"/>
          <w:szCs w:val="32"/>
        </w:rPr>
        <w:t>上市公司董事对公司负有忠实义务，应当采取措施避免自身利益与公司利益冲突，不得利用职权牟取不正当利益。</w:t>
      </w:r>
    </w:p>
    <w:p w14:paraId="708514BD">
      <w:pPr>
        <w:pStyle w:val="34"/>
        <w:tabs>
          <w:tab w:val="left" w:pos="1560"/>
        </w:tabs>
        <w:spacing w:line="560" w:lineRule="exact"/>
        <w:ind w:firstLine="640"/>
        <w:rPr>
          <w:rFonts w:hint="eastAsia" w:ascii="仿宋_GB2312" w:hAnsi="黑体"/>
          <w:sz w:val="32"/>
          <w:szCs w:val="32"/>
        </w:rPr>
      </w:pPr>
      <w:r>
        <w:rPr>
          <w:rFonts w:hint="eastAsia" w:ascii="仿宋_GB2312" w:hAnsi="黑体"/>
          <w:sz w:val="32"/>
          <w:szCs w:val="32"/>
        </w:rPr>
        <w:t>上市公司</w:t>
      </w:r>
      <w:r>
        <w:rPr>
          <w:rFonts w:hint="eastAsia" w:ascii="仿宋_GB2312" w:hAnsi="宋体"/>
          <w:sz w:val="32"/>
          <w:szCs w:val="32"/>
        </w:rPr>
        <w:t>董事应当履行下列忠实义务，维护上市公司利益：</w:t>
      </w:r>
    </w:p>
    <w:p w14:paraId="44975A53">
      <w:pPr>
        <w:pStyle w:val="34"/>
        <w:numPr>
          <w:ilvl w:val="3"/>
          <w:numId w:val="1"/>
        </w:numPr>
        <w:tabs>
          <w:tab w:val="left" w:pos="0"/>
          <w:tab w:val="left" w:pos="1560"/>
          <w:tab w:val="clear" w:pos="1980"/>
        </w:tabs>
        <w:autoSpaceDE w:val="0"/>
        <w:autoSpaceDN w:val="0"/>
        <w:snapToGrid w:val="0"/>
        <w:spacing w:line="560" w:lineRule="exact"/>
        <w:ind w:left="0" w:firstLine="640"/>
        <w:rPr>
          <w:rFonts w:hint="eastAsia" w:ascii="仿宋_GB2312" w:hAnsi="宋体"/>
          <w:sz w:val="32"/>
          <w:szCs w:val="32"/>
        </w:rPr>
      </w:pPr>
      <w:r>
        <w:rPr>
          <w:rFonts w:hint="eastAsia" w:ascii="仿宋_GB2312" w:hAnsi="宋体"/>
          <w:sz w:val="32"/>
          <w:szCs w:val="32"/>
        </w:rPr>
        <w:t>维护上市公司及全体股东利益，不得为实际控制人、股东、员工、本人或者其他第三方的利益损害上市公司利益；</w:t>
      </w:r>
    </w:p>
    <w:p w14:paraId="5DD1C0BB">
      <w:pPr>
        <w:pStyle w:val="34"/>
        <w:numPr>
          <w:ilvl w:val="3"/>
          <w:numId w:val="1"/>
        </w:numPr>
        <w:tabs>
          <w:tab w:val="left" w:pos="0"/>
          <w:tab w:val="left" w:pos="1560"/>
          <w:tab w:val="clear" w:pos="1980"/>
        </w:tabs>
        <w:autoSpaceDE w:val="0"/>
        <w:autoSpaceDN w:val="0"/>
        <w:snapToGrid w:val="0"/>
        <w:spacing w:line="560" w:lineRule="exact"/>
        <w:ind w:left="0" w:firstLine="640"/>
        <w:rPr>
          <w:rFonts w:hint="eastAsia" w:ascii="仿宋_GB2312" w:hAnsi="宋体"/>
          <w:sz w:val="32"/>
          <w:szCs w:val="32"/>
        </w:rPr>
      </w:pPr>
      <w:r>
        <w:rPr>
          <w:rFonts w:hint="eastAsia" w:ascii="仿宋_GB2312" w:hAnsi="宋体"/>
          <w:sz w:val="32"/>
          <w:szCs w:val="32"/>
        </w:rPr>
        <w:t>未向董事会或者股东会报告，并按照章程规定经董事会或者股东会决议通过，不得直接或者间接与本公司订立合同或者进行交易；</w:t>
      </w:r>
    </w:p>
    <w:p w14:paraId="03A3409D">
      <w:pPr>
        <w:pStyle w:val="34"/>
        <w:numPr>
          <w:ilvl w:val="3"/>
          <w:numId w:val="1"/>
        </w:numPr>
        <w:tabs>
          <w:tab w:val="left" w:pos="0"/>
          <w:tab w:val="left" w:pos="1560"/>
          <w:tab w:val="clear" w:pos="1980"/>
        </w:tabs>
        <w:autoSpaceDE w:val="0"/>
        <w:autoSpaceDN w:val="0"/>
        <w:snapToGrid w:val="0"/>
        <w:spacing w:line="560" w:lineRule="exact"/>
        <w:ind w:left="0" w:firstLine="640"/>
        <w:rPr>
          <w:rFonts w:hint="eastAsia" w:ascii="仿宋_GB2312" w:hAnsi="宋体"/>
          <w:sz w:val="32"/>
          <w:szCs w:val="32"/>
        </w:rPr>
      </w:pPr>
      <w:r>
        <w:rPr>
          <w:rFonts w:hint="eastAsia" w:ascii="仿宋_GB2312" w:hAnsi="宋体"/>
          <w:sz w:val="32"/>
          <w:szCs w:val="32"/>
        </w:rPr>
        <w:t>不得利用职务便利，为自己或他人谋取属于公司的商业机会，但向董事会或者股东会报告并经股东会决议通过，或者根据法律、行政法规或者章程的规定，公司不能利用该商业机会的除外；</w:t>
      </w:r>
    </w:p>
    <w:p w14:paraId="4F944C06">
      <w:pPr>
        <w:pStyle w:val="34"/>
        <w:numPr>
          <w:ilvl w:val="3"/>
          <w:numId w:val="1"/>
        </w:numPr>
        <w:tabs>
          <w:tab w:val="left" w:pos="0"/>
          <w:tab w:val="left" w:pos="1560"/>
          <w:tab w:val="clear" w:pos="1980"/>
        </w:tabs>
        <w:autoSpaceDE w:val="0"/>
        <w:autoSpaceDN w:val="0"/>
        <w:snapToGrid w:val="0"/>
        <w:spacing w:line="560" w:lineRule="exact"/>
        <w:ind w:left="0" w:firstLine="640"/>
        <w:rPr>
          <w:rFonts w:hint="eastAsia" w:ascii="仿宋_GB2312" w:hAnsi="宋体"/>
          <w:sz w:val="32"/>
          <w:szCs w:val="32"/>
        </w:rPr>
      </w:pPr>
      <w:r>
        <w:rPr>
          <w:rFonts w:hint="eastAsia" w:ascii="仿宋_GB2312" w:hAnsi="宋体"/>
          <w:sz w:val="32"/>
          <w:szCs w:val="32"/>
        </w:rPr>
        <w:t>未向董事会或者股东会报告，并经股东会决议通过，不得自营或者为他人经营与本公司同类的业务；</w:t>
      </w:r>
    </w:p>
    <w:p w14:paraId="0F26666D">
      <w:pPr>
        <w:pStyle w:val="34"/>
        <w:numPr>
          <w:ilvl w:val="3"/>
          <w:numId w:val="1"/>
        </w:numPr>
        <w:tabs>
          <w:tab w:val="left" w:pos="0"/>
          <w:tab w:val="left" w:pos="1560"/>
          <w:tab w:val="clear" w:pos="1980"/>
        </w:tabs>
        <w:autoSpaceDE w:val="0"/>
        <w:autoSpaceDN w:val="0"/>
        <w:snapToGrid w:val="0"/>
        <w:spacing w:line="560" w:lineRule="exact"/>
        <w:ind w:left="0" w:firstLine="640"/>
        <w:rPr>
          <w:rFonts w:hint="eastAsia" w:ascii="仿宋_GB2312" w:hAnsi="宋体"/>
          <w:sz w:val="32"/>
          <w:szCs w:val="32"/>
        </w:rPr>
      </w:pPr>
      <w:r>
        <w:rPr>
          <w:rFonts w:hint="eastAsia" w:ascii="仿宋_GB2312" w:hAnsi="宋体"/>
          <w:sz w:val="32"/>
          <w:szCs w:val="32"/>
        </w:rPr>
        <w:t>保守商业秘密，不得泄露尚未披露的重大信息，不得利用内幕信息获取不法利益，离职后履行与公司约定的竞业禁止义务；</w:t>
      </w:r>
    </w:p>
    <w:p w14:paraId="2892DF44">
      <w:pPr>
        <w:pStyle w:val="34"/>
        <w:numPr>
          <w:ilvl w:val="3"/>
          <w:numId w:val="1"/>
        </w:numPr>
        <w:tabs>
          <w:tab w:val="left" w:pos="0"/>
          <w:tab w:val="clear" w:pos="1980"/>
        </w:tabs>
        <w:autoSpaceDE w:val="0"/>
        <w:autoSpaceDN w:val="0"/>
        <w:snapToGrid w:val="0"/>
        <w:spacing w:line="560" w:lineRule="exact"/>
        <w:ind w:left="0" w:firstLine="640"/>
        <w:rPr>
          <w:rFonts w:hint="eastAsia" w:ascii="仿宋_GB2312" w:hAnsi="宋体"/>
          <w:sz w:val="32"/>
          <w:szCs w:val="32"/>
        </w:rPr>
      </w:pPr>
      <w:r>
        <w:rPr>
          <w:rFonts w:hint="eastAsia" w:ascii="仿宋_GB2312" w:hAnsi="宋体"/>
          <w:sz w:val="32"/>
          <w:szCs w:val="32"/>
        </w:rPr>
        <w:t xml:space="preserve">法律法规、本规则以及本所其他规定、公司章程规定的其他忠实义务。 </w:t>
      </w:r>
    </w:p>
    <w:p w14:paraId="19F512D9">
      <w:pPr>
        <w:pStyle w:val="34"/>
        <w:spacing w:line="560" w:lineRule="exact"/>
        <w:ind w:firstLine="640"/>
        <w:rPr>
          <w:rFonts w:hint="eastAsia" w:ascii="仿宋_GB2312" w:hAnsi="宋体"/>
          <w:sz w:val="32"/>
          <w:szCs w:val="32"/>
        </w:rPr>
      </w:pPr>
      <w:r>
        <w:rPr>
          <w:rFonts w:hint="eastAsia" w:ascii="仿宋_GB2312" w:hAnsi="宋体"/>
          <w:sz w:val="32"/>
          <w:szCs w:val="32"/>
        </w:rPr>
        <w:t>董事、高级管理人员的近亲属，董事、高级管理人员或者其近亲属直接或者间接控制的企业，以及与董事、高级管理人员有其他关联关系的关联人，与公司订立合同或者进行交易，适用前款第二项规定。</w:t>
      </w:r>
    </w:p>
    <w:p w14:paraId="66D2AD4E">
      <w:pPr>
        <w:pStyle w:val="34"/>
        <w:numPr>
          <w:ilvl w:val="0"/>
          <w:numId w:val="15"/>
        </w:numPr>
        <w:spacing w:line="560" w:lineRule="exact"/>
        <w:ind w:left="0" w:firstLine="640"/>
        <w:rPr>
          <w:rFonts w:hint="eastAsia" w:ascii="仿宋_GB2312" w:hAnsi="宋体"/>
          <w:sz w:val="32"/>
          <w:szCs w:val="32"/>
        </w:rPr>
      </w:pPr>
      <w:r>
        <w:rPr>
          <w:rFonts w:hint="eastAsia" w:ascii="仿宋_GB2312" w:hAnsi="宋体"/>
          <w:sz w:val="32"/>
          <w:szCs w:val="32"/>
        </w:rPr>
        <w:t>上市公司董事对公司负有勤勉义务，执行职务应当为公司的最大利益尽到管理者通常应有的合理注意。</w:t>
      </w:r>
    </w:p>
    <w:p w14:paraId="1F21E591">
      <w:pPr>
        <w:pStyle w:val="34"/>
        <w:spacing w:line="560" w:lineRule="exact"/>
        <w:ind w:firstLine="640"/>
        <w:rPr>
          <w:rFonts w:hint="eastAsia" w:ascii="仿宋_GB2312" w:hAnsi="宋体"/>
          <w:sz w:val="32"/>
          <w:szCs w:val="32"/>
        </w:rPr>
      </w:pPr>
      <w:r>
        <w:rPr>
          <w:rFonts w:hint="eastAsia" w:ascii="仿宋_GB2312" w:hAnsi="宋体"/>
          <w:sz w:val="32"/>
          <w:szCs w:val="32"/>
        </w:rPr>
        <w:t>上市公司董事应当履行下列勤勉义务，不得怠于履行职责：</w:t>
      </w:r>
    </w:p>
    <w:p w14:paraId="15E5D55D">
      <w:pPr>
        <w:pStyle w:val="34"/>
        <w:numPr>
          <w:ilvl w:val="0"/>
          <w:numId w:val="16"/>
        </w:numPr>
        <w:tabs>
          <w:tab w:val="left" w:pos="1418"/>
          <w:tab w:val="left" w:pos="1560"/>
        </w:tabs>
        <w:autoSpaceDE w:val="0"/>
        <w:autoSpaceDN w:val="0"/>
        <w:snapToGrid w:val="0"/>
        <w:spacing w:line="560" w:lineRule="exact"/>
        <w:ind w:left="0" w:firstLine="640"/>
        <w:rPr>
          <w:rFonts w:hint="eastAsia" w:ascii="仿宋_GB2312" w:hAnsi="宋体"/>
          <w:sz w:val="32"/>
          <w:szCs w:val="32"/>
        </w:rPr>
      </w:pPr>
      <w:r>
        <w:rPr>
          <w:rFonts w:hint="eastAsia" w:ascii="仿宋_GB2312" w:hAnsi="宋体"/>
          <w:sz w:val="32"/>
          <w:szCs w:val="32"/>
        </w:rPr>
        <w:t>保证有足够的时间和精力参与上市公司事务，审慎判断审议事项可能产生的风险和收益；原则上应当亲自出席董事会会议，因故授权其他董事代为出席的，应当审慎选择受托人，授权事项和决策意向应当具体明确，不得全权委托；</w:t>
      </w:r>
    </w:p>
    <w:p w14:paraId="12E1D4D6">
      <w:pPr>
        <w:pStyle w:val="34"/>
        <w:numPr>
          <w:ilvl w:val="0"/>
          <w:numId w:val="16"/>
        </w:numPr>
        <w:tabs>
          <w:tab w:val="left" w:pos="1418"/>
          <w:tab w:val="left" w:pos="1560"/>
        </w:tabs>
        <w:autoSpaceDE w:val="0"/>
        <w:autoSpaceDN w:val="0"/>
        <w:snapToGrid w:val="0"/>
        <w:spacing w:line="560" w:lineRule="exact"/>
        <w:ind w:left="0" w:firstLine="640"/>
        <w:rPr>
          <w:rFonts w:hint="eastAsia" w:ascii="仿宋_GB2312" w:hAnsi="宋体"/>
          <w:sz w:val="32"/>
          <w:szCs w:val="32"/>
        </w:rPr>
      </w:pPr>
      <w:r>
        <w:rPr>
          <w:rFonts w:hint="eastAsia" w:ascii="仿宋_GB2312" w:hAnsi="宋体"/>
          <w:sz w:val="32"/>
          <w:szCs w:val="32"/>
        </w:rPr>
        <w:t>关注公司经营状况等事项，及时向董事会报告相关问题和风险，不得以对公司业务不熟悉或者对相关事项不了解为由主张免除责任；</w:t>
      </w:r>
    </w:p>
    <w:p w14:paraId="182535B4">
      <w:pPr>
        <w:pStyle w:val="34"/>
        <w:numPr>
          <w:ilvl w:val="0"/>
          <w:numId w:val="16"/>
        </w:numPr>
        <w:tabs>
          <w:tab w:val="left" w:pos="1418"/>
          <w:tab w:val="left" w:pos="1560"/>
        </w:tabs>
        <w:autoSpaceDE w:val="0"/>
        <w:autoSpaceDN w:val="0"/>
        <w:snapToGrid w:val="0"/>
        <w:spacing w:line="560" w:lineRule="exact"/>
        <w:ind w:left="0" w:firstLine="640"/>
        <w:rPr>
          <w:rFonts w:hint="eastAsia" w:ascii="仿宋_GB2312" w:hAnsi="宋体"/>
          <w:sz w:val="32"/>
          <w:szCs w:val="32"/>
        </w:rPr>
      </w:pPr>
      <w:r>
        <w:rPr>
          <w:rFonts w:hint="eastAsia" w:ascii="仿宋_GB2312" w:hAnsi="宋体"/>
          <w:sz w:val="32"/>
          <w:szCs w:val="32"/>
        </w:rPr>
        <w:t>积极推动公司规范运行，督促公司履行信息披露义务，及时纠正和报告公司的违规行为，支持公司履行社会责任；</w:t>
      </w:r>
    </w:p>
    <w:p w14:paraId="45E1FABE">
      <w:pPr>
        <w:pStyle w:val="34"/>
        <w:numPr>
          <w:ilvl w:val="0"/>
          <w:numId w:val="16"/>
        </w:numPr>
        <w:tabs>
          <w:tab w:val="left" w:pos="1418"/>
          <w:tab w:val="left" w:pos="1560"/>
        </w:tabs>
        <w:autoSpaceDE w:val="0"/>
        <w:autoSpaceDN w:val="0"/>
        <w:snapToGrid w:val="0"/>
        <w:spacing w:line="560" w:lineRule="exact"/>
        <w:ind w:left="0" w:firstLine="640"/>
        <w:rPr>
          <w:rFonts w:hint="eastAsia" w:ascii="仿宋_GB2312" w:hAnsi="宋体"/>
          <w:sz w:val="32"/>
          <w:szCs w:val="32"/>
        </w:rPr>
      </w:pPr>
      <w:r>
        <w:rPr>
          <w:rFonts w:hint="eastAsia" w:ascii="仿宋_GB2312" w:hAnsi="宋体"/>
          <w:sz w:val="32"/>
          <w:szCs w:val="32"/>
        </w:rPr>
        <w:t xml:space="preserve">法律法规、本规则以及本所其他规定、公司章程规定的其他勤勉义务。 </w:t>
      </w:r>
    </w:p>
    <w:p w14:paraId="10CD7C6A">
      <w:pPr>
        <w:pStyle w:val="34"/>
        <w:numPr>
          <w:ilvl w:val="0"/>
          <w:numId w:val="15"/>
        </w:numPr>
        <w:spacing w:line="560" w:lineRule="exact"/>
        <w:ind w:left="0" w:firstLine="640"/>
        <w:rPr>
          <w:rFonts w:hint="eastAsia" w:ascii="仿宋_GB2312" w:hAnsi="黑体"/>
          <w:color w:val="000000"/>
          <w:sz w:val="32"/>
          <w:szCs w:val="32"/>
        </w:rPr>
      </w:pPr>
      <w:r>
        <w:rPr>
          <w:rFonts w:hint="eastAsia" w:ascii="仿宋_GB2312" w:hAnsi="黑体"/>
          <w:color w:val="000000"/>
          <w:sz w:val="32"/>
          <w:szCs w:val="32"/>
        </w:rPr>
        <w:t>董事每届任期不得超过3年，任期届满可连选连任。董事由股东会选举和更换，并可在任期届满前由股东会解除其职务。</w:t>
      </w:r>
    </w:p>
    <w:p w14:paraId="66F6225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上市公司高级管理人员应当参照第4.2.3条和第4.2.4条的规定，履行忠实和勤勉义务。</w:t>
      </w:r>
    </w:p>
    <w:p w14:paraId="1E34C536">
      <w:pPr>
        <w:pStyle w:val="34"/>
        <w:numPr>
          <w:ilvl w:val="0"/>
          <w:numId w:val="15"/>
        </w:numPr>
        <w:spacing w:line="560" w:lineRule="exact"/>
        <w:ind w:left="0" w:firstLine="640"/>
        <w:rPr>
          <w:rFonts w:hint="eastAsia" w:ascii="仿宋_GB2312" w:hAnsi="宋体"/>
          <w:sz w:val="32"/>
          <w:szCs w:val="32"/>
        </w:rPr>
      </w:pPr>
      <w:r>
        <w:rPr>
          <w:rFonts w:hint="eastAsia" w:ascii="仿宋_GB2312" w:hAnsi="黑体"/>
          <w:sz w:val="32"/>
          <w:szCs w:val="32"/>
        </w:rPr>
        <w:t>上市公司最迟应当在发布召开关于选举独立董事的股东会通知时</w:t>
      </w:r>
      <w:r>
        <w:rPr>
          <w:rFonts w:hint="eastAsia" w:ascii="仿宋_GB2312" w:hAnsi="宋体"/>
          <w:sz w:val="32"/>
          <w:szCs w:val="32"/>
        </w:rPr>
        <w:t>，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14:paraId="3FD9016E">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公司董事会对独立董事候选人的有关情况有异议的，应当同时报送董事会的书面意见。</w:t>
      </w:r>
    </w:p>
    <w:p w14:paraId="165D9B04">
      <w:pPr>
        <w:ind w:firstLine="640" w:firstLineChars="200"/>
        <w:rPr>
          <w:rFonts w:hint="eastAsia" w:ascii="仿宋_GB2312" w:hAnsi="宋体" w:eastAsia="仿宋_GB2312"/>
          <w:sz w:val="32"/>
          <w:szCs w:val="32"/>
        </w:rPr>
      </w:pPr>
      <w:r>
        <w:rPr>
          <w:rFonts w:hint="eastAsia" w:ascii="仿宋_GB2312" w:hAnsi="宋体" w:eastAsia="仿宋_GB2312"/>
          <w:sz w:val="32"/>
          <w:szCs w:val="32"/>
        </w:rPr>
        <w:t>在召开股东会选举独立董事时，公司董事会应当对独立董事候选人是否被本所提出异议的情况进行说明。对于本所提出异议的独立董事候选人，公司不得提交股东会选举。</w:t>
      </w:r>
    </w:p>
    <w:p w14:paraId="74FD6695">
      <w:pPr>
        <w:pStyle w:val="34"/>
        <w:numPr>
          <w:ilvl w:val="0"/>
          <w:numId w:val="15"/>
        </w:numPr>
        <w:spacing w:line="560" w:lineRule="exact"/>
        <w:ind w:left="0" w:firstLine="640"/>
        <w:rPr>
          <w:rFonts w:hint="eastAsia" w:ascii="仿宋_GB2312" w:hAnsi="宋体"/>
          <w:sz w:val="32"/>
          <w:szCs w:val="32"/>
        </w:rPr>
      </w:pPr>
      <w:r>
        <w:rPr>
          <w:rFonts w:hint="eastAsia" w:ascii="仿宋_GB2312" w:hAnsi="宋体"/>
          <w:sz w:val="32"/>
          <w:szCs w:val="32"/>
        </w:rPr>
        <w:t>独立董事履行下列职责：</w:t>
      </w:r>
    </w:p>
    <w:p w14:paraId="417F6BB9">
      <w:pPr>
        <w:pStyle w:val="34"/>
        <w:spacing w:line="560" w:lineRule="exact"/>
        <w:ind w:firstLine="0" w:firstLineChars="0"/>
        <w:rPr>
          <w:rFonts w:hint="eastAsia" w:ascii="仿宋_GB2312" w:hAnsi="宋体"/>
          <w:sz w:val="32"/>
          <w:szCs w:val="32"/>
        </w:rPr>
      </w:pPr>
      <w:r>
        <w:rPr>
          <w:rFonts w:ascii="仿宋_GB2312" w:hAnsi="宋体"/>
          <w:sz w:val="32"/>
          <w:szCs w:val="32"/>
        </w:rPr>
        <w:t xml:space="preserve">    </w:t>
      </w:r>
      <w:r>
        <w:rPr>
          <w:rFonts w:hint="eastAsia" w:ascii="仿宋_GB2312" w:hAnsi="宋体"/>
          <w:sz w:val="32"/>
          <w:szCs w:val="32"/>
        </w:rPr>
        <w:t>（一）参与董事会决策并对所议事项发表明确意见；</w:t>
      </w:r>
    </w:p>
    <w:p w14:paraId="5FD327D3">
      <w:pPr>
        <w:pStyle w:val="34"/>
        <w:spacing w:line="560" w:lineRule="exact"/>
        <w:ind w:firstLine="0" w:firstLineChars="0"/>
        <w:rPr>
          <w:rFonts w:hint="eastAsia" w:ascii="仿宋_GB2312" w:hAnsi="宋体"/>
          <w:sz w:val="32"/>
          <w:szCs w:val="32"/>
        </w:rPr>
      </w:pPr>
      <w:r>
        <w:rPr>
          <w:rFonts w:ascii="仿宋_GB2312" w:hAnsi="宋体"/>
          <w:sz w:val="32"/>
          <w:szCs w:val="32"/>
        </w:rPr>
        <w:t xml:space="preserve">    （二）</w:t>
      </w:r>
      <w:r>
        <w:rPr>
          <w:rFonts w:hint="eastAsia" w:ascii="仿宋_GB2312" w:hAnsi="宋体"/>
          <w:sz w:val="32"/>
          <w:szCs w:val="32"/>
        </w:rPr>
        <w:t>按照《上市公司独立董事管理办法》的有关规定，对上市公司与其控股股东、实际控制人、董事、高级管理人员之间的潜在重大利益冲突事项进行监督，促使董事会决策符合公司整体利益，保护中小股东的合法权益；</w:t>
      </w:r>
    </w:p>
    <w:p w14:paraId="3096D407">
      <w:pPr>
        <w:pStyle w:val="34"/>
        <w:spacing w:line="560" w:lineRule="exact"/>
        <w:ind w:firstLine="640"/>
        <w:rPr>
          <w:rFonts w:hint="eastAsia" w:ascii="仿宋_GB2312" w:hAnsi="宋体"/>
          <w:sz w:val="32"/>
          <w:szCs w:val="32"/>
        </w:rPr>
      </w:pPr>
      <w:r>
        <w:rPr>
          <w:rFonts w:hint="eastAsia" w:ascii="仿宋_GB2312" w:hAnsi="宋体"/>
          <w:sz w:val="32"/>
          <w:szCs w:val="32"/>
        </w:rPr>
        <w:t>（三）对上市公司经营发展提供专业、客观的建议，促进提升董事会决策水平；</w:t>
      </w:r>
    </w:p>
    <w:p w14:paraId="57240879">
      <w:pPr>
        <w:pStyle w:val="34"/>
        <w:ind w:firstLine="640"/>
        <w:rPr>
          <w:rFonts w:hint="eastAsia" w:ascii="仿宋_GB2312" w:hAnsi="宋体"/>
          <w:sz w:val="32"/>
          <w:szCs w:val="32"/>
        </w:rPr>
      </w:pPr>
      <w:r>
        <w:rPr>
          <w:rFonts w:hint="eastAsia" w:ascii="仿宋_GB2312" w:hAnsi="宋体"/>
          <w:sz w:val="32"/>
          <w:szCs w:val="32"/>
        </w:rPr>
        <w:t>（四）法律法规、本所相关规定及公司章程规定的其他职责。</w:t>
      </w:r>
    </w:p>
    <w:p w14:paraId="3218841D">
      <w:pPr>
        <w:pStyle w:val="34"/>
        <w:tabs>
          <w:tab w:val="left" w:pos="4962"/>
        </w:tabs>
        <w:ind w:firstLine="640"/>
        <w:rPr>
          <w:rFonts w:hint="eastAsia" w:ascii="仿宋_GB2312" w:hAnsi="宋体"/>
          <w:sz w:val="32"/>
          <w:szCs w:val="32"/>
        </w:rPr>
      </w:pPr>
      <w:r>
        <w:rPr>
          <w:rFonts w:hint="eastAsia" w:ascii="仿宋_GB2312" w:hAnsi="宋体"/>
          <w:sz w:val="32"/>
          <w:szCs w:val="32"/>
        </w:rPr>
        <w:t>独立董事应当独立、公正地履行职责，不受上市公司及其主要股东、实际控制人等单位或个人的影响。</w:t>
      </w:r>
    </w:p>
    <w:p w14:paraId="20961F99">
      <w:pPr>
        <w:pStyle w:val="34"/>
        <w:numPr>
          <w:ilvl w:val="0"/>
          <w:numId w:val="15"/>
        </w:numPr>
        <w:tabs>
          <w:tab w:val="left" w:pos="1560"/>
        </w:tabs>
        <w:spacing w:line="560" w:lineRule="exact"/>
        <w:ind w:left="0" w:firstLine="640"/>
        <w:rPr>
          <w:rFonts w:hint="eastAsia" w:ascii="仿宋_GB2312" w:hAnsi="宋体"/>
          <w:sz w:val="32"/>
          <w:szCs w:val="32"/>
        </w:rPr>
      </w:pPr>
      <w:r>
        <w:rPr>
          <w:rFonts w:hint="eastAsia" w:ascii="仿宋_GB2312" w:hAnsi="宋体"/>
          <w:sz w:val="32"/>
          <w:szCs w:val="32"/>
        </w:rPr>
        <w:t>独立董事行使下列特别职权：</w:t>
      </w:r>
    </w:p>
    <w:p w14:paraId="3FD1A860">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（一）独立聘请中介机构，对上市公司具体事项进行审计、咨询或核查；</w:t>
      </w:r>
    </w:p>
    <w:p w14:paraId="08557B49">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（二）向董事会提议召开临时股东会；</w:t>
      </w:r>
    </w:p>
    <w:p w14:paraId="20759716">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（三）提议召开董事会；</w:t>
      </w:r>
    </w:p>
    <w:p w14:paraId="6DB9588E">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（四）依法公开向股东征集股东权利；</w:t>
      </w:r>
    </w:p>
    <w:p w14:paraId="2DCEB4F6">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（五）对可能损害上市公司或者中小股东权益的事项发表独立意见；</w:t>
      </w:r>
    </w:p>
    <w:p w14:paraId="629AA356">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（六）法律法规、本所相关规定及公司章程规定的其他职权。</w:t>
      </w:r>
    </w:p>
    <w:p w14:paraId="48851CA3">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独立董事行使前款第一项至第三项职权的，应当经全体独立董事过半数同意。</w:t>
      </w:r>
    </w:p>
    <w:p w14:paraId="7D488F4F">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独立董事行使本条第一款所列职权的，上市公司应当及时披露。上述职权不能正常行使的，上市公司应当披露具体情况和理由。</w:t>
      </w:r>
    </w:p>
    <w:p w14:paraId="1DD0084F">
      <w:pPr>
        <w:pStyle w:val="34"/>
        <w:numPr>
          <w:ilvl w:val="0"/>
          <w:numId w:val="15"/>
        </w:numPr>
        <w:tabs>
          <w:tab w:val="left" w:pos="1560"/>
        </w:tabs>
        <w:spacing w:line="560" w:lineRule="exact"/>
        <w:ind w:left="0" w:firstLine="640" w:firstLineChars="0"/>
        <w:rPr>
          <w:rFonts w:hint="eastAsia" w:ascii="仿宋_GB2312" w:hAnsi="宋体"/>
          <w:sz w:val="32"/>
          <w:szCs w:val="32"/>
        </w:rPr>
      </w:pPr>
      <w:r>
        <w:rPr>
          <w:rFonts w:hint="eastAsia" w:ascii="仿宋_GB2312" w:hAnsi="宋体"/>
          <w:sz w:val="32"/>
          <w:szCs w:val="32"/>
        </w:rPr>
        <w:t>下列事项应当经上市公司全体独立董事过半数同意后，提交董事会审议：</w:t>
      </w:r>
    </w:p>
    <w:p w14:paraId="59139256">
      <w:pPr>
        <w:pStyle w:val="34"/>
        <w:tabs>
          <w:tab w:val="left" w:pos="1560"/>
        </w:tabs>
        <w:spacing w:line="560" w:lineRule="exact"/>
        <w:ind w:firstLine="640" w:firstLineChars="0"/>
        <w:rPr>
          <w:rFonts w:hint="eastAsia" w:ascii="仿宋_GB2312" w:hAnsi="宋体"/>
          <w:sz w:val="32"/>
          <w:szCs w:val="32"/>
        </w:rPr>
      </w:pPr>
      <w:r>
        <w:rPr>
          <w:rFonts w:hint="eastAsia" w:ascii="仿宋_GB2312" w:hAnsi="宋体"/>
          <w:sz w:val="32"/>
          <w:szCs w:val="32"/>
        </w:rPr>
        <w:t>（一）应当披露的关联交易；</w:t>
      </w:r>
    </w:p>
    <w:p w14:paraId="0368832C">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（二）上市公司及相关方变更或者豁免承诺的方案；</w:t>
      </w:r>
    </w:p>
    <w:p w14:paraId="3C12E99B">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（三）被收购上市公司董事会针对收购所作出的决策及采取的措施；</w:t>
      </w:r>
    </w:p>
    <w:p w14:paraId="56160420">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（四）法律法规、本所相关规定及公司章程规定的其他事项。</w:t>
      </w:r>
    </w:p>
    <w:p w14:paraId="73D09BD1">
      <w:pPr>
        <w:pStyle w:val="34"/>
        <w:numPr>
          <w:ilvl w:val="0"/>
          <w:numId w:val="15"/>
        </w:numPr>
        <w:tabs>
          <w:tab w:val="left" w:pos="1560"/>
        </w:tabs>
        <w:spacing w:line="560" w:lineRule="exact"/>
        <w:ind w:left="0" w:firstLine="640"/>
        <w:rPr>
          <w:rFonts w:hint="eastAsia" w:ascii="仿宋_GB2312" w:hAnsi="宋体"/>
          <w:sz w:val="32"/>
          <w:szCs w:val="32"/>
        </w:rPr>
      </w:pPr>
      <w:r>
        <w:rPr>
          <w:rFonts w:hint="eastAsia" w:ascii="仿宋_GB2312" w:hAnsi="宋体"/>
          <w:sz w:val="32"/>
          <w:szCs w:val="32"/>
        </w:rPr>
        <w:t>上市公司应当建立独立董事专门会议制度，定期或者不定期召开全部由独立董事参加的会议，对本规则第4.2.8条第一款第一项至第三项和第4.2.9条规定的相关事项进行审议。</w:t>
      </w:r>
    </w:p>
    <w:p w14:paraId="68979C23">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独立董事专门会议可以根据需要研究讨论上市公司其他事项。</w:t>
      </w:r>
    </w:p>
    <w:p w14:paraId="7BAA0301">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独立董事专门会议应当由过半数独立董事共同推举一名独立董事召集和主持；召集人不履职或者不能履职时，两名及以上独立董事可以自行召集并推举一名代表主持。</w:t>
      </w:r>
    </w:p>
    <w:p w14:paraId="6B29A252">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上市公司应当为独立董事专门会议召开提供便利和支持。</w:t>
      </w:r>
    </w:p>
    <w:p w14:paraId="477F1F86">
      <w:pPr>
        <w:pStyle w:val="34"/>
        <w:numPr>
          <w:ilvl w:val="0"/>
          <w:numId w:val="15"/>
        </w:numPr>
        <w:tabs>
          <w:tab w:val="left" w:pos="1560"/>
        </w:tabs>
        <w:spacing w:line="560" w:lineRule="exact"/>
        <w:ind w:left="0" w:firstLine="640"/>
        <w:rPr>
          <w:rFonts w:hint="eastAsia" w:ascii="仿宋_GB2312" w:hAnsi="宋体"/>
          <w:sz w:val="32"/>
          <w:szCs w:val="32"/>
        </w:rPr>
      </w:pPr>
      <w:r>
        <w:rPr>
          <w:rFonts w:hint="eastAsia" w:ascii="仿宋_GB2312" w:hAnsi="宋体"/>
          <w:sz w:val="32"/>
          <w:szCs w:val="32"/>
        </w:rPr>
        <w:t>上市公司董事、高级管理人员和核心技术人员所持公司股份发生变动的，应当在2个交易日内向公司报告并由公司在本所网站公告。</w:t>
      </w:r>
    </w:p>
    <w:p w14:paraId="740CDA6D">
      <w:pPr>
        <w:pStyle w:val="34"/>
        <w:numPr>
          <w:ilvl w:val="0"/>
          <w:numId w:val="15"/>
        </w:numPr>
        <w:tabs>
          <w:tab w:val="left" w:pos="0"/>
        </w:tabs>
        <w:spacing w:line="560" w:lineRule="exact"/>
        <w:ind w:left="0" w:firstLine="640"/>
        <w:rPr>
          <w:rFonts w:hint="eastAsia" w:ascii="仿宋_GB2312" w:hAnsi="宋体"/>
          <w:sz w:val="32"/>
          <w:szCs w:val="32"/>
        </w:rPr>
      </w:pPr>
      <w:r>
        <w:rPr>
          <w:rFonts w:hint="eastAsia" w:ascii="仿宋_GB2312" w:hAnsi="宋体"/>
          <w:sz w:val="32"/>
          <w:szCs w:val="32"/>
        </w:rPr>
        <w:t>上市公司应当设立董事会秘书，负责公司的信息披露事务。</w:t>
      </w:r>
    </w:p>
    <w:p w14:paraId="7FA87F0B">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上市公司董事会秘书为高级管理人员，应当具备相应任职条件和资格，忠实、勤勉履行职责。</w:t>
      </w:r>
    </w:p>
    <w:p w14:paraId="214550EF">
      <w:pPr>
        <w:snapToGrid w:val="0"/>
        <w:spacing w:line="560" w:lineRule="exact"/>
        <w:ind w:firstLine="640" w:firstLineChars="200"/>
        <w:rPr>
          <w:rFonts w:hint="eastAsia" w:ascii="仿宋_GB2312" w:hAnsi="宋体" w:eastAsia="仿宋_GB2312"/>
          <w:sz w:val="36"/>
          <w:szCs w:val="36"/>
        </w:rPr>
      </w:pPr>
      <w:r>
        <w:rPr>
          <w:rFonts w:hint="eastAsia" w:ascii="仿宋_GB2312" w:hAnsi="宋体" w:eastAsia="仿宋_GB2312"/>
          <w:sz w:val="32"/>
          <w:szCs w:val="32"/>
        </w:rPr>
        <w:t>董事会秘书空缺期间，上市公司应当及时指定一名董事或者高级管理人员代行董事会秘书职责。空缺超过3个月的，公司法定代表人应当代行董事会秘书职责，</w:t>
      </w:r>
      <w:r>
        <w:rPr>
          <w:rFonts w:ascii="仿宋_GB2312" w:hAnsi="宋体" w:eastAsia="仿宋_GB2312"/>
          <w:sz w:val="32"/>
          <w:szCs w:val="32"/>
        </w:rPr>
        <w:t>并在</w:t>
      </w:r>
      <w:r>
        <w:rPr>
          <w:rFonts w:hint="eastAsia" w:ascii="仿宋_GB2312" w:hAnsi="宋体" w:eastAsia="仿宋_GB2312"/>
          <w:sz w:val="32"/>
          <w:szCs w:val="32"/>
        </w:rPr>
        <w:t>代行后的</w:t>
      </w:r>
      <w:r>
        <w:rPr>
          <w:rFonts w:ascii="仿宋_GB2312" w:hAnsi="宋体" w:eastAsia="仿宋_GB2312"/>
          <w:sz w:val="32"/>
          <w:szCs w:val="32"/>
        </w:rPr>
        <w:t>6个月内完成董事会秘书的聘任工作。</w:t>
      </w:r>
    </w:p>
    <w:p w14:paraId="793629AF">
      <w:pPr>
        <w:pStyle w:val="34"/>
        <w:numPr>
          <w:ilvl w:val="0"/>
          <w:numId w:val="15"/>
        </w:numPr>
        <w:tabs>
          <w:tab w:val="left" w:pos="1560"/>
        </w:tabs>
        <w:spacing w:line="560" w:lineRule="exact"/>
        <w:ind w:left="0" w:firstLine="640"/>
        <w:rPr>
          <w:rFonts w:hint="eastAsia" w:ascii="仿宋_GB2312" w:hAnsi="宋体"/>
          <w:sz w:val="32"/>
          <w:szCs w:val="32"/>
        </w:rPr>
      </w:pPr>
      <w:r>
        <w:rPr>
          <w:rFonts w:hint="eastAsia" w:ascii="仿宋_GB2312" w:hAnsi="宋体"/>
          <w:sz w:val="32"/>
          <w:szCs w:val="32"/>
        </w:rPr>
        <w:t>上市公司应当为董事会秘书履行职责提供便利条件，董事、其他高级管理人员和相关工作人员应当配合董事会秘书的工作。</w:t>
      </w:r>
    </w:p>
    <w:p w14:paraId="7A37C580">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董事会秘书有权了解公司的经营和财务情况，参加有关会议，查阅相关文件，要求有关部门和人员提供资料和信息。</w:t>
      </w:r>
    </w:p>
    <w:p w14:paraId="6FB17726">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上市公司解聘董事会秘书应当有充分的理由，不得无故解聘。</w:t>
      </w:r>
    </w:p>
    <w:p w14:paraId="77A07C9D">
      <w:pPr>
        <w:pStyle w:val="34"/>
        <w:numPr>
          <w:ilvl w:val="255"/>
          <w:numId w:val="0"/>
        </w:numPr>
        <w:tabs>
          <w:tab w:val="left" w:pos="1560"/>
        </w:tabs>
        <w:spacing w:line="560" w:lineRule="exact"/>
        <w:ind w:firstLine="636" w:firstLineChars="199"/>
        <w:rPr>
          <w:rFonts w:hint="eastAsia" w:ascii="仿宋_GB2312" w:hAnsi="宋体"/>
          <w:sz w:val="32"/>
          <w:szCs w:val="32"/>
        </w:rPr>
      </w:pPr>
      <w:r>
        <w:rPr>
          <w:rFonts w:hint="eastAsia" w:ascii="仿宋_GB2312" w:hAnsi="宋体"/>
          <w:sz w:val="32"/>
          <w:szCs w:val="32"/>
        </w:rPr>
        <w:t>董事会秘书被解聘或者辞任时，公司应当及时向本所报告，说明原因并公告。</w:t>
      </w:r>
    </w:p>
    <w:p w14:paraId="1913A8ED">
      <w:pPr>
        <w:pStyle w:val="34"/>
        <w:numPr>
          <w:ilvl w:val="0"/>
          <w:numId w:val="15"/>
        </w:numPr>
        <w:tabs>
          <w:tab w:val="left" w:pos="1560"/>
        </w:tabs>
        <w:spacing w:line="560" w:lineRule="exact"/>
        <w:ind w:left="0" w:firstLine="640"/>
        <w:rPr>
          <w:rFonts w:hint="eastAsia" w:ascii="仿宋_GB2312" w:hAnsi="宋体"/>
          <w:sz w:val="32"/>
          <w:szCs w:val="32"/>
        </w:rPr>
      </w:pPr>
      <w:r>
        <w:rPr>
          <w:rFonts w:hint="eastAsia" w:ascii="仿宋_GB2312" w:hAnsi="宋体"/>
          <w:sz w:val="32"/>
          <w:szCs w:val="32"/>
        </w:rPr>
        <w:t>上市公司应当设立证券事务代表，协助董事会秘书履行职责。董事会秘书不能履行职责或董事会秘书授权时，证券事务代表应当代为履行职责。在此期间，并不当然免除董事会秘书对公司信息披露所负有的责任。</w:t>
      </w:r>
    </w:p>
    <w:p w14:paraId="7A27086A">
      <w:pPr>
        <w:pStyle w:val="34"/>
        <w:numPr>
          <w:ilvl w:val="0"/>
          <w:numId w:val="15"/>
        </w:numPr>
        <w:tabs>
          <w:tab w:val="left" w:pos="1560"/>
        </w:tabs>
        <w:spacing w:line="560" w:lineRule="exact"/>
        <w:ind w:left="0" w:firstLine="640"/>
        <w:rPr>
          <w:rFonts w:hint="eastAsia" w:ascii="仿宋_GB2312" w:hAnsi="宋体"/>
          <w:sz w:val="32"/>
          <w:szCs w:val="32"/>
        </w:rPr>
      </w:pPr>
      <w:r>
        <w:rPr>
          <w:rFonts w:ascii="仿宋_GB2312" w:hAnsi="宋体"/>
          <w:sz w:val="32"/>
          <w:szCs w:val="32"/>
        </w:rPr>
        <w:t>上市公司董事会聘任董事会秘书和证券事务代表后，应当及时公告并向本所提交下述资料：</w:t>
      </w:r>
    </w:p>
    <w:p w14:paraId="7D3FDC08">
      <w:pPr>
        <w:tabs>
          <w:tab w:val="left" w:pos="1560"/>
        </w:tabs>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（一）董事会秘书、证券事务代表聘任书或者相关董事会决议；</w:t>
      </w:r>
    </w:p>
    <w:p w14:paraId="5E4158EF">
      <w:pPr>
        <w:tabs>
          <w:tab w:val="left" w:pos="1560"/>
        </w:tabs>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（二）董事会秘书、证券事务代表的通讯方式，包括办公电话、住宅电话、移动电话、传真、通信地址及专用电子邮箱地址等</w:t>
      </w:r>
      <w:r>
        <w:rPr>
          <w:rFonts w:hint="eastAsia" w:ascii="仿宋_GB2312" w:hAnsi="宋体" w:eastAsia="仿宋_GB2312"/>
          <w:sz w:val="32"/>
          <w:szCs w:val="32"/>
        </w:rPr>
        <w:t>。</w:t>
      </w:r>
    </w:p>
    <w:p w14:paraId="38778CF2">
      <w:pPr>
        <w:tabs>
          <w:tab w:val="left" w:pos="1560"/>
        </w:tabs>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本所接受董事会秘书、代行董事会秘书职责的人员或者证券事务代表以上市公司名义办理的信息披露与股权管理事务。</w:t>
      </w:r>
    </w:p>
    <w:p w14:paraId="3FFE4E4F">
      <w:pPr>
        <w:pStyle w:val="34"/>
        <w:numPr>
          <w:ilvl w:val="0"/>
          <w:numId w:val="15"/>
        </w:numPr>
        <w:tabs>
          <w:tab w:val="left" w:pos="1560"/>
        </w:tabs>
        <w:spacing w:line="560" w:lineRule="exact"/>
        <w:ind w:left="0" w:firstLine="640"/>
        <w:rPr>
          <w:rFonts w:hint="eastAsia" w:ascii="仿宋_GB2312" w:hAnsi="宋体"/>
          <w:sz w:val="32"/>
          <w:szCs w:val="32"/>
        </w:rPr>
      </w:pPr>
      <w:r>
        <w:rPr>
          <w:rFonts w:hint="eastAsia" w:ascii="仿宋_GB2312" w:hAnsi="宋体"/>
          <w:sz w:val="32"/>
          <w:szCs w:val="32"/>
        </w:rPr>
        <w:t xml:space="preserve"> 上市公司应当建立健全董事、高级管理人员离职管理制度，规范董事、高级管理人员离职行为。董事、高级管理人员在任职期间因执行职务而应承担的责任，不因离任而免除或者终止，存在违反相关承诺或者其他损害上市公司利益行为的，董事会应当采取必要手段追究相关人员责任，切实维护上市公司和中小投资者权益。</w:t>
      </w:r>
    </w:p>
    <w:p w14:paraId="66E1E1A2">
      <w:pPr>
        <w:pStyle w:val="34"/>
        <w:numPr>
          <w:ilvl w:val="0"/>
          <w:numId w:val="15"/>
        </w:numPr>
        <w:tabs>
          <w:tab w:val="left" w:pos="1560"/>
        </w:tabs>
        <w:spacing w:line="560" w:lineRule="exact"/>
        <w:ind w:left="0" w:firstLine="640"/>
        <w:rPr>
          <w:rFonts w:hint="eastAsia" w:ascii="仿宋_GB2312" w:hAnsi="宋体"/>
          <w:sz w:val="32"/>
          <w:szCs w:val="32"/>
        </w:rPr>
      </w:pPr>
      <w:r>
        <w:rPr>
          <w:rFonts w:hint="eastAsia" w:ascii="仿宋_GB2312" w:hAnsi="宋体"/>
          <w:sz w:val="32"/>
          <w:szCs w:val="32"/>
        </w:rPr>
        <w:t xml:space="preserve"> 上市公司控股股东、实际控制人不担任公司董事但实际执行公司事务的，适用本节关于董事忠实义务和勤勉义务的规定。</w:t>
      </w:r>
    </w:p>
    <w:p w14:paraId="6F51E701">
      <w:pPr>
        <w:pStyle w:val="7"/>
        <w:ind w:firstLine="420"/>
      </w:pPr>
    </w:p>
    <w:p w14:paraId="35BF18D9">
      <w:pPr>
        <w:pStyle w:val="36"/>
        <w:numPr>
          <w:ilvl w:val="1"/>
          <w:numId w:val="1"/>
        </w:numPr>
        <w:ind w:left="0" w:firstLine="643"/>
        <w:rPr>
          <w:rFonts w:hint="eastAsia"/>
        </w:rPr>
      </w:pPr>
      <w:bookmarkStart w:id="98" w:name="_Toc530585997"/>
      <w:bookmarkEnd w:id="98"/>
      <w:bookmarkStart w:id="99" w:name="_Toc530581632"/>
      <w:bookmarkEnd w:id="99"/>
      <w:bookmarkStart w:id="100" w:name="_Toc9976"/>
      <w:bookmarkStart w:id="101" w:name="_Toc32138"/>
      <w:bookmarkStart w:id="102" w:name="_Toc170284227"/>
      <w:r>
        <w:rPr>
          <w:rFonts w:hint="eastAsia"/>
        </w:rPr>
        <w:t>规范运行</w:t>
      </w:r>
      <w:bookmarkEnd w:id="100"/>
      <w:bookmarkEnd w:id="101"/>
      <w:bookmarkEnd w:id="102"/>
    </w:p>
    <w:p w14:paraId="22E5DEB3">
      <w:pPr>
        <w:pStyle w:val="34"/>
        <w:numPr>
          <w:ilvl w:val="0"/>
          <w:numId w:val="17"/>
        </w:numPr>
        <w:spacing w:line="560" w:lineRule="exact"/>
        <w:ind w:left="0" w:firstLine="640"/>
        <w:rPr>
          <w:rFonts w:hint="eastAsia" w:ascii="仿宋_GB2312" w:hAnsi="Arial Unicode MS" w:cs="Arial Unicode MS"/>
          <w:sz w:val="32"/>
          <w:szCs w:val="32"/>
        </w:rPr>
      </w:pPr>
      <w:r>
        <w:rPr>
          <w:rFonts w:hint="eastAsia" w:ascii="仿宋_GB2312"/>
          <w:sz w:val="32"/>
          <w:szCs w:val="32"/>
        </w:rPr>
        <w:t>上市公司应当积极回报股东，根据自身条件和发展阶段，制定并执行现金分红、股份回购等股东回报政策。</w:t>
      </w:r>
    </w:p>
    <w:p w14:paraId="4D18FD8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公司应当综合考虑未分配利润、当期业绩等因素确定分红频次，并在具备条件的情况下增加分红频次。实施中期分红的，在最近一期经审计未分配利润基准上，合理考虑当期利润情况，稳定股东预期。</w:t>
      </w:r>
    </w:p>
    <w:p w14:paraId="3B63DDAC">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宋体" w:eastAsia="仿宋_GB2312"/>
          <w:sz w:val="32"/>
          <w:szCs w:val="32"/>
        </w:rPr>
        <w:t>上市公司明显</w:t>
      </w:r>
      <w:r>
        <w:rPr>
          <w:rFonts w:ascii="仿宋_GB2312" w:hAnsi="宋体" w:eastAsia="仿宋_GB2312"/>
          <w:sz w:val="32"/>
          <w:szCs w:val="32"/>
        </w:rPr>
        <w:t>具备条件</w:t>
      </w:r>
      <w:r>
        <w:rPr>
          <w:rFonts w:hint="eastAsia" w:ascii="仿宋_GB2312" w:hAnsi="宋体" w:eastAsia="仿宋_GB2312"/>
          <w:sz w:val="32"/>
          <w:szCs w:val="32"/>
        </w:rPr>
        <w:t>但未</w:t>
      </w:r>
      <w:r>
        <w:rPr>
          <w:rFonts w:ascii="仿宋_GB2312" w:hAnsi="宋体" w:eastAsia="仿宋_GB2312"/>
          <w:sz w:val="32"/>
          <w:szCs w:val="32"/>
        </w:rPr>
        <w:t>进行现金分红的，</w:t>
      </w:r>
      <w:r>
        <w:rPr>
          <w:rFonts w:hint="eastAsia" w:ascii="仿宋_GB2312" w:hAnsi="宋体" w:eastAsia="仿宋_GB2312"/>
          <w:sz w:val="32"/>
          <w:szCs w:val="32"/>
        </w:rPr>
        <w:t>本所可以要求董事会、控股股东及实际控制人通过投资者说明会、公告等形式向投资者说明原因</w:t>
      </w:r>
      <w:r>
        <w:rPr>
          <w:rFonts w:ascii="仿宋_GB2312" w:hAnsi="宋体" w:eastAsia="仿宋_GB2312"/>
          <w:sz w:val="32"/>
          <w:szCs w:val="32"/>
        </w:rPr>
        <w:t>。</w:t>
      </w:r>
    </w:p>
    <w:p w14:paraId="1B5A9930">
      <w:pPr>
        <w:pStyle w:val="34"/>
        <w:numPr>
          <w:ilvl w:val="0"/>
          <w:numId w:val="17"/>
        </w:numPr>
        <w:spacing w:line="560" w:lineRule="exact"/>
        <w:ind w:left="0" w:firstLine="640"/>
        <w:rPr>
          <w:rFonts w:hint="eastAsia" w:ascii="仿宋_GB2312" w:hAnsi="宋体"/>
          <w:sz w:val="32"/>
          <w:szCs w:val="32"/>
        </w:rPr>
      </w:pPr>
      <w:r>
        <w:rPr>
          <w:rFonts w:hint="eastAsia" w:ascii="仿宋_GB2312" w:hAnsi="宋体"/>
          <w:sz w:val="32"/>
          <w:szCs w:val="32"/>
        </w:rPr>
        <w:t>上市公司应当建立内部控制制度，保证内部控制完整有效，保证财务报告的可靠性，保障公司规范运行，保护公司资产，提升经营效率。</w:t>
      </w:r>
    </w:p>
    <w:p w14:paraId="132F5978">
      <w:pPr>
        <w:pStyle w:val="34"/>
        <w:numPr>
          <w:ilvl w:val="0"/>
          <w:numId w:val="17"/>
        </w:numPr>
        <w:spacing w:line="560" w:lineRule="exact"/>
        <w:ind w:left="0" w:firstLine="640"/>
        <w:rPr>
          <w:rFonts w:hint="eastAsia" w:ascii="仿宋_GB2312" w:hAnsi="宋体"/>
          <w:sz w:val="32"/>
          <w:szCs w:val="32"/>
        </w:rPr>
      </w:pPr>
      <w:r>
        <w:rPr>
          <w:rFonts w:hint="eastAsia" w:ascii="仿宋_GB2312" w:hAnsi="宋体"/>
          <w:sz w:val="32"/>
          <w:szCs w:val="32"/>
        </w:rPr>
        <w:t>上市公司应当建立合理有效的绩效评价体系以及激励约束机制。</w:t>
      </w:r>
    </w:p>
    <w:p w14:paraId="65D85564">
      <w:pPr>
        <w:numPr>
          <w:ilvl w:val="1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上市公司激励约束机制应当服务于公司战略目标和持续发展，与公司绩效、个人业绩相联系，保持高级管理人员和核心员工的稳定，不得损害公司及股东利益。</w:t>
      </w:r>
    </w:p>
    <w:p w14:paraId="4BF071AC">
      <w:pPr>
        <w:pStyle w:val="34"/>
        <w:numPr>
          <w:ilvl w:val="0"/>
          <w:numId w:val="17"/>
        </w:numPr>
        <w:spacing w:line="560" w:lineRule="exact"/>
        <w:ind w:left="0" w:firstLine="640"/>
        <w:rPr>
          <w:rFonts w:hint="eastAsia" w:ascii="仿宋_GB2312" w:hAnsi="宋体"/>
          <w:sz w:val="32"/>
          <w:szCs w:val="32"/>
        </w:rPr>
      </w:pPr>
      <w:r>
        <w:rPr>
          <w:rFonts w:hint="eastAsia" w:ascii="仿宋_GB2312" w:hAnsi="宋体"/>
          <w:sz w:val="32"/>
          <w:szCs w:val="32"/>
        </w:rPr>
        <w:t>上市公司应当建立健全股东会、董事会和经理层制度，建立完善独立董事制度，形成权责分明、有效制衡的决策机制。</w:t>
      </w:r>
    </w:p>
    <w:p w14:paraId="5CADDDC8">
      <w:pPr>
        <w:pStyle w:val="34"/>
        <w:numPr>
          <w:ilvl w:val="0"/>
          <w:numId w:val="17"/>
        </w:numPr>
        <w:spacing w:line="560" w:lineRule="exact"/>
        <w:ind w:left="0" w:firstLine="640"/>
        <w:rPr>
          <w:rFonts w:hint="eastAsia" w:ascii="仿宋_GB2312" w:hAnsi="宋体"/>
          <w:sz w:val="32"/>
          <w:szCs w:val="32"/>
        </w:rPr>
      </w:pPr>
      <w:r>
        <w:rPr>
          <w:rFonts w:hint="eastAsia" w:ascii="仿宋_GB2312" w:hAnsi="宋体"/>
          <w:sz w:val="32"/>
          <w:szCs w:val="32"/>
        </w:rPr>
        <w:t>上市公司应当在公司章程中规定股东会的召集、召开和表决等程序，制定股东会议事规则，并列入公司章程或者作为章程附件。</w:t>
      </w:r>
    </w:p>
    <w:p w14:paraId="1405A836">
      <w:pPr>
        <w:spacing w:line="560" w:lineRule="exact"/>
        <w:ind w:firstLine="640"/>
        <w:rPr>
          <w:rFonts w:hint="eastAsia" w:ascii="仿宋_GB2312" w:hAnsi="宋体" w:eastAsia="仿宋_GB2312"/>
          <w:color w:val="000000"/>
          <w:sz w:val="32"/>
          <w:szCs w:val="32"/>
        </w:rPr>
      </w:pPr>
      <w:r>
        <w:rPr>
          <w:rFonts w:hint="eastAsia" w:ascii="仿宋_GB2312" w:hAnsi="宋体" w:eastAsia="仿宋_GB2312"/>
          <w:color w:val="000000"/>
          <w:sz w:val="32"/>
          <w:szCs w:val="32"/>
        </w:rPr>
        <w:t>股东会应当设置会场，以现场会议与网络投票相结合的方式召开。现场会议时间、地点的选择应当便于股东参加。发出股东会通知后，无正当理由，股东会现场会议召开地点不得变更。确需变更的，召集人应当在现场会议召开日前至少2个交易日公告并说明原因。上市公司应当提供网络投票方式为股东参加股东会提供便利。股东通过上述方式参加股东会的，视为出席。</w:t>
      </w:r>
    </w:p>
    <w:p w14:paraId="19BE722E">
      <w:pPr>
        <w:pStyle w:val="7"/>
        <w:spacing w:after="0" w:line="560" w:lineRule="exact"/>
        <w:ind w:firstLine="640" w:firstLineChars="200"/>
      </w:pPr>
      <w:r>
        <w:rPr>
          <w:rFonts w:hint="eastAsia" w:ascii="仿宋_GB2312" w:eastAsia="仿宋_GB2312"/>
          <w:sz w:val="32"/>
          <w:szCs w:val="32"/>
        </w:rPr>
        <w:t>单独或者合计持有公司1%以上股份（含表决权恢复的优先股等）的股东有权提出股东会议案。上市公司不得提高提出临时提案股东的持股比例。</w:t>
      </w:r>
    </w:p>
    <w:p w14:paraId="18C26E2E">
      <w:pPr>
        <w:pStyle w:val="7"/>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上市公司应当根据相关规则采用累积投票、征集投票等方式，保障股东表决权。</w:t>
      </w:r>
    </w:p>
    <w:p w14:paraId="739FC4F5">
      <w:pPr>
        <w:pStyle w:val="34"/>
        <w:numPr>
          <w:ilvl w:val="0"/>
          <w:numId w:val="17"/>
        </w:numPr>
        <w:spacing w:line="560" w:lineRule="exact"/>
        <w:ind w:left="0" w:firstLine="640"/>
        <w:rPr>
          <w:rFonts w:hint="eastAsia" w:ascii="仿宋_GB2312" w:hAnsi="宋体"/>
          <w:sz w:val="32"/>
          <w:szCs w:val="32"/>
        </w:rPr>
      </w:pPr>
      <w:r>
        <w:rPr>
          <w:rFonts w:hint="eastAsia" w:ascii="仿宋_GB2312" w:hAnsi="宋体"/>
          <w:sz w:val="32"/>
          <w:szCs w:val="32"/>
        </w:rPr>
        <w:t>上市公司应当依据法律法规和公司章程召开股东会，保证股东依法行使权利。规定期限内不能召开股东会的，应当在期限届满前披露原因及后续方案。</w:t>
      </w:r>
    </w:p>
    <w:p w14:paraId="6DDB1E09">
      <w:pPr>
        <w:numPr>
          <w:ilvl w:val="12"/>
          <w:numId w:val="0"/>
        </w:numPr>
        <w:snapToGrid w:val="0"/>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股东</w:t>
      </w:r>
      <w:r>
        <w:rPr>
          <w:rFonts w:hint="eastAsia" w:ascii="仿宋_GB2312" w:hAnsi="宋体" w:eastAsia="仿宋_GB2312"/>
          <w:sz w:val="32"/>
          <w:szCs w:val="32"/>
        </w:rPr>
        <w:t>书面提议</w:t>
      </w:r>
      <w:r>
        <w:rPr>
          <w:rFonts w:ascii="仿宋_GB2312" w:hAnsi="宋体" w:eastAsia="仿宋_GB2312"/>
          <w:sz w:val="32"/>
          <w:szCs w:val="32"/>
        </w:rPr>
        <w:t>召开股东会</w:t>
      </w:r>
      <w:r>
        <w:rPr>
          <w:rFonts w:hint="eastAsia" w:ascii="仿宋_GB2312" w:hAnsi="宋体" w:eastAsia="仿宋_GB2312"/>
          <w:sz w:val="32"/>
          <w:szCs w:val="32"/>
        </w:rPr>
        <w:t>的</w:t>
      </w:r>
      <w:r>
        <w:rPr>
          <w:rFonts w:ascii="仿宋_GB2312" w:hAnsi="宋体" w:eastAsia="仿宋_GB2312"/>
          <w:sz w:val="32"/>
          <w:szCs w:val="32"/>
        </w:rPr>
        <w:t>，公司董事会应当在规定期限内</w:t>
      </w:r>
      <w:r>
        <w:rPr>
          <w:rFonts w:hint="eastAsia" w:ascii="仿宋_GB2312" w:hAnsi="宋体" w:eastAsia="仿宋_GB2312"/>
          <w:sz w:val="32"/>
          <w:szCs w:val="32"/>
        </w:rPr>
        <w:t>书面反馈</w:t>
      </w:r>
      <w:r>
        <w:rPr>
          <w:rFonts w:ascii="仿宋_GB2312" w:hAnsi="宋体" w:eastAsia="仿宋_GB2312"/>
          <w:sz w:val="32"/>
          <w:szCs w:val="32"/>
        </w:rPr>
        <w:t>是否同意召开股东会，不得无故拖延。股东依法自行召集股东会</w:t>
      </w:r>
      <w:r>
        <w:rPr>
          <w:rFonts w:hint="eastAsia" w:ascii="仿宋_GB2312" w:hAnsi="宋体" w:eastAsia="仿宋_GB2312"/>
          <w:sz w:val="32"/>
          <w:szCs w:val="32"/>
        </w:rPr>
        <w:t>的</w:t>
      </w:r>
      <w:r>
        <w:rPr>
          <w:rFonts w:ascii="仿宋_GB2312" w:hAnsi="宋体" w:eastAsia="仿宋_GB2312"/>
          <w:sz w:val="32"/>
          <w:szCs w:val="32"/>
        </w:rPr>
        <w:t>，公司董事会和董事会秘书应当予以配合，并及时履行信息披露义务。</w:t>
      </w:r>
    </w:p>
    <w:p w14:paraId="6E5483C4">
      <w:pPr>
        <w:numPr>
          <w:ilvl w:val="1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上市公司应当依据法律法规、公司章程，发出股东会通知，及时披露股东决策所需的其他资料。</w:t>
      </w:r>
    </w:p>
    <w:p w14:paraId="3FD47B6D">
      <w:pPr>
        <w:pStyle w:val="34"/>
        <w:numPr>
          <w:ilvl w:val="0"/>
          <w:numId w:val="17"/>
        </w:numPr>
        <w:spacing w:line="560" w:lineRule="exact"/>
        <w:ind w:left="0" w:firstLine="640"/>
        <w:rPr>
          <w:rFonts w:hint="eastAsia" w:ascii="仿宋_GB2312" w:hAnsi="宋体"/>
          <w:sz w:val="32"/>
          <w:szCs w:val="32"/>
        </w:rPr>
      </w:pPr>
      <w:r>
        <w:rPr>
          <w:rFonts w:hint="eastAsia" w:ascii="仿宋_GB2312" w:hAnsi="宋体"/>
          <w:sz w:val="32"/>
          <w:szCs w:val="32"/>
        </w:rPr>
        <w:t>上市公司召开股东会，应当聘请律师事务所对股东会的召集、召开程序、出席会议人员的资格、召集人资格、表决程序及表决结果等事项出具法律意见书，并与股东会决议一并披露。</w:t>
      </w:r>
    </w:p>
    <w:p w14:paraId="16571CE8">
      <w:pPr>
        <w:pStyle w:val="34"/>
        <w:numPr>
          <w:ilvl w:val="0"/>
          <w:numId w:val="17"/>
        </w:numPr>
        <w:spacing w:line="560" w:lineRule="exact"/>
        <w:ind w:left="0" w:firstLine="640"/>
        <w:rPr>
          <w:rFonts w:hint="eastAsia" w:ascii="仿宋_GB2312" w:hAnsi="宋体"/>
          <w:sz w:val="32"/>
          <w:szCs w:val="32"/>
        </w:rPr>
      </w:pPr>
      <w:r>
        <w:rPr>
          <w:rFonts w:hint="eastAsia" w:ascii="仿宋_GB2312" w:hAnsi="宋体"/>
          <w:sz w:val="32"/>
          <w:szCs w:val="32"/>
        </w:rPr>
        <w:t>上市公司应当在股东会结束后，按照本所规定的格式和内容要求，及时披露股东会决议公告。</w:t>
      </w:r>
    </w:p>
    <w:p w14:paraId="7EAECDE9">
      <w:pPr>
        <w:pStyle w:val="34"/>
        <w:numPr>
          <w:ilvl w:val="0"/>
          <w:numId w:val="17"/>
        </w:numPr>
        <w:spacing w:line="560" w:lineRule="exact"/>
        <w:ind w:left="0" w:firstLine="640"/>
        <w:rPr>
          <w:rFonts w:hint="eastAsia" w:ascii="仿宋_GB2312" w:hAnsi="宋体"/>
          <w:sz w:val="32"/>
          <w:szCs w:val="32"/>
        </w:rPr>
      </w:pPr>
      <w:r>
        <w:rPr>
          <w:rFonts w:hint="eastAsia" w:ascii="仿宋_GB2312" w:hAnsi="宋体"/>
          <w:sz w:val="32"/>
          <w:szCs w:val="32"/>
        </w:rPr>
        <w:t>董事会应当确保上市公司依法合规运作，公平对待所有股东，并维护其他利益相关者的合法权益。</w:t>
      </w:r>
    </w:p>
    <w:p w14:paraId="1A94EF83">
      <w:pPr>
        <w:numPr>
          <w:ilvl w:val="1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董事会的人数及人员构成应当符合法律法规的要求，董事会成员应当具备履行职责所必需的知识、技能和素质。</w:t>
      </w:r>
    </w:p>
    <w:p w14:paraId="7894C16F">
      <w:pPr>
        <w:pStyle w:val="34"/>
        <w:numPr>
          <w:ilvl w:val="0"/>
          <w:numId w:val="17"/>
        </w:numPr>
        <w:spacing w:line="560" w:lineRule="exact"/>
        <w:ind w:left="0" w:firstLine="640"/>
        <w:rPr>
          <w:rFonts w:hint="eastAsia" w:ascii="仿宋_GB2312" w:hAnsi="宋体"/>
          <w:sz w:val="32"/>
          <w:szCs w:val="32"/>
        </w:rPr>
      </w:pPr>
      <w:r>
        <w:rPr>
          <w:rFonts w:hint="eastAsia" w:ascii="仿宋_GB2312" w:hAnsi="宋体"/>
          <w:sz w:val="32"/>
          <w:szCs w:val="32"/>
        </w:rPr>
        <w:t>上市公司应当制定董事会议事规则，并列入公司章程或者作为章程附件，报股东会批准，确保董事会有效履行职责。</w:t>
      </w:r>
    </w:p>
    <w:p w14:paraId="723039ED">
      <w:pPr>
        <w:pStyle w:val="9"/>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董事会决议涉及应当披露事项的，上市公司应当在相关事项公告中说明董事会审议情况；董事反对或弃权的，应当披露反对或弃权理由。</w:t>
      </w:r>
    </w:p>
    <w:p w14:paraId="31500E11">
      <w:pPr>
        <w:pStyle w:val="34"/>
        <w:numPr>
          <w:ilvl w:val="0"/>
          <w:numId w:val="17"/>
        </w:numPr>
        <w:spacing w:line="560" w:lineRule="exact"/>
        <w:ind w:left="0" w:firstLine="640"/>
      </w:pPr>
      <w:r>
        <w:rPr>
          <w:rFonts w:hint="eastAsia" w:ascii="仿宋_GB2312" w:hAnsi="宋体"/>
          <w:sz w:val="32"/>
          <w:szCs w:val="32"/>
        </w:rPr>
        <w:t>上市公司董事会设置审计委员会，行使《公司法》规定的监事会的职权。</w:t>
      </w:r>
    </w:p>
    <w:p w14:paraId="55A64EBA">
      <w:pPr>
        <w:pStyle w:val="34"/>
        <w:numPr>
          <w:ilvl w:val="0"/>
          <w:numId w:val="17"/>
        </w:numPr>
        <w:spacing w:line="560" w:lineRule="exact"/>
        <w:ind w:left="0" w:firstLine="640"/>
      </w:pPr>
      <w:r>
        <w:rPr>
          <w:rFonts w:hint="eastAsia" w:ascii="仿宋_GB2312" w:hAnsi="宋体"/>
          <w:sz w:val="32"/>
          <w:szCs w:val="32"/>
        </w:rPr>
        <w:t>审计委员会由3名以上不在上市公司担任高级管理人员的董事组成，其中独立董事应当过半数。公司董事会成员中的职工代表可以成为审计委员会成员。</w:t>
      </w:r>
    </w:p>
    <w:p w14:paraId="59068DD5">
      <w:pPr>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sz w:val="32"/>
          <w:szCs w:val="32"/>
        </w:rPr>
        <w:t>审计委员会的召集人应当为独立董事且为会计专业人士。</w:t>
      </w:r>
    </w:p>
    <w:p w14:paraId="6F13F6A3">
      <w:pPr>
        <w:pStyle w:val="34"/>
        <w:numPr>
          <w:ilvl w:val="0"/>
          <w:numId w:val="17"/>
        </w:numPr>
        <w:adjustRightInd w:val="0"/>
        <w:spacing w:line="560" w:lineRule="exact"/>
        <w:ind w:left="0" w:firstLine="640"/>
        <w:rPr>
          <w:rFonts w:hint="eastAsia" w:ascii="仿宋_GB2312" w:hAnsi="宋体"/>
          <w:sz w:val="32"/>
          <w:szCs w:val="32"/>
        </w:rPr>
      </w:pPr>
      <w:r>
        <w:rPr>
          <w:rFonts w:hint="eastAsia" w:ascii="仿宋_GB2312" w:hAnsi="宋体"/>
          <w:sz w:val="32"/>
          <w:szCs w:val="32"/>
        </w:rPr>
        <w:t xml:space="preserve"> </w:t>
      </w:r>
      <w:r>
        <w:rPr>
          <w:rFonts w:hint="eastAsia" w:ascii="仿宋_GB2312" w:hAnsi="宋体"/>
          <w:sz w:val="32"/>
          <w:szCs w:val="32"/>
          <w:lang w:val="zh-CN"/>
        </w:rPr>
        <w:t>审计委员会</w:t>
      </w:r>
      <w:r>
        <w:rPr>
          <w:rFonts w:hint="eastAsia" w:ascii="仿宋_GB2312" w:hAnsi="宋体"/>
          <w:sz w:val="32"/>
          <w:szCs w:val="32"/>
        </w:rPr>
        <w:t>应当负责审核公司财务信息及其披露、监督及评估内外部审计工作和内部控制。下列事项应当经审计委员会全体成员过半数同意后，提交董事会审议：</w:t>
      </w:r>
    </w:p>
    <w:p w14:paraId="06D24F2C">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（一）披露财务会计报告及定期报告中的财务信息、内部控制评价报告；</w:t>
      </w:r>
    </w:p>
    <w:p w14:paraId="2C79D201">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（二）聘用、解聘承办上市公司审计业务的会计师事务所；</w:t>
      </w:r>
    </w:p>
    <w:p w14:paraId="47A01849">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（三）聘任或者解聘上市公司财务负责人；</w:t>
      </w:r>
    </w:p>
    <w:p w14:paraId="1F078669">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（四）因会计准则变更以外的原因作出会计政策、会计估计变更或者重大会计差错更正；</w:t>
      </w:r>
    </w:p>
    <w:p w14:paraId="432A0C68">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（五）法律法规、本所相关规定及公司章程规定的其他事项。</w:t>
      </w:r>
    </w:p>
    <w:p w14:paraId="5DE33049">
      <w:pPr>
        <w:pStyle w:val="34"/>
        <w:numPr>
          <w:ilvl w:val="0"/>
          <w:numId w:val="17"/>
        </w:numPr>
        <w:spacing w:line="560" w:lineRule="exact"/>
        <w:ind w:left="0" w:firstLine="640"/>
        <w:rPr>
          <w:rFonts w:hint="eastAsia" w:ascii="仿宋_GB2312" w:hAnsi="宋体"/>
          <w:sz w:val="32"/>
          <w:szCs w:val="32"/>
        </w:rPr>
      </w:pPr>
      <w:r>
        <w:rPr>
          <w:rFonts w:hint="eastAsia" w:ascii="仿宋_GB2312" w:hAnsi="宋体"/>
          <w:sz w:val="32"/>
          <w:szCs w:val="32"/>
        </w:rPr>
        <w:t xml:space="preserve"> 审计委员会每季度至少召开一次会议，两名及以上成员提议，或者召集人认为有必要时，可以召开临时会议。审计委员会会议须有三分之二以上成员出席方可举行。</w:t>
      </w:r>
    </w:p>
    <w:p w14:paraId="6B84DDB7">
      <w:pPr>
        <w:pStyle w:val="34"/>
        <w:spacing w:line="560" w:lineRule="exact"/>
        <w:ind w:firstLine="640"/>
        <w:rPr>
          <w:rFonts w:hint="eastAsia" w:ascii="仿宋_GB2312" w:hAnsi="宋体"/>
          <w:sz w:val="32"/>
          <w:szCs w:val="32"/>
        </w:rPr>
      </w:pPr>
      <w:r>
        <w:rPr>
          <w:rFonts w:hint="eastAsia" w:ascii="仿宋_GB2312" w:hAnsi="宋体"/>
          <w:sz w:val="32"/>
          <w:szCs w:val="32"/>
        </w:rPr>
        <w:t>审计委员会作出决议，应当经审计委员会成员的过半数通过。</w:t>
      </w:r>
    </w:p>
    <w:p w14:paraId="1EC4A47D">
      <w:pPr>
        <w:pStyle w:val="34"/>
        <w:spacing w:line="560" w:lineRule="exact"/>
        <w:ind w:firstLine="640"/>
        <w:rPr>
          <w:rFonts w:hint="eastAsia" w:ascii="仿宋_GB2312" w:hAnsi="宋体"/>
          <w:sz w:val="32"/>
          <w:szCs w:val="32"/>
        </w:rPr>
      </w:pPr>
      <w:r>
        <w:rPr>
          <w:rFonts w:hint="eastAsia" w:ascii="仿宋_GB2312" w:hAnsi="宋体"/>
          <w:sz w:val="32"/>
          <w:szCs w:val="32"/>
        </w:rPr>
        <w:t>审计委员会决议的表决，应当一人一票。</w:t>
      </w:r>
    </w:p>
    <w:p w14:paraId="4F0A3EEE">
      <w:pPr>
        <w:pStyle w:val="34"/>
        <w:spacing w:line="560" w:lineRule="exact"/>
        <w:ind w:firstLine="640"/>
        <w:rPr>
          <w:rFonts w:hint="eastAsia" w:ascii="仿宋_GB2312" w:hAnsi="宋体"/>
          <w:sz w:val="32"/>
          <w:szCs w:val="32"/>
        </w:rPr>
      </w:pPr>
      <w:r>
        <w:rPr>
          <w:rFonts w:hint="eastAsia" w:ascii="仿宋_GB2312" w:hAnsi="宋体"/>
          <w:sz w:val="32"/>
          <w:szCs w:val="32"/>
        </w:rPr>
        <w:t>审计委员会决议应当按规定制作会议记录，出席会议的审计委员会成员应当在会议记录上签名。本所要求提供审计委员会会议记录的，公司应当提供。</w:t>
      </w:r>
    </w:p>
    <w:p w14:paraId="6F126707">
      <w:pPr>
        <w:pStyle w:val="34"/>
        <w:numPr>
          <w:ilvl w:val="0"/>
          <w:numId w:val="17"/>
        </w:numPr>
        <w:spacing w:line="560" w:lineRule="exact"/>
        <w:ind w:left="0" w:firstLine="640"/>
        <w:rPr>
          <w:rFonts w:ascii="仿宋_GB2312"/>
          <w:sz w:val="32"/>
          <w:szCs w:val="32"/>
        </w:rPr>
      </w:pPr>
      <w:r>
        <w:rPr>
          <w:rFonts w:hint="eastAsia" w:ascii="仿宋_GB2312"/>
          <w:sz w:val="32"/>
          <w:szCs w:val="32"/>
        </w:rPr>
        <w:t>上市公司可以在董事会中设置战略、提名、薪酬与考核等其他专门委员会，按照公司章程和董事会授权履行职责</w:t>
      </w:r>
      <w:r>
        <w:rPr>
          <w:rFonts w:hint="eastAsia" w:ascii="仿宋_GB2312" w:hAnsi="宋体"/>
          <w:sz w:val="32"/>
          <w:szCs w:val="32"/>
        </w:rPr>
        <w:t>。</w:t>
      </w:r>
      <w:r>
        <w:rPr>
          <w:rFonts w:hint="eastAsia" w:ascii="仿宋_GB2312"/>
          <w:sz w:val="32"/>
          <w:szCs w:val="32"/>
        </w:rPr>
        <w:t>其他专门委员会成员全部由董事组成，其中提名委员会、薪酬与考核委员会中独立董事应当过半数并担任召集人。国务院有关主管部门对专门委员会的召集人另有规定的，从其规定。</w:t>
      </w:r>
    </w:p>
    <w:p w14:paraId="707DF47D">
      <w:pPr>
        <w:pStyle w:val="34"/>
        <w:spacing w:line="560" w:lineRule="exact"/>
        <w:ind w:firstLine="640"/>
        <w:rPr>
          <w:rFonts w:ascii="仿宋_GB2312"/>
          <w:sz w:val="32"/>
          <w:szCs w:val="32"/>
        </w:rPr>
      </w:pPr>
      <w:r>
        <w:rPr>
          <w:rFonts w:hint="eastAsia" w:ascii="仿宋_GB2312"/>
          <w:sz w:val="32"/>
          <w:szCs w:val="32"/>
        </w:rPr>
        <w:t>提名委员会、薪酬与考核委员会应当按照法律法规、本所有关规定、公司章程和董事会的规定履行职责，就相关事项向董事会提出建议。董事会对相关建议未采纳或者未完全采纳的，应当在董事会决议中记载相关意见及未采纳的具体理由，并进行披露。</w:t>
      </w:r>
    </w:p>
    <w:p w14:paraId="728C5788">
      <w:pPr>
        <w:pStyle w:val="34"/>
        <w:numPr>
          <w:ilvl w:val="0"/>
          <w:numId w:val="17"/>
        </w:numPr>
        <w:spacing w:line="560" w:lineRule="exact"/>
        <w:ind w:left="0" w:firstLine="640"/>
        <w:rPr>
          <w:rFonts w:ascii="仿宋_GB2312" w:hAnsi="Times New Roman"/>
          <w:sz w:val="32"/>
          <w:szCs w:val="32"/>
        </w:rPr>
      </w:pPr>
      <w:r>
        <w:rPr>
          <w:rFonts w:ascii="仿宋_GB2312"/>
          <w:sz w:val="32"/>
          <w:szCs w:val="32"/>
        </w:rPr>
        <w:t>上市公司应当聘请</w:t>
      </w:r>
      <w:r>
        <w:rPr>
          <w:rFonts w:hint="eastAsia" w:ascii="仿宋_GB2312"/>
          <w:sz w:val="32"/>
          <w:szCs w:val="32"/>
        </w:rPr>
        <w:t>符合《证券法》规定的</w:t>
      </w:r>
      <w:r>
        <w:rPr>
          <w:rFonts w:ascii="仿宋_GB2312"/>
          <w:sz w:val="32"/>
          <w:szCs w:val="32"/>
        </w:rPr>
        <w:t>会计师事务所</w:t>
      </w:r>
      <w:r>
        <w:rPr>
          <w:rFonts w:hint="eastAsia" w:ascii="仿宋_GB2312"/>
          <w:sz w:val="32"/>
          <w:szCs w:val="32"/>
        </w:rPr>
        <w:t>，</w:t>
      </w:r>
      <w:r>
        <w:rPr>
          <w:rFonts w:ascii="仿宋_GB2312"/>
          <w:sz w:val="32"/>
          <w:szCs w:val="32"/>
        </w:rPr>
        <w:t>为其提供会计报表审计、</w:t>
      </w:r>
      <w:r>
        <w:rPr>
          <w:rFonts w:hint="eastAsia" w:ascii="仿宋_GB2312"/>
          <w:sz w:val="32"/>
          <w:szCs w:val="32"/>
        </w:rPr>
        <w:t>验资</w:t>
      </w:r>
      <w:r>
        <w:rPr>
          <w:rFonts w:ascii="仿宋_GB2312"/>
          <w:sz w:val="32"/>
          <w:szCs w:val="32"/>
        </w:rPr>
        <w:t>及其他相关服务。</w:t>
      </w:r>
    </w:p>
    <w:p w14:paraId="3D5AAF60">
      <w:pPr>
        <w:spacing w:line="560" w:lineRule="exact"/>
        <w:ind w:firstLine="640" w:firstLineChars="200"/>
        <w:rPr>
          <w:rFonts w:ascii="仿宋_GB2312" w:eastAsia="仿宋_GB2312"/>
          <w:sz w:val="32"/>
          <w:szCs w:val="32"/>
        </w:rPr>
      </w:pPr>
      <w:r>
        <w:rPr>
          <w:rFonts w:ascii="仿宋_GB2312" w:eastAsia="仿宋_GB2312"/>
          <w:sz w:val="32"/>
          <w:szCs w:val="32"/>
        </w:rPr>
        <w:t>公司聘请或者解聘会计师事务所</w:t>
      </w:r>
      <w:r>
        <w:rPr>
          <w:rFonts w:hint="eastAsia" w:ascii="仿宋_GB2312" w:eastAsia="仿宋_GB2312"/>
          <w:sz w:val="32"/>
          <w:szCs w:val="32"/>
        </w:rPr>
        <w:t>应当</w:t>
      </w:r>
      <w:r>
        <w:rPr>
          <w:rFonts w:ascii="仿宋_GB2312" w:eastAsia="仿宋_GB2312"/>
          <w:sz w:val="32"/>
          <w:szCs w:val="32"/>
        </w:rPr>
        <w:t>由股东会决定，董事会不得在股东会决定前委任会计师事务所。</w:t>
      </w:r>
    </w:p>
    <w:p w14:paraId="3F58DE4C">
      <w:pPr>
        <w:spacing w:line="560" w:lineRule="exact"/>
        <w:ind w:firstLine="640" w:firstLineChars="200"/>
        <w:rPr>
          <w:rFonts w:ascii="仿宋_GB2312" w:eastAsia="仿宋_GB2312"/>
          <w:sz w:val="32"/>
          <w:szCs w:val="32"/>
        </w:rPr>
      </w:pPr>
      <w:r>
        <w:rPr>
          <w:rFonts w:ascii="仿宋_GB2312" w:eastAsia="仿宋_GB2312"/>
          <w:sz w:val="32"/>
          <w:szCs w:val="32"/>
        </w:rPr>
        <w:t>公司股东会就解聘会计师事务所进行表决时，会计师事务所可以陈述意见。</w:t>
      </w:r>
    </w:p>
    <w:p w14:paraId="66B5BBA3">
      <w:pPr>
        <w:pStyle w:val="34"/>
        <w:numPr>
          <w:ilvl w:val="0"/>
          <w:numId w:val="17"/>
        </w:numPr>
        <w:spacing w:line="560" w:lineRule="exact"/>
        <w:ind w:left="0" w:firstLine="640"/>
        <w:rPr>
          <w:rFonts w:hint="eastAsia" w:ascii="仿宋_GB2312" w:hAnsi="宋体"/>
          <w:sz w:val="32"/>
          <w:szCs w:val="32"/>
        </w:rPr>
      </w:pPr>
      <w:r>
        <w:rPr>
          <w:rFonts w:hint="eastAsia" w:ascii="仿宋_GB2312" w:hAnsi="宋体"/>
          <w:sz w:val="32"/>
          <w:szCs w:val="32"/>
        </w:rPr>
        <w:t>上市公司股东会、董事会或者审计委员会不能正常召开、在召开期间出现异常情况或者决议成立、决议效力存在争议的，上市公司应当及时披露相关事项、争议各方的主张、公司现状等有助于投资者了解公司实际情况的信息。</w:t>
      </w:r>
    </w:p>
    <w:p w14:paraId="386B2BFE">
      <w:pPr>
        <w:numPr>
          <w:ilvl w:val="1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出现前款规定情形的，上市公司董事会应当维护公司正常生产经营秩序，保护公司及全体股东利益，公平对待所有股东。</w:t>
      </w:r>
    </w:p>
    <w:p w14:paraId="434D8AEA">
      <w:pPr>
        <w:pStyle w:val="34"/>
        <w:numPr>
          <w:ilvl w:val="0"/>
          <w:numId w:val="17"/>
        </w:numPr>
        <w:spacing w:line="560" w:lineRule="exact"/>
        <w:ind w:left="0" w:firstLine="640"/>
        <w:rPr>
          <w:rFonts w:hint="eastAsia" w:ascii="仿宋_GB2312" w:hAnsi="宋体"/>
          <w:sz w:val="32"/>
          <w:szCs w:val="32"/>
        </w:rPr>
      </w:pPr>
      <w:r>
        <w:rPr>
          <w:rFonts w:hint="eastAsia" w:ascii="仿宋_GB2312" w:hAnsi="宋体"/>
          <w:sz w:val="32"/>
          <w:szCs w:val="32"/>
        </w:rPr>
        <w:t>上市公司控股子公司不得取得该上市公司发行的股份。确因特殊原因持有股份的，应当在一年内依法消除该情形。前述情形消除前，相关子公司不得行使所持股份对应的表决权。</w:t>
      </w:r>
    </w:p>
    <w:p w14:paraId="3312EC36">
      <w:pPr>
        <w:pStyle w:val="36"/>
        <w:numPr>
          <w:ilvl w:val="1"/>
          <w:numId w:val="1"/>
        </w:numPr>
        <w:ind w:left="0" w:firstLine="643"/>
        <w:rPr>
          <w:rFonts w:hint="eastAsia"/>
        </w:rPr>
      </w:pPr>
      <w:bookmarkStart w:id="103" w:name="_Toc13010"/>
      <w:bookmarkStart w:id="104" w:name="_Toc7076"/>
      <w:bookmarkStart w:id="105" w:name="_Toc170284228"/>
      <w:r>
        <w:rPr>
          <w:rFonts w:hint="eastAsia"/>
        </w:rPr>
        <w:t>社会责任</w:t>
      </w:r>
      <w:bookmarkEnd w:id="103"/>
      <w:bookmarkEnd w:id="104"/>
      <w:bookmarkEnd w:id="105"/>
    </w:p>
    <w:p w14:paraId="7E30AC92">
      <w:pPr>
        <w:pStyle w:val="34"/>
        <w:numPr>
          <w:ilvl w:val="0"/>
          <w:numId w:val="18"/>
        </w:numPr>
        <w:spacing w:line="560" w:lineRule="exact"/>
        <w:ind w:left="0" w:firstLine="640"/>
        <w:rPr>
          <w:rFonts w:hint="eastAsia" w:ascii="仿宋_GB2312" w:hAnsi="宋体"/>
          <w:sz w:val="32"/>
          <w:szCs w:val="32"/>
        </w:rPr>
      </w:pPr>
      <w:r>
        <w:rPr>
          <w:rFonts w:hint="eastAsia" w:ascii="仿宋_GB2312" w:hAnsi="仿宋"/>
          <w:sz w:val="32"/>
          <w:szCs w:val="32"/>
        </w:rPr>
        <w:t>上市公司应当积极承担社会责任，维护社会公共利益，并披露保护环境、保障产品安全、维护员工与其他利益相关者合法权益等履行社会责任的情况。</w:t>
      </w:r>
    </w:p>
    <w:p w14:paraId="49F2FDD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上市公司应当在年度报告中披露履行社会责任的情况，并按规定编制和披露社会责任报告、可持续发展报告等文件。出现违背社会责任重大事项时应当充分评估潜在影响并及时披露，</w:t>
      </w:r>
      <w:r>
        <w:rPr>
          <w:rFonts w:ascii="仿宋_GB2312" w:hAnsi="宋体" w:eastAsia="仿宋_GB2312"/>
          <w:sz w:val="32"/>
          <w:szCs w:val="32"/>
        </w:rPr>
        <w:t>说明原因和解决方案。</w:t>
      </w:r>
    </w:p>
    <w:p w14:paraId="7F5A4C33">
      <w:pPr>
        <w:pStyle w:val="34"/>
        <w:numPr>
          <w:ilvl w:val="0"/>
          <w:numId w:val="18"/>
        </w:numPr>
        <w:spacing w:line="560" w:lineRule="exact"/>
        <w:ind w:left="0" w:firstLine="640"/>
        <w:rPr>
          <w:rFonts w:hint="eastAsia" w:ascii="仿宋_GB2312" w:hAnsi="宋体"/>
          <w:sz w:val="32"/>
          <w:szCs w:val="32"/>
        </w:rPr>
      </w:pPr>
      <w:r>
        <w:rPr>
          <w:rFonts w:hint="eastAsia" w:ascii="仿宋_GB2312" w:hAnsi="仿宋"/>
          <w:sz w:val="32"/>
          <w:szCs w:val="32"/>
        </w:rPr>
        <w:t>上市公司应当将生态环保要求融入发展战略和公司治理过程，并根据自身生产经营特点和实际情况，履行下列环境保护责任：</w:t>
      </w:r>
    </w:p>
    <w:p w14:paraId="6AE879FC">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（一）遵守环境保护法律法规与行业标准；</w:t>
      </w:r>
    </w:p>
    <w:p w14:paraId="7C287D05">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（二）制订执行公司环境保护计划；</w:t>
      </w:r>
    </w:p>
    <w:p w14:paraId="38A708F4">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（三）高效使用能源、水资源、原材料等自然资源；</w:t>
      </w:r>
    </w:p>
    <w:p w14:paraId="76B73132">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（四）合规处置污染物；</w:t>
      </w:r>
    </w:p>
    <w:p w14:paraId="428551CD">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（五）建设运行有效的污染防治设施；</w:t>
      </w:r>
    </w:p>
    <w:p w14:paraId="0F5F05B0">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（六）足额缴纳环境保护相关税费；</w:t>
      </w:r>
    </w:p>
    <w:p w14:paraId="5401E607">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（七）保障供应链环境安全；</w:t>
      </w:r>
    </w:p>
    <w:p w14:paraId="08560F9B">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（八）其他应当履行的环境保护责任事项。</w:t>
      </w:r>
    </w:p>
    <w:p w14:paraId="3A9E96C1">
      <w:pPr>
        <w:pStyle w:val="34"/>
        <w:numPr>
          <w:ilvl w:val="0"/>
          <w:numId w:val="18"/>
        </w:numPr>
        <w:spacing w:line="560" w:lineRule="exact"/>
        <w:ind w:left="0" w:firstLine="640"/>
        <w:rPr>
          <w:rFonts w:ascii="仿宋_GB2312"/>
          <w:sz w:val="32"/>
          <w:szCs w:val="32"/>
        </w:rPr>
      </w:pPr>
      <w:r>
        <w:rPr>
          <w:rFonts w:hint="eastAsia" w:ascii="仿宋_GB2312"/>
          <w:sz w:val="32"/>
          <w:szCs w:val="32"/>
        </w:rPr>
        <w:t>上市公司应当</w:t>
      </w:r>
      <w:r>
        <w:rPr>
          <w:rFonts w:hint="eastAsia" w:ascii="仿宋_GB2312" w:hAnsi="仿宋"/>
          <w:sz w:val="32"/>
          <w:szCs w:val="32"/>
        </w:rPr>
        <w:t>根据自身生产经营模式，</w:t>
      </w:r>
      <w:r>
        <w:rPr>
          <w:rFonts w:hint="eastAsia" w:ascii="仿宋_GB2312"/>
          <w:sz w:val="32"/>
          <w:szCs w:val="32"/>
        </w:rPr>
        <w:t>履行下列生产及产品安全保障责任：</w:t>
      </w:r>
    </w:p>
    <w:p w14:paraId="05FBB612">
      <w:pPr>
        <w:spacing w:line="560" w:lineRule="exact"/>
        <w:ind w:firstLine="640" w:firstLineChars="200"/>
        <w:rPr>
          <w:rFonts w:hint="eastAsia" w:ascii="仿宋_GB2312" w:hAnsi="仿宋"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遵守产品安全法律法规与行业标准；</w:t>
      </w:r>
    </w:p>
    <w:p w14:paraId="5C1949AE">
      <w:pPr>
        <w:spacing w:line="560" w:lineRule="exact"/>
        <w:ind w:firstLine="640" w:firstLineChars="200"/>
        <w:rPr>
          <w:rFonts w:hint="eastAsia" w:ascii="仿宋_GB2312" w:hAnsi="仿宋" w:eastAsia="仿宋_GB2312"/>
          <w:sz w:val="32"/>
          <w:szCs w:val="32"/>
        </w:rPr>
      </w:pPr>
      <w:r>
        <w:rPr>
          <w:rFonts w:hint="eastAsia" w:ascii="仿宋_GB2312" w:eastAsia="仿宋_GB2312"/>
          <w:sz w:val="32"/>
          <w:szCs w:val="32"/>
        </w:rPr>
        <w:t>（二）建</w:t>
      </w:r>
      <w:r>
        <w:rPr>
          <w:rFonts w:hint="eastAsia" w:ascii="仿宋_GB2312" w:hAnsi="仿宋" w:eastAsia="仿宋_GB2312"/>
          <w:sz w:val="32"/>
          <w:szCs w:val="32"/>
        </w:rPr>
        <w:t>立安全可靠的生产环境和生产流程</w:t>
      </w:r>
      <w:r>
        <w:rPr>
          <w:rFonts w:hint="eastAsia" w:ascii="仿宋_GB2312" w:eastAsia="仿宋_GB2312"/>
          <w:sz w:val="32"/>
          <w:szCs w:val="32"/>
        </w:rPr>
        <w:t>；</w:t>
      </w:r>
    </w:p>
    <w:p w14:paraId="78BB9F98">
      <w:pPr>
        <w:spacing w:line="560" w:lineRule="exact"/>
        <w:ind w:firstLine="640" w:firstLineChars="200"/>
        <w:rPr>
          <w:rFonts w:ascii="仿宋_GB2312" w:eastAsia="仿宋_GB2312"/>
          <w:sz w:val="32"/>
          <w:szCs w:val="32"/>
        </w:rPr>
      </w:pPr>
      <w:r>
        <w:rPr>
          <w:rFonts w:hint="eastAsia" w:ascii="仿宋_GB2312" w:eastAsia="仿宋_GB2312"/>
          <w:sz w:val="32"/>
          <w:szCs w:val="32"/>
        </w:rPr>
        <w:t>（三）建立产品质量安全保障机制与产品安全事故应急方案；</w:t>
      </w:r>
    </w:p>
    <w:p w14:paraId="0F0745F3">
      <w:pPr>
        <w:pStyle w:val="34"/>
        <w:spacing w:line="560" w:lineRule="exact"/>
        <w:ind w:firstLine="640"/>
        <w:rPr>
          <w:rFonts w:ascii="仿宋_GB2312"/>
          <w:sz w:val="32"/>
          <w:szCs w:val="32"/>
        </w:rPr>
      </w:pPr>
      <w:r>
        <w:rPr>
          <w:rFonts w:hint="eastAsia" w:ascii="仿宋_GB2312"/>
          <w:sz w:val="32"/>
          <w:szCs w:val="32"/>
        </w:rPr>
        <w:t>（四）其他应当履行的生产与产品安全责任。</w:t>
      </w:r>
    </w:p>
    <w:p w14:paraId="25755056">
      <w:pPr>
        <w:pStyle w:val="34"/>
        <w:numPr>
          <w:ilvl w:val="0"/>
          <w:numId w:val="18"/>
        </w:numPr>
        <w:spacing w:line="560" w:lineRule="exact"/>
        <w:ind w:left="0" w:firstLine="640"/>
        <w:rPr>
          <w:rFonts w:ascii="仿宋_GB2312" w:hAnsi="Times New Roman"/>
          <w:sz w:val="32"/>
          <w:szCs w:val="32"/>
        </w:rPr>
      </w:pPr>
      <w:r>
        <w:rPr>
          <w:rFonts w:hint="eastAsia" w:ascii="仿宋_GB2312" w:hAnsi="Times New Roman"/>
          <w:sz w:val="32"/>
          <w:szCs w:val="32"/>
        </w:rPr>
        <w:t>上市公司应当根据员工构成情况，履行下列员工权益保障责任：</w:t>
      </w:r>
    </w:p>
    <w:p w14:paraId="60D960B7">
      <w:pPr>
        <w:spacing w:line="560" w:lineRule="exact"/>
        <w:ind w:firstLine="640" w:firstLineChars="200"/>
        <w:rPr>
          <w:rFonts w:ascii="仿宋_GB2312" w:eastAsia="仿宋_GB2312"/>
          <w:sz w:val="32"/>
          <w:szCs w:val="32"/>
        </w:rPr>
      </w:pPr>
      <w:r>
        <w:rPr>
          <w:rFonts w:hint="eastAsia" w:ascii="仿宋_GB2312" w:eastAsia="仿宋_GB2312"/>
          <w:sz w:val="32"/>
          <w:szCs w:val="32"/>
        </w:rPr>
        <w:t>（一）建立员工聘用解雇、薪酬福利、社会保险、工作时间等管理制度及违规处理措施；</w:t>
      </w:r>
    </w:p>
    <w:p w14:paraId="2CC23CDD">
      <w:pPr>
        <w:spacing w:line="560" w:lineRule="exact"/>
        <w:ind w:firstLine="640" w:firstLineChars="200"/>
        <w:rPr>
          <w:rFonts w:ascii="仿宋_GB2312" w:eastAsia="仿宋_GB2312"/>
          <w:sz w:val="32"/>
          <w:szCs w:val="32"/>
        </w:rPr>
      </w:pPr>
      <w:r>
        <w:rPr>
          <w:rFonts w:hint="eastAsia" w:ascii="仿宋_GB2312" w:eastAsia="仿宋_GB2312"/>
          <w:sz w:val="32"/>
          <w:szCs w:val="32"/>
        </w:rPr>
        <w:t>（二）建立防范职业性危害的工作环境与配套安全措施；</w:t>
      </w:r>
    </w:p>
    <w:p w14:paraId="7DA1F02B">
      <w:pPr>
        <w:spacing w:line="560" w:lineRule="exact"/>
        <w:ind w:firstLine="640" w:firstLineChars="200"/>
        <w:rPr>
          <w:rFonts w:ascii="仿宋_GB2312" w:eastAsia="仿宋_GB2312"/>
          <w:sz w:val="32"/>
          <w:szCs w:val="32"/>
        </w:rPr>
      </w:pPr>
      <w:r>
        <w:rPr>
          <w:rFonts w:hint="eastAsia" w:ascii="仿宋_GB2312" w:eastAsia="仿宋_GB2312"/>
          <w:sz w:val="32"/>
          <w:szCs w:val="32"/>
        </w:rPr>
        <w:t>（三）开展必要的员工知识和职业技能培训；</w:t>
      </w:r>
    </w:p>
    <w:p w14:paraId="3073D25D">
      <w:pPr>
        <w:pStyle w:val="34"/>
        <w:spacing w:line="560" w:lineRule="exact"/>
        <w:ind w:firstLine="640"/>
        <w:rPr>
          <w:rFonts w:ascii="仿宋_GB2312"/>
          <w:sz w:val="32"/>
          <w:szCs w:val="32"/>
        </w:rPr>
      </w:pPr>
      <w:r>
        <w:rPr>
          <w:rFonts w:hint="eastAsia" w:ascii="仿宋_GB2312"/>
          <w:sz w:val="32"/>
          <w:szCs w:val="32"/>
        </w:rPr>
        <w:t>（四）其他应当履行的员工权益保护责任。</w:t>
      </w:r>
    </w:p>
    <w:p w14:paraId="2EF08791">
      <w:pPr>
        <w:pStyle w:val="34"/>
        <w:numPr>
          <w:ilvl w:val="0"/>
          <w:numId w:val="18"/>
        </w:numPr>
        <w:spacing w:line="560" w:lineRule="exact"/>
        <w:ind w:left="0" w:firstLine="640"/>
        <w:rPr>
          <w:rFonts w:ascii="仿宋_GB2312"/>
          <w:sz w:val="28"/>
          <w:szCs w:val="28"/>
        </w:rPr>
      </w:pPr>
      <w:r>
        <w:rPr>
          <w:rFonts w:hint="eastAsia" w:ascii="仿宋_GB2312" w:hAnsi="Times New Roman"/>
          <w:sz w:val="32"/>
          <w:szCs w:val="32"/>
        </w:rPr>
        <w:t>上市公司应当严格遵守科学伦理规范，尊重科学精神，恪守应有的价值观念、社会责任和行为规范，发挥科学技术的正面效应。</w:t>
      </w:r>
    </w:p>
    <w:p w14:paraId="18F6A9F2">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上市公司应当避免研究、开发和使用危害自然环境、生命健康、公共安全、伦理道德的科学技术，不得从事侵犯个人基本权利或者损害社会公共利益的研发和经营活动。</w:t>
      </w:r>
    </w:p>
    <w:p w14:paraId="282504A9">
      <w:pPr>
        <w:spacing w:line="560" w:lineRule="exact"/>
        <w:ind w:firstLine="640" w:firstLineChars="200"/>
        <w:rPr>
          <w:rFonts w:ascii="仿宋_GB2312" w:eastAsia="仿宋_GB2312"/>
          <w:sz w:val="28"/>
          <w:szCs w:val="28"/>
        </w:rPr>
      </w:pPr>
      <w:r>
        <w:rPr>
          <w:rFonts w:hint="eastAsia" w:ascii="仿宋_GB2312" w:eastAsia="仿宋_GB2312"/>
          <w:sz w:val="32"/>
          <w:szCs w:val="32"/>
        </w:rPr>
        <w:t>上市公司在生命科学、人工智能、信息技术、生态环境、新材料等科技创新领域开发或者使用创新技术的，应当遵循审慎和稳健原则，充分评估其潜在影响及可靠性。</w:t>
      </w:r>
    </w:p>
    <w:p w14:paraId="100F7E16">
      <w:pPr>
        <w:pStyle w:val="36"/>
        <w:numPr>
          <w:ilvl w:val="1"/>
          <w:numId w:val="1"/>
        </w:numPr>
        <w:ind w:left="0" w:firstLine="643"/>
        <w:rPr>
          <w:rFonts w:hint="eastAsia"/>
        </w:rPr>
      </w:pPr>
      <w:bookmarkStart w:id="106" w:name="_Toc530857367"/>
      <w:bookmarkEnd w:id="106"/>
      <w:bookmarkStart w:id="107" w:name="_Toc530857370"/>
      <w:bookmarkEnd w:id="107"/>
      <w:bookmarkStart w:id="108" w:name="_Toc530857361"/>
      <w:bookmarkEnd w:id="108"/>
      <w:bookmarkStart w:id="109" w:name="_Toc530857357"/>
      <w:bookmarkEnd w:id="109"/>
      <w:bookmarkStart w:id="110" w:name="_Toc530857371"/>
      <w:bookmarkEnd w:id="110"/>
      <w:bookmarkStart w:id="111" w:name="_Toc530857362"/>
      <w:bookmarkEnd w:id="111"/>
      <w:bookmarkStart w:id="112" w:name="_Toc530857353"/>
      <w:bookmarkEnd w:id="112"/>
      <w:bookmarkStart w:id="113" w:name="_Toc530857364"/>
      <w:bookmarkEnd w:id="113"/>
      <w:bookmarkStart w:id="114" w:name="_Toc530857354"/>
      <w:bookmarkEnd w:id="114"/>
      <w:bookmarkStart w:id="115" w:name="_Toc530857373"/>
      <w:bookmarkEnd w:id="115"/>
      <w:bookmarkStart w:id="116" w:name="_Toc530857360"/>
      <w:bookmarkEnd w:id="116"/>
      <w:bookmarkStart w:id="117" w:name="_Toc530857358"/>
      <w:bookmarkEnd w:id="117"/>
      <w:bookmarkStart w:id="118" w:name="_Toc530857369"/>
      <w:bookmarkEnd w:id="118"/>
      <w:bookmarkStart w:id="119" w:name="_Toc530857368"/>
      <w:bookmarkEnd w:id="119"/>
      <w:bookmarkStart w:id="120" w:name="_Toc530857366"/>
      <w:bookmarkEnd w:id="120"/>
      <w:bookmarkStart w:id="121" w:name="_Toc530857359"/>
      <w:bookmarkEnd w:id="121"/>
      <w:bookmarkStart w:id="122" w:name="_Toc530857365"/>
      <w:bookmarkEnd w:id="122"/>
      <w:bookmarkStart w:id="123" w:name="_Toc530857356"/>
      <w:bookmarkEnd w:id="123"/>
      <w:bookmarkStart w:id="124" w:name="_Toc530857355"/>
      <w:bookmarkEnd w:id="124"/>
      <w:bookmarkStart w:id="125" w:name="_Toc530857363"/>
      <w:bookmarkEnd w:id="125"/>
      <w:bookmarkStart w:id="126" w:name="_Toc530857372"/>
      <w:bookmarkEnd w:id="126"/>
      <w:bookmarkStart w:id="127" w:name="_Toc29795"/>
      <w:bookmarkStart w:id="128" w:name="_Toc3849"/>
      <w:bookmarkStart w:id="129" w:name="_Toc170284229"/>
      <w:r>
        <w:rPr>
          <w:rFonts w:hint="eastAsia"/>
        </w:rPr>
        <w:t>表决权差异安排</w:t>
      </w:r>
      <w:bookmarkEnd w:id="127"/>
      <w:bookmarkEnd w:id="128"/>
      <w:bookmarkEnd w:id="129"/>
    </w:p>
    <w:p w14:paraId="20B1DE3A">
      <w:pPr>
        <w:numPr>
          <w:ilvl w:val="2"/>
          <w:numId w:val="19"/>
        </w:numPr>
        <w:tabs>
          <w:tab w:val="left" w:pos="0"/>
          <w:tab w:val="left" w:pos="1276"/>
        </w:tabs>
        <w:snapToGrid w:val="0"/>
        <w:spacing w:line="560" w:lineRule="exact"/>
        <w:ind w:left="0" w:firstLine="640" w:firstLineChars="200"/>
        <w:rPr>
          <w:rFonts w:hint="eastAsia" w:ascii="仿宋_GB2312" w:hAnsi="仿宋" w:eastAsia="仿宋_GB2312"/>
          <w:sz w:val="32"/>
          <w:szCs w:val="32"/>
        </w:rPr>
      </w:pPr>
      <w:r>
        <w:rPr>
          <w:rFonts w:hint="eastAsia" w:ascii="仿宋_GB2312" w:hAnsi="仿宋" w:eastAsia="仿宋_GB2312"/>
          <w:sz w:val="32"/>
          <w:szCs w:val="32"/>
        </w:rPr>
        <w:t>上市公司具有表决权差异安排的，应当充分、详细披露相关情况特别是风险、公司治理等信息，以及依法落实保护投资者合法权益规定的各项措施。</w:t>
      </w:r>
    </w:p>
    <w:p w14:paraId="3F2C0D48">
      <w:pPr>
        <w:numPr>
          <w:ilvl w:val="2"/>
          <w:numId w:val="19"/>
        </w:numPr>
        <w:tabs>
          <w:tab w:val="left" w:pos="0"/>
          <w:tab w:val="left" w:pos="1276"/>
        </w:tabs>
        <w:snapToGrid w:val="0"/>
        <w:spacing w:line="560" w:lineRule="exact"/>
        <w:ind w:left="0" w:firstLine="640" w:firstLineChars="200"/>
        <w:rPr>
          <w:rFonts w:hint="eastAsia" w:ascii="仿宋_GB2312" w:hAnsi="仿宋" w:eastAsia="仿宋_GB2312"/>
          <w:sz w:val="32"/>
          <w:szCs w:val="32"/>
        </w:rPr>
      </w:pPr>
      <w:r>
        <w:rPr>
          <w:rFonts w:hint="eastAsia" w:ascii="仿宋_GB2312" w:hAnsi="仿宋" w:eastAsia="仿宋_GB2312"/>
          <w:sz w:val="32"/>
          <w:szCs w:val="32"/>
        </w:rPr>
        <w:t>发行人首次公开发行并上市前设置表决权差异安排的，应当经出席股东会的股东所持三分之二以上的表决权通过。</w:t>
      </w:r>
    </w:p>
    <w:p w14:paraId="3A097337">
      <w:pPr>
        <w:tabs>
          <w:tab w:val="left" w:pos="1276"/>
          <w:tab w:val="left" w:pos="1418"/>
        </w:tabs>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发行人在首次公开发行并上市前不具有表决权差异安排的，不得在首次公开发行并上市后以任何方式设置此类安排。</w:t>
      </w:r>
    </w:p>
    <w:p w14:paraId="552D01E5">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持有特别表决权股份的股东应当为对上市公司发展或者业务增长等作出重大贡献，并且在公司上市前及上市后持续担任公司董事的人员或者该等人员实际控制的持股主体。</w:t>
      </w:r>
    </w:p>
    <w:p w14:paraId="72E7EC07">
      <w:pPr>
        <w:spacing w:line="560" w:lineRule="exact"/>
        <w:ind w:firstLine="640" w:firstLineChars="200"/>
        <w:rPr>
          <w:rFonts w:ascii="仿宋_GB2312" w:eastAsia="仿宋_GB2312"/>
          <w:sz w:val="32"/>
          <w:szCs w:val="32"/>
        </w:rPr>
      </w:pPr>
      <w:r>
        <w:rPr>
          <w:rFonts w:hint="eastAsia" w:ascii="仿宋_GB2312" w:eastAsia="仿宋_GB2312"/>
          <w:sz w:val="32"/>
          <w:szCs w:val="32"/>
        </w:rPr>
        <w:t>持有特别表决权股份的股东在上市公司中拥有权益的股份合计应当达到公司全部已发行有表决权股份</w:t>
      </w:r>
      <w:r>
        <w:rPr>
          <w:rFonts w:ascii="仿宋_GB2312" w:eastAsia="仿宋_GB2312"/>
          <w:sz w:val="32"/>
          <w:szCs w:val="32"/>
        </w:rPr>
        <w:t>10%</w:t>
      </w:r>
      <w:r>
        <w:rPr>
          <w:rFonts w:hint="eastAsia" w:ascii="仿宋_GB2312" w:eastAsia="仿宋_GB2312"/>
          <w:sz w:val="32"/>
          <w:szCs w:val="32"/>
        </w:rPr>
        <w:t>以上。</w:t>
      </w:r>
    </w:p>
    <w:p w14:paraId="1E3A670F">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上市公司章程应当规定每份特别表决权股份的表决权数量。</w:t>
      </w:r>
    </w:p>
    <w:p w14:paraId="2C934B61">
      <w:pPr>
        <w:spacing w:line="560" w:lineRule="exact"/>
        <w:ind w:firstLine="640" w:firstLineChars="200"/>
        <w:rPr>
          <w:rFonts w:ascii="仿宋_GB2312" w:eastAsia="仿宋_GB2312"/>
          <w:sz w:val="32"/>
          <w:szCs w:val="32"/>
        </w:rPr>
      </w:pPr>
      <w:r>
        <w:rPr>
          <w:rFonts w:hint="eastAsia" w:ascii="仿宋_GB2312" w:eastAsia="仿宋_GB2312"/>
          <w:sz w:val="32"/>
          <w:szCs w:val="32"/>
        </w:rPr>
        <w:t>每份特别表决权股份的表决权数量应当相同，且不得超过每份普通股份的表决权数量的10倍。</w:t>
      </w:r>
    </w:p>
    <w:p w14:paraId="24A3EFB3">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hAnsi="仿宋" w:eastAsia="仿宋_GB2312"/>
          <w:sz w:val="32"/>
          <w:szCs w:val="32"/>
        </w:rPr>
        <w:t>除公司章程规定的表决权差异外，普通股份与特别表决权股份具有的其他股东权利应当完全相同。</w:t>
      </w:r>
    </w:p>
    <w:p w14:paraId="59E32142">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上市公司股票在本所上市后，除同比例配股、转增股本、分配股票红利情形外，不得在境内外发行特别表决权股份，不得提高特别表决权比例。</w:t>
      </w:r>
    </w:p>
    <w:p w14:paraId="1DD21ADB">
      <w:pPr>
        <w:tabs>
          <w:tab w:val="left" w:pos="1276"/>
          <w:tab w:val="left" w:pos="1418"/>
        </w:tabs>
        <w:snapToGrid w:val="0"/>
        <w:spacing w:line="560" w:lineRule="exact"/>
        <w:rPr>
          <w:rFonts w:ascii="仿宋_GB2312" w:eastAsia="仿宋_GB2312"/>
          <w:sz w:val="32"/>
          <w:szCs w:val="32"/>
        </w:rPr>
      </w:pPr>
      <w:r>
        <w:rPr>
          <w:rFonts w:hint="eastAsia" w:ascii="仿宋_GB2312" w:eastAsia="仿宋_GB2312"/>
          <w:sz w:val="32"/>
          <w:szCs w:val="32"/>
        </w:rPr>
        <w:t xml:space="preserve">    上市公司因股份回购等原因，可能导致特别表决权比例提高的，应当同时采取将相应数量特别表决权股份转换为普通股份等措施，保证特别表决权比例不高于原有水平。</w:t>
      </w:r>
    </w:p>
    <w:p w14:paraId="47176D35">
      <w:pPr>
        <w:spacing w:line="560" w:lineRule="exact"/>
        <w:ind w:firstLine="640" w:firstLineChars="200"/>
        <w:rPr>
          <w:rFonts w:ascii="仿宋_GB2312" w:eastAsia="仿宋_GB2312"/>
          <w:sz w:val="32"/>
          <w:szCs w:val="32"/>
        </w:rPr>
      </w:pPr>
      <w:r>
        <w:rPr>
          <w:rFonts w:hint="eastAsia" w:ascii="仿宋_GB2312" w:eastAsia="仿宋_GB2312"/>
          <w:sz w:val="32"/>
          <w:szCs w:val="32"/>
        </w:rPr>
        <w:t>本规则所称特别表决权比例，是指全部特别表决权股份的表决权数量占上市公司全部已发行股份表决权数量的比例。</w:t>
      </w:r>
    </w:p>
    <w:p w14:paraId="2F999F5D">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上市公司应当保证普通表决权比例不低于10%；单独或者合计持有公司10%以上股份（含表决权恢复的优先股等）的股东有权提议召开临时股东会。</w:t>
      </w:r>
    </w:p>
    <w:p w14:paraId="554E9234">
      <w:pPr>
        <w:spacing w:line="560" w:lineRule="exact"/>
        <w:ind w:firstLine="640" w:firstLineChars="200"/>
        <w:rPr>
          <w:rFonts w:ascii="仿宋_GB2312" w:eastAsia="仿宋_GB2312"/>
          <w:sz w:val="32"/>
          <w:szCs w:val="32"/>
        </w:rPr>
      </w:pPr>
      <w:r>
        <w:rPr>
          <w:rFonts w:hint="eastAsia" w:ascii="仿宋_GB2312" w:eastAsia="仿宋_GB2312"/>
          <w:sz w:val="32"/>
          <w:szCs w:val="32"/>
        </w:rPr>
        <w:t>本规则所称普通表决权比例，是指全部普通股份的表决权数量占上市公司全部已发行股份表决权数量的比例。</w:t>
      </w:r>
    </w:p>
    <w:p w14:paraId="6291BED2">
      <w:pPr>
        <w:numPr>
          <w:ilvl w:val="2"/>
          <w:numId w:val="19"/>
        </w:numPr>
        <w:tabs>
          <w:tab w:val="left" w:pos="0"/>
          <w:tab w:val="left" w:pos="1276"/>
        </w:tabs>
        <w:snapToGrid w:val="0"/>
        <w:spacing w:line="560" w:lineRule="exact"/>
        <w:ind w:left="0" w:firstLine="640" w:firstLineChars="200"/>
        <w:rPr>
          <w:rFonts w:hint="eastAsia" w:ascii="仿宋_GB2312" w:hAnsi="仿宋_GB2312" w:eastAsia="仿宋_GB2312" w:cs="仿宋_GB2312"/>
          <w:sz w:val="32"/>
          <w:szCs w:val="32"/>
        </w:rPr>
      </w:pPr>
      <w:r>
        <w:rPr>
          <w:rFonts w:hint="eastAsia" w:ascii="仿宋_GB2312" w:eastAsia="仿宋_GB2312"/>
          <w:sz w:val="32"/>
          <w:szCs w:val="32"/>
        </w:rPr>
        <w:t>特别表决权股份不得在二级市场进行交易，但可以按照本所有关规定进行转让。</w:t>
      </w:r>
    </w:p>
    <w:p w14:paraId="367D750B">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出现下列情形之一的，特别表决权股份应当按照1:1的比例转换为普通股份：</w:t>
      </w:r>
    </w:p>
    <w:p w14:paraId="10C75D42">
      <w:pPr>
        <w:spacing w:line="560" w:lineRule="exact"/>
        <w:ind w:firstLine="640" w:firstLineChars="200"/>
        <w:rPr>
          <w:rFonts w:ascii="仿宋_GB2312" w:eastAsia="仿宋_GB2312"/>
          <w:sz w:val="32"/>
          <w:szCs w:val="32"/>
        </w:rPr>
      </w:pPr>
      <w:r>
        <w:rPr>
          <w:rFonts w:hint="eastAsia" w:ascii="仿宋_GB2312" w:eastAsia="仿宋_GB2312"/>
          <w:sz w:val="32"/>
          <w:szCs w:val="32"/>
        </w:rPr>
        <w:t>（一）持有特别表决权股份的股东不再符合本规则第4.5.3条规定的资格和最低持股要求，或者丧失相应履职能力、离任、死亡；</w:t>
      </w:r>
    </w:p>
    <w:p w14:paraId="290D4B69">
      <w:pPr>
        <w:spacing w:line="560" w:lineRule="exact"/>
        <w:ind w:firstLine="640" w:firstLineChars="200"/>
        <w:rPr>
          <w:rFonts w:ascii="仿宋_GB2312" w:eastAsia="仿宋_GB2312"/>
          <w:sz w:val="32"/>
          <w:szCs w:val="32"/>
        </w:rPr>
      </w:pPr>
      <w:r>
        <w:rPr>
          <w:rFonts w:hint="eastAsia" w:ascii="仿宋_GB2312" w:eastAsia="仿宋_GB2312"/>
          <w:sz w:val="32"/>
          <w:szCs w:val="32"/>
        </w:rPr>
        <w:t>（二）实际持有特别表决权股份的股东失去对相关持股主体的实际控制；</w:t>
      </w:r>
    </w:p>
    <w:p w14:paraId="6C93F9CF">
      <w:pPr>
        <w:spacing w:line="560" w:lineRule="exact"/>
        <w:ind w:firstLine="640" w:firstLineChars="200"/>
        <w:rPr>
          <w:rFonts w:ascii="仿宋_GB2312" w:eastAsia="仿宋_GB2312"/>
          <w:sz w:val="32"/>
          <w:szCs w:val="32"/>
        </w:rPr>
      </w:pPr>
      <w:r>
        <w:rPr>
          <w:rFonts w:hint="eastAsia" w:ascii="仿宋_GB2312" w:eastAsia="仿宋_GB2312"/>
          <w:sz w:val="32"/>
          <w:szCs w:val="32"/>
        </w:rPr>
        <w:t>（三）持有特别表决权股份的股东向他人转让所持有的特别表决权股份，或者将特别表决权股份的表决权委托他人行使；</w:t>
      </w:r>
    </w:p>
    <w:p w14:paraId="650D6E28">
      <w:pPr>
        <w:spacing w:line="560" w:lineRule="exact"/>
        <w:ind w:firstLine="640" w:firstLineChars="200"/>
        <w:rPr>
          <w:rFonts w:ascii="仿宋_GB2312" w:eastAsia="仿宋_GB2312"/>
          <w:sz w:val="32"/>
          <w:szCs w:val="32"/>
        </w:rPr>
      </w:pPr>
      <w:r>
        <w:rPr>
          <w:rFonts w:hint="eastAsia" w:ascii="仿宋_GB2312" w:eastAsia="仿宋_GB2312"/>
          <w:sz w:val="32"/>
          <w:szCs w:val="32"/>
        </w:rPr>
        <w:t>（四）公司的控制权发生变更。</w:t>
      </w:r>
    </w:p>
    <w:p w14:paraId="0782513A">
      <w:pPr>
        <w:spacing w:line="560" w:lineRule="exact"/>
        <w:ind w:firstLine="640" w:firstLineChars="200"/>
        <w:rPr>
          <w:rFonts w:ascii="仿宋_GB2312" w:eastAsia="仿宋_GB2312"/>
          <w:sz w:val="32"/>
          <w:szCs w:val="32"/>
        </w:rPr>
      </w:pPr>
      <w:r>
        <w:rPr>
          <w:rFonts w:hint="eastAsia" w:ascii="仿宋_GB2312" w:eastAsia="仿宋_GB2312"/>
          <w:sz w:val="32"/>
          <w:szCs w:val="32"/>
        </w:rPr>
        <w:t>发生前款第四项情形的，上市公司已发行的全部特别表决权股份均应当转换为普通股份。</w:t>
      </w:r>
    </w:p>
    <w:p w14:paraId="170BB65B">
      <w:pPr>
        <w:spacing w:line="560" w:lineRule="exact"/>
        <w:ind w:firstLine="640" w:firstLineChars="200"/>
        <w:rPr>
          <w:rFonts w:ascii="仿宋_GB2312" w:eastAsia="仿宋_GB2312"/>
          <w:sz w:val="32"/>
          <w:szCs w:val="32"/>
        </w:rPr>
      </w:pPr>
      <w:r>
        <w:rPr>
          <w:rFonts w:hint="eastAsia" w:ascii="仿宋_GB2312" w:eastAsia="仿宋_GB2312"/>
          <w:sz w:val="32"/>
          <w:szCs w:val="32"/>
        </w:rPr>
        <w:t>发生本条第一款情形的，特别表决权股份自相关情形发生时即转换为普通股份，相关股东应当立即通知上市公司，上市公司应当及时披露具体情形、发生时间、转换为普通股份的特别表决权股份数量、剩余特别表决权股份数量等情况。</w:t>
      </w:r>
    </w:p>
    <w:p w14:paraId="78DED831">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上市公司股东对下列事项行使表决权时，每一特别表决权股份享有的表决权数量应当与每一普通股份的表决权数量相同：</w:t>
      </w:r>
    </w:p>
    <w:p w14:paraId="4B1C0E22">
      <w:pPr>
        <w:spacing w:line="560" w:lineRule="exact"/>
        <w:ind w:firstLine="640" w:firstLineChars="200"/>
        <w:rPr>
          <w:rFonts w:ascii="仿宋_GB2312" w:eastAsia="仿宋_GB2312"/>
          <w:sz w:val="32"/>
          <w:szCs w:val="32"/>
        </w:rPr>
      </w:pPr>
      <w:r>
        <w:rPr>
          <w:rFonts w:hint="eastAsia" w:ascii="仿宋_GB2312" w:eastAsia="仿宋_GB2312"/>
          <w:sz w:val="32"/>
          <w:szCs w:val="32"/>
        </w:rPr>
        <w:t>（一）对公司章程作出修改；</w:t>
      </w:r>
    </w:p>
    <w:p w14:paraId="152AEE31">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（二）改变特别表决权股份享有的表决权数量； </w:t>
      </w:r>
    </w:p>
    <w:p w14:paraId="71C886A7">
      <w:pPr>
        <w:spacing w:line="560" w:lineRule="exact"/>
        <w:ind w:firstLine="640" w:firstLineChars="200"/>
        <w:rPr>
          <w:rFonts w:ascii="仿宋_GB2312" w:eastAsia="仿宋_GB2312"/>
          <w:sz w:val="32"/>
          <w:szCs w:val="32"/>
        </w:rPr>
      </w:pPr>
      <w:r>
        <w:rPr>
          <w:rFonts w:hint="eastAsia" w:ascii="仿宋_GB2312" w:eastAsia="仿宋_GB2312"/>
          <w:sz w:val="32"/>
          <w:szCs w:val="32"/>
        </w:rPr>
        <w:t>（三）聘请或者解聘独立董事；</w:t>
      </w:r>
    </w:p>
    <w:p w14:paraId="473C948D">
      <w:pPr>
        <w:spacing w:line="560" w:lineRule="exact"/>
        <w:ind w:firstLine="640" w:firstLineChars="200"/>
        <w:rPr>
          <w:rFonts w:ascii="仿宋_GB2312" w:eastAsia="仿宋_GB2312"/>
          <w:sz w:val="32"/>
          <w:szCs w:val="32"/>
        </w:rPr>
      </w:pPr>
      <w:r>
        <w:rPr>
          <w:rFonts w:hint="eastAsia" w:ascii="仿宋_GB2312" w:eastAsia="仿宋_GB2312"/>
          <w:sz w:val="32"/>
          <w:szCs w:val="32"/>
        </w:rPr>
        <w:t>（四）聘请或者解聘审计委员会成员；</w:t>
      </w:r>
    </w:p>
    <w:p w14:paraId="683633D2">
      <w:pPr>
        <w:spacing w:line="560" w:lineRule="exact"/>
        <w:ind w:firstLine="640" w:firstLineChars="200"/>
        <w:rPr>
          <w:rFonts w:ascii="仿宋_GB2312" w:eastAsia="仿宋_GB2312"/>
          <w:sz w:val="32"/>
          <w:szCs w:val="32"/>
        </w:rPr>
      </w:pPr>
      <w:r>
        <w:rPr>
          <w:rFonts w:hint="eastAsia" w:ascii="仿宋_GB2312" w:eastAsia="仿宋_GB2312"/>
          <w:sz w:val="32"/>
          <w:szCs w:val="32"/>
        </w:rPr>
        <w:t>（五）聘请或者解聘</w:t>
      </w:r>
      <w:r>
        <w:rPr>
          <w:rFonts w:hint="eastAsia" w:ascii="仿宋_GB2312" w:hAnsi="宋体" w:eastAsia="仿宋_GB2312"/>
          <w:sz w:val="32"/>
          <w:szCs w:val="32"/>
        </w:rPr>
        <w:t>为上市公司定期报告出具审计意见的会计师事务所</w:t>
      </w:r>
      <w:r>
        <w:rPr>
          <w:rFonts w:hint="eastAsia" w:ascii="仿宋_GB2312" w:eastAsia="仿宋_GB2312"/>
          <w:sz w:val="32"/>
          <w:szCs w:val="32"/>
        </w:rPr>
        <w:t>；</w:t>
      </w:r>
    </w:p>
    <w:p w14:paraId="64075596">
      <w:pPr>
        <w:spacing w:line="560" w:lineRule="exact"/>
        <w:ind w:firstLine="640" w:firstLineChars="200"/>
        <w:rPr>
          <w:rFonts w:ascii="仿宋_GB2312" w:eastAsia="仿宋_GB2312"/>
          <w:sz w:val="32"/>
          <w:szCs w:val="32"/>
        </w:rPr>
      </w:pPr>
      <w:r>
        <w:rPr>
          <w:rFonts w:hint="eastAsia" w:ascii="仿宋_GB2312" w:eastAsia="仿宋_GB2312"/>
          <w:sz w:val="32"/>
          <w:szCs w:val="32"/>
        </w:rPr>
        <w:t>（六）公司分立、分拆、合并、解散和清算。</w:t>
      </w:r>
    </w:p>
    <w:p w14:paraId="159DA1BF">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 xml:space="preserve"> 上市公司章程应当规定，股东会应当对下列事项作出决议，并经出席会议的股东所持表决权的三分之二以上通过：</w:t>
      </w:r>
    </w:p>
    <w:p w14:paraId="1390C87E">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（一）修改公司章程；</w:t>
      </w:r>
    </w:p>
    <w:p w14:paraId="6BB35D75">
      <w:pPr>
        <w:pStyle w:val="7"/>
        <w:spacing w:after="0" w:line="560" w:lineRule="exact"/>
        <w:ind w:firstLine="640" w:firstLineChars="200"/>
      </w:pPr>
      <w:r>
        <w:rPr>
          <w:rFonts w:hint="eastAsia" w:ascii="仿宋_GB2312" w:eastAsia="仿宋_GB2312"/>
          <w:sz w:val="32"/>
          <w:szCs w:val="32"/>
        </w:rPr>
        <w:t>（二）改变特别表决权股份享有的表决权数量，但根据第4.5.6条、第4.5.9条的规定，将相应数量特别表决权股份转换为普通股份的除外；</w:t>
      </w:r>
    </w:p>
    <w:p w14:paraId="18FBD020">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（三）增加或者减少注册资本的决议；</w:t>
      </w:r>
    </w:p>
    <w:p w14:paraId="745693B3">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（四）公司分立、分拆、合并、解散和清算； </w:t>
      </w:r>
    </w:p>
    <w:p w14:paraId="22AC1B4D">
      <w:pPr>
        <w:tabs>
          <w:tab w:val="left" w:pos="0"/>
          <w:tab w:val="left" w:pos="425"/>
          <w:tab w:val="left" w:pos="1276"/>
          <w:tab w:val="left" w:pos="1418"/>
        </w:tabs>
        <w:snapToGrid w:val="0"/>
        <w:spacing w:line="560" w:lineRule="exact"/>
        <w:ind w:firstLine="640"/>
        <w:rPr>
          <w:rFonts w:ascii="仿宋_GB2312" w:eastAsia="仿宋_GB2312"/>
          <w:sz w:val="32"/>
          <w:szCs w:val="32"/>
        </w:rPr>
      </w:pPr>
      <w:r>
        <w:rPr>
          <w:rFonts w:hint="eastAsia" w:ascii="仿宋_GB2312" w:eastAsia="仿宋_GB2312"/>
          <w:sz w:val="32"/>
          <w:szCs w:val="32"/>
        </w:rPr>
        <w:t>（五）公司在一年内购买、出售重大资产或者向他人提供担保的金额超过公司最近一期经审计总资产30%的；</w:t>
      </w:r>
    </w:p>
    <w:p w14:paraId="3965EC20">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（六）股权激励计划；</w:t>
      </w:r>
    </w:p>
    <w:p w14:paraId="239B155B">
      <w:pPr>
        <w:pStyle w:val="7"/>
        <w:spacing w:after="0" w:line="560" w:lineRule="exact"/>
        <w:ind w:firstLine="640" w:firstLineChars="200"/>
      </w:pPr>
      <w:r>
        <w:rPr>
          <w:rFonts w:hint="eastAsia" w:ascii="仿宋_GB2312" w:eastAsia="仿宋_GB2312"/>
          <w:sz w:val="32"/>
          <w:szCs w:val="32"/>
        </w:rPr>
        <w:t>（七）法律、行政法规或者公司章程规定的，以及股东会以普通决议认定会对公司产生重大影响的、需要以特别决议通过的其他事项。</w:t>
      </w:r>
    </w:p>
    <w:p w14:paraId="33C69DD4">
      <w:pPr>
        <w:snapToGrid w:val="0"/>
        <w:spacing w:line="560" w:lineRule="exact"/>
        <w:ind w:firstLine="540"/>
        <w:rPr>
          <w:rFonts w:hint="eastAsia" w:ascii="仿宋_GB2312" w:hAnsi="宋体" w:eastAsia="仿宋_GB2312"/>
          <w:sz w:val="32"/>
          <w:szCs w:val="30"/>
        </w:rPr>
      </w:pPr>
      <w:r>
        <w:rPr>
          <w:rFonts w:hint="eastAsia" w:ascii="仿宋_GB2312" w:hAnsi="宋体" w:eastAsia="仿宋_GB2312"/>
          <w:sz w:val="32"/>
          <w:szCs w:val="30"/>
        </w:rPr>
        <w:t>涉及前款第一项、第三项、第四项事项及中国证监会规定的可能影响特别表决权股东权利的事项，还须经出席特别表决权股东会会议的股东所持表决权的三分之二以上通过</w:t>
      </w:r>
      <w:r>
        <w:rPr>
          <w:rFonts w:hint="eastAsia" w:ascii="仿宋_GB2312" w:eastAsia="仿宋_GB2312"/>
          <w:sz w:val="36"/>
          <w:szCs w:val="32"/>
        </w:rPr>
        <w:t>。</w:t>
      </w:r>
    </w:p>
    <w:p w14:paraId="712E8BD7">
      <w:pPr>
        <w:numPr>
          <w:ilvl w:val="2"/>
          <w:numId w:val="19"/>
        </w:numPr>
        <w:tabs>
          <w:tab w:val="left" w:pos="0"/>
          <w:tab w:val="left" w:pos="1276"/>
        </w:tabs>
        <w:snapToGrid w:val="0"/>
        <w:spacing w:line="560" w:lineRule="exact"/>
        <w:ind w:left="0" w:firstLine="640" w:firstLineChars="200"/>
        <w:rPr>
          <w:rFonts w:hint="eastAsia" w:ascii="仿宋_GB2312" w:hAnsi="仿宋" w:eastAsia="仿宋_GB2312"/>
          <w:sz w:val="32"/>
          <w:szCs w:val="32"/>
        </w:rPr>
      </w:pPr>
      <w:r>
        <w:rPr>
          <w:rFonts w:hint="eastAsia" w:ascii="仿宋_GB2312" w:eastAsia="仿宋_GB2312"/>
          <w:sz w:val="32"/>
          <w:szCs w:val="32"/>
        </w:rPr>
        <w:t>上市公司</w:t>
      </w:r>
      <w:r>
        <w:rPr>
          <w:rFonts w:hint="eastAsia" w:ascii="仿宋_GB2312" w:hAnsi="仿宋" w:eastAsia="仿宋_GB2312"/>
          <w:sz w:val="32"/>
          <w:szCs w:val="32"/>
        </w:rPr>
        <w:t>应当在股东会通知中列明持有特别表决权股份的股东、所持特别表决权股份数量及对应的表决权数量、股东会议案是否涉及第4.5.10条、第4.5.11条规定事项等情况。</w:t>
      </w:r>
    </w:p>
    <w:p w14:paraId="5F729A75">
      <w:pPr>
        <w:numPr>
          <w:ilvl w:val="2"/>
          <w:numId w:val="19"/>
        </w:numPr>
        <w:tabs>
          <w:tab w:val="left" w:pos="0"/>
          <w:tab w:val="left" w:pos="1276"/>
        </w:tabs>
        <w:snapToGrid w:val="0"/>
        <w:spacing w:line="560" w:lineRule="exact"/>
        <w:ind w:left="0" w:firstLine="640" w:firstLineChars="200"/>
        <w:rPr>
          <w:rFonts w:hint="eastAsia" w:ascii="仿宋_GB2312" w:hAnsi="仿宋" w:eastAsia="仿宋_GB2312"/>
          <w:sz w:val="32"/>
          <w:szCs w:val="32"/>
        </w:rPr>
      </w:pPr>
      <w:r>
        <w:rPr>
          <w:rFonts w:hint="eastAsia" w:ascii="仿宋_GB2312" w:hAnsi="仿宋" w:eastAsia="仿宋_GB2312"/>
          <w:sz w:val="32"/>
          <w:szCs w:val="32"/>
        </w:rPr>
        <w:t>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14:paraId="53AB518B">
      <w:pPr>
        <w:tabs>
          <w:tab w:val="left" w:pos="0"/>
          <w:tab w:val="left" w:pos="425"/>
          <w:tab w:val="left" w:pos="1276"/>
          <w:tab w:val="left" w:pos="1418"/>
        </w:tabs>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公司具有表决权差异安排的，应当在定期报告中披露该等安排在报告期内的实施和变化情况，以及该等安排下保护投资者合法权益有关措施的实施情况。</w:t>
      </w:r>
    </w:p>
    <w:p w14:paraId="50EB6FE2">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持续督导期内，保荐机构应当对上市公司表决权差异安排履行持续督导义务，在年度保荐工作报告中对下列事项发表意见：</w:t>
      </w:r>
    </w:p>
    <w:p w14:paraId="69C2415F">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（一）持有特别表决权股份的股东是否持续符合本规则第</w:t>
      </w:r>
      <w:r>
        <w:rPr>
          <w:rFonts w:ascii="仿宋_GB2312" w:eastAsia="仿宋_GB2312"/>
          <w:sz w:val="32"/>
          <w:szCs w:val="32"/>
        </w:rPr>
        <w:t>4.5.3</w:t>
      </w:r>
      <w:r>
        <w:rPr>
          <w:rFonts w:hint="eastAsia" w:ascii="仿宋_GB2312" w:eastAsia="仿宋_GB2312"/>
          <w:sz w:val="32"/>
          <w:szCs w:val="32"/>
        </w:rPr>
        <w:t>条的要求；</w:t>
      </w:r>
    </w:p>
    <w:p w14:paraId="245891E5">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（二）特别表决权股份是否出现本规则第</w:t>
      </w:r>
      <w:r>
        <w:rPr>
          <w:rFonts w:ascii="仿宋_GB2312" w:eastAsia="仿宋_GB2312"/>
          <w:sz w:val="32"/>
          <w:szCs w:val="32"/>
        </w:rPr>
        <w:t>4.5.9</w:t>
      </w:r>
      <w:r>
        <w:rPr>
          <w:rFonts w:hint="eastAsia" w:ascii="仿宋_GB2312" w:eastAsia="仿宋_GB2312"/>
          <w:sz w:val="32"/>
          <w:szCs w:val="32"/>
        </w:rPr>
        <w:t>条规定的情形并及时转换为普通股份；</w:t>
      </w:r>
    </w:p>
    <w:p w14:paraId="338192A2">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（三）特别表决权比例是否持续符合本规则的规定；</w:t>
      </w:r>
    </w:p>
    <w:p w14:paraId="1EF6593B">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（四）持有特别表决权股份的股东是否存在滥用特别表决权或者其他损害投资者合法权益的情形；</w:t>
      </w:r>
    </w:p>
    <w:p w14:paraId="19807594">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（五）公司及持有特别表决权股份的股东遵守本节其他规定的情况。</w:t>
      </w:r>
    </w:p>
    <w:p w14:paraId="6E5E0221">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保荐机构在持续督导期内发现股东存在滥用特别表决权或者其他损害投资者合法权益情形时，应当及时督促相关股东改正，并向本所报告。</w:t>
      </w:r>
    </w:p>
    <w:p w14:paraId="7B1B12C6">
      <w:pPr>
        <w:numPr>
          <w:ilvl w:val="2"/>
          <w:numId w:val="19"/>
        </w:numPr>
        <w:tabs>
          <w:tab w:val="left" w:pos="0"/>
          <w:tab w:val="left" w:pos="1276"/>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持有特别表决权股份的股东应当按照所适用的法律法规以及公司章程行使权利，不得滥用特别表决权，不得利用特别表决权损害投资者的合法权益。</w:t>
      </w:r>
    </w:p>
    <w:p w14:paraId="1A1EED5C">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出现前款情形，损害投资者合法权益的，本所可以要求公司或者持有特别表决权股份的股东予以改正。</w:t>
      </w:r>
    </w:p>
    <w:p w14:paraId="5CA540A6">
      <w:pPr>
        <w:numPr>
          <w:ilvl w:val="2"/>
          <w:numId w:val="19"/>
        </w:numPr>
        <w:tabs>
          <w:tab w:val="left" w:pos="0"/>
          <w:tab w:val="left" w:pos="1276"/>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上市公司或者持有特别表决权股份的股东应当按照本所及中国结算的有关规定，办理特别表决权股份登记和转换成普通股份登记事宜。</w:t>
      </w:r>
    </w:p>
    <w:p w14:paraId="597FA8ED">
      <w:pPr>
        <w:numPr>
          <w:ilvl w:val="2"/>
          <w:numId w:val="19"/>
        </w:numPr>
        <w:tabs>
          <w:tab w:val="left" w:pos="0"/>
          <w:tab w:val="left" w:pos="1276"/>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已在境外上市的红筹企业的表决权差异安排与本节规定存在差异的，可以按照公司注册地公司法等法律法规、境外上市地相关规则和公司章程的规定执行。公司应当详细说明差异情况和原因，以及依法落实保护投资者合法权益要求的对应措施。</w:t>
      </w:r>
    </w:p>
    <w:p w14:paraId="1D83E0EE">
      <w:pPr>
        <w:tabs>
          <w:tab w:val="left" w:pos="1276"/>
          <w:tab w:val="left" w:pos="1418"/>
        </w:tabs>
        <w:snapToGrid w:val="0"/>
        <w:spacing w:line="560" w:lineRule="exact"/>
        <w:rPr>
          <w:sz w:val="32"/>
          <w:szCs w:val="32"/>
        </w:rPr>
      </w:pPr>
    </w:p>
    <w:p w14:paraId="2D367466">
      <w:pPr>
        <w:pStyle w:val="81"/>
        <w:tabs>
          <w:tab w:val="left" w:pos="142"/>
          <w:tab w:val="clear" w:pos="992"/>
        </w:tabs>
        <w:ind w:firstLine="643"/>
        <w:rPr>
          <w:rFonts w:hint="eastAsia"/>
          <w:b/>
          <w:bCs/>
        </w:rPr>
      </w:pPr>
      <w:bookmarkStart w:id="130" w:name="_Toc170284230"/>
      <w:bookmarkStart w:id="131" w:name="_Toc22145"/>
      <w:bookmarkStart w:id="132" w:name="_Toc30509"/>
      <w:r>
        <w:rPr>
          <w:rFonts w:hint="eastAsia"/>
          <w:b/>
          <w:bCs/>
        </w:rPr>
        <w:t>信息披露一般规定</w:t>
      </w:r>
      <w:bookmarkEnd w:id="130"/>
      <w:bookmarkEnd w:id="131"/>
      <w:bookmarkEnd w:id="132"/>
    </w:p>
    <w:p w14:paraId="6F7B05DE">
      <w:pPr>
        <w:pStyle w:val="36"/>
        <w:numPr>
          <w:ilvl w:val="1"/>
          <w:numId w:val="1"/>
        </w:numPr>
        <w:ind w:left="0" w:firstLine="643"/>
        <w:rPr>
          <w:rFonts w:hint="eastAsia"/>
        </w:rPr>
      </w:pPr>
      <w:bookmarkStart w:id="133" w:name="_Toc31013"/>
      <w:bookmarkStart w:id="134" w:name="_Toc13687"/>
      <w:bookmarkStart w:id="135" w:name="_Toc170284231"/>
      <w:r>
        <w:rPr>
          <w:rFonts w:hint="eastAsia"/>
        </w:rPr>
        <w:t>信息披露基本原则</w:t>
      </w:r>
      <w:bookmarkEnd w:id="133"/>
      <w:bookmarkEnd w:id="134"/>
      <w:bookmarkEnd w:id="135"/>
    </w:p>
    <w:p w14:paraId="25A1EF6E">
      <w:pPr>
        <w:numPr>
          <w:ilvl w:val="1"/>
          <w:numId w:val="20"/>
        </w:numPr>
        <w:tabs>
          <w:tab w:val="left" w:pos="1080"/>
          <w:tab w:val="left" w:pos="1560"/>
          <w:tab w:val="clear" w:pos="992"/>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eastAsia="仿宋_GB2312"/>
          <w:sz w:val="32"/>
          <w:szCs w:val="32"/>
        </w:rPr>
        <w:t>上市公司和相关信息披露义务人应当披露所有可能对上市公司股票交易价格产生较大影响或者对投资决策有较大影响的事项（以下简称重大信息或者重大事项）。</w:t>
      </w:r>
    </w:p>
    <w:p w14:paraId="44854486">
      <w:pPr>
        <w:numPr>
          <w:ilvl w:val="1"/>
          <w:numId w:val="20"/>
        </w:numPr>
        <w:tabs>
          <w:tab w:val="left" w:pos="1080"/>
          <w:tab w:val="clear" w:pos="992"/>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上市公司和相关信息披露义务人应当及时、公平地披露信息，保证所披露信息的真实、准确、完整。</w:t>
      </w:r>
    </w:p>
    <w:p w14:paraId="750ACA7A">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的董事、高级管理人员应当保证公司及时、公平地披露信息，以及信息披露内容的真实、准确、完整，不存在虚假记载、误导性陈述或者重大遗漏。董事、高级管理人员对公告内容存在异议的，应当在公告中作出相应声明并说明理由。</w:t>
      </w:r>
    </w:p>
    <w:p w14:paraId="6E023598">
      <w:pPr>
        <w:numPr>
          <w:ilvl w:val="1"/>
          <w:numId w:val="20"/>
        </w:numPr>
        <w:tabs>
          <w:tab w:val="left" w:pos="1080"/>
          <w:tab w:val="clear" w:pos="992"/>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eastAsia="仿宋_GB2312"/>
          <w:sz w:val="32"/>
          <w:szCs w:val="32"/>
        </w:rPr>
        <w:t>上市公司和相关信息披露义务人披露信息，应当以客观事实或者具有事实基础的判断和意见为依据，如实反映实际情况，不得有虚假记载。</w:t>
      </w:r>
    </w:p>
    <w:p w14:paraId="66BB010B">
      <w:pPr>
        <w:numPr>
          <w:ilvl w:val="1"/>
          <w:numId w:val="20"/>
        </w:numPr>
        <w:tabs>
          <w:tab w:val="left" w:pos="1080"/>
          <w:tab w:val="clear" w:pos="992"/>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上市公司和相关信息披露义务人披露信息，应当客观，不得夸大其辞，不得有误导性陈述。</w:t>
      </w:r>
    </w:p>
    <w:p w14:paraId="2829C744">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披露未来经营和财务状况等预测性信息的，应当合理、谨慎、客观。</w:t>
      </w:r>
    </w:p>
    <w:p w14:paraId="28C229B0">
      <w:pPr>
        <w:numPr>
          <w:ilvl w:val="1"/>
          <w:numId w:val="20"/>
        </w:numPr>
        <w:tabs>
          <w:tab w:val="left" w:pos="1080"/>
          <w:tab w:val="clear" w:pos="992"/>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 xml:space="preserve">上市公司和相关信息披露义务人披露信息，应当内容完整，充分披露对上市公司有重大影响的信息，揭示可能产生的重大风险，不得有选择地披露部分信息，不得有重大遗漏。  </w:t>
      </w:r>
    </w:p>
    <w:p w14:paraId="3E596069">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信息披露文件应当材料齐备，格式符合规定要求。</w:t>
      </w:r>
    </w:p>
    <w:p w14:paraId="551EB784">
      <w:pPr>
        <w:numPr>
          <w:ilvl w:val="1"/>
          <w:numId w:val="20"/>
        </w:numPr>
        <w:tabs>
          <w:tab w:val="left" w:pos="1080"/>
          <w:tab w:val="clear" w:pos="992"/>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上市公司和相关信息披露义务人应当同时向所有投资者公开披露重大信息，确保所有投资者可以平等获取信息，不得向单个或部分投资者透露或泄露。</w:t>
      </w:r>
    </w:p>
    <w:p w14:paraId="10DE703E">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上市公司和相关信息披露义务人通过业绩说明会、分析师会议、路演、接受投资者调研等形式，与任何机构和个人进行沟通时，不得提供公司尚未披露的重大信息。</w:t>
      </w:r>
    </w:p>
    <w:p w14:paraId="756D405B">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上市公司向股东、实际控制人及其他第三方报送文件，涉及尚未公开的重大信息的，应当依照本规则披露。</w:t>
      </w:r>
    </w:p>
    <w:p w14:paraId="62F7B74A">
      <w:pPr>
        <w:numPr>
          <w:ilvl w:val="1"/>
          <w:numId w:val="20"/>
        </w:numPr>
        <w:tabs>
          <w:tab w:val="left" w:pos="1080"/>
          <w:tab w:val="clear" w:pos="992"/>
        </w:tabs>
        <w:autoSpaceDE w:val="0"/>
        <w:autoSpaceDN w:val="0"/>
        <w:adjustRightInd w:val="0"/>
        <w:snapToGrid w:val="0"/>
        <w:spacing w:line="560" w:lineRule="exact"/>
        <w:ind w:left="0" w:firstLine="640" w:firstLineChars="200"/>
        <w:rPr>
          <w:rFonts w:ascii="仿宋_GB2312" w:eastAsia="仿宋_GB2312"/>
          <w:sz w:val="32"/>
          <w:szCs w:val="32"/>
        </w:rPr>
      </w:pPr>
      <w:bookmarkStart w:id="136" w:name="OLE_LINK1"/>
      <w:r>
        <w:rPr>
          <w:rFonts w:hint="eastAsia" w:ascii="仿宋_GB2312" w:eastAsia="仿宋_GB2312"/>
          <w:sz w:val="32"/>
          <w:szCs w:val="32"/>
        </w:rPr>
        <w:t>出现下列情形之一的，上市公司和相关信息披露义务人应当及时披露重大事项：</w:t>
      </w:r>
    </w:p>
    <w:p w14:paraId="6970854F">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（一）董事会已就该重大事项形成决议；</w:t>
      </w:r>
    </w:p>
    <w:p w14:paraId="3C6EA861">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（二）有关各方已就该重大事项签署意向书或者协议；</w:t>
      </w:r>
    </w:p>
    <w:p w14:paraId="7950B876">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（三）公司（含任一董事、高级管理人员）已知悉或者应当知悉该重大事项；</w:t>
      </w:r>
    </w:p>
    <w:p w14:paraId="4DB1ED51">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（四）其他发生重大事项的情形。</w:t>
      </w:r>
    </w:p>
    <w:p w14:paraId="3B716D7F">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筹划的重大事项存在较大不确定性，立即披露可能会损害公司利益或者误导投资者，且有关内幕信息知情人已书面承诺保密的，公司可以暂不披露，但最迟应当在该重大事项形成最终决议、签署最终协议、交易确定能够达成时对外披露。</w:t>
      </w:r>
    </w:p>
    <w:bookmarkEnd w:id="136"/>
    <w:p w14:paraId="758E4E80">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相关信息确实难以保密、已经泄露或者出现市场传闻，导致公司股票交易价格发生大幅波动的，公司应当立即披露相关筹划和进展情况。</w:t>
      </w:r>
    </w:p>
    <w:p w14:paraId="262340D5">
      <w:pPr>
        <w:pStyle w:val="36"/>
        <w:numPr>
          <w:ilvl w:val="1"/>
          <w:numId w:val="1"/>
        </w:numPr>
        <w:ind w:left="0" w:firstLine="643"/>
        <w:rPr>
          <w:rFonts w:hint="eastAsia"/>
        </w:rPr>
      </w:pPr>
      <w:bookmarkStart w:id="137" w:name="_Toc15854"/>
      <w:bookmarkStart w:id="138" w:name="_Toc170284232"/>
      <w:bookmarkStart w:id="139" w:name="_Toc7531"/>
      <w:r>
        <w:rPr>
          <w:rFonts w:hint="eastAsia"/>
        </w:rPr>
        <w:t>信息披露一般要求</w:t>
      </w:r>
      <w:bookmarkEnd w:id="137"/>
      <w:bookmarkEnd w:id="138"/>
      <w:bookmarkEnd w:id="139"/>
    </w:p>
    <w:p w14:paraId="5D5B13D6">
      <w:pPr>
        <w:numPr>
          <w:ilvl w:val="1"/>
          <w:numId w:val="21"/>
        </w:numPr>
        <w:tabs>
          <w:tab w:val="left" w:pos="108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上市公司应当披露能够充分反映公司业务、技术、财务、公司治理、竞争优势、行业趋势、产业政策等方面的重大信息，充分揭示上市公司的风险因素和投资价值，便于投资者合理决策。</w:t>
      </w:r>
    </w:p>
    <w:p w14:paraId="00BC155D">
      <w:pPr>
        <w:numPr>
          <w:ilvl w:val="1"/>
          <w:numId w:val="21"/>
        </w:numPr>
        <w:tabs>
          <w:tab w:val="left" w:pos="108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上市公司应当对业绩波动、行业风险、公司治理等相关事项进行针对性信息披露，并持续披露科研水平、科研人员、科研资金投入、募集资金重点投向领域等重大信息。</w:t>
      </w:r>
    </w:p>
    <w:p w14:paraId="0AC0B628">
      <w:pPr>
        <w:numPr>
          <w:ilvl w:val="1"/>
          <w:numId w:val="21"/>
        </w:numPr>
        <w:tabs>
          <w:tab w:val="left" w:pos="108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上市公司筹划重大事项，持续时间较长的，应当按照重大性原则，分阶段披露进展情况，及时提示相关风险，不得仅以相关事项结果尚不确定为由不予披露。</w:t>
      </w:r>
    </w:p>
    <w:p w14:paraId="08CF38BE">
      <w:pPr>
        <w:pStyle w:val="7"/>
        <w:spacing w:after="0" w:line="560" w:lineRule="exact"/>
        <w:ind w:firstLine="640" w:firstLineChars="200"/>
      </w:pPr>
      <w:r>
        <w:rPr>
          <w:rFonts w:hint="eastAsia" w:ascii="仿宋_GB2312" w:eastAsia="仿宋_GB2312"/>
          <w:sz w:val="32"/>
          <w:szCs w:val="32"/>
        </w:rPr>
        <w:t>已披露的事项发生重大变化，可能对公司股票交易价格产生较大影响的，公司及相关信息披露义务人应当及时披露进展公告。</w:t>
      </w:r>
    </w:p>
    <w:p w14:paraId="19BD9AB9">
      <w:pPr>
        <w:numPr>
          <w:ilvl w:val="1"/>
          <w:numId w:val="21"/>
        </w:numPr>
        <w:tabs>
          <w:tab w:val="left" w:pos="1080"/>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ascii="仿宋_GB2312" w:hAnsi="宋体" w:eastAsia="仿宋_GB2312"/>
          <w:sz w:val="32"/>
          <w:szCs w:val="32"/>
        </w:rPr>
        <w:t>除依法应当披露的信息之外，上市公司及相关信息披露义务人可以自愿披露与投资者作出价值判断和投资决策有关的信息，但不得与依法披露的信息相冲突，不得误导投资者。</w:t>
      </w:r>
    </w:p>
    <w:p w14:paraId="7E56CFB8">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公司及相关信息披露义务人自愿披露的信息，应当真实、准确、完整，遵守公平原则，保持信息披露的持续性和一致性，不得进行选择性披露。</w:t>
      </w:r>
    </w:p>
    <w:p w14:paraId="2C7737E3">
      <w:pPr>
        <w:pStyle w:val="7"/>
        <w:spacing w:after="0"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公司及相关信息披露义务人自愿披露信息的，应当审慎、客观，不得利用该等信息不当影响公司股票交易价格、从事内幕交易、市场操纵或者其他违法违规行为。</w:t>
      </w:r>
    </w:p>
    <w:p w14:paraId="7189B9DA">
      <w:pPr>
        <w:numPr>
          <w:ilvl w:val="1"/>
          <w:numId w:val="21"/>
        </w:numPr>
        <w:tabs>
          <w:tab w:val="left" w:pos="0"/>
          <w:tab w:val="clear" w:pos="992"/>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eastAsia="仿宋_GB2312"/>
          <w:sz w:val="32"/>
          <w:szCs w:val="32"/>
        </w:rPr>
        <w:t>上市公司的公告文稿应当重点突出、逻辑清晰、语言浅白、简明易懂，避免使用大量专业术语、过于晦涩的表达方式和外文及其缩写，避免模糊、模板化和冗余重复的信息，不得含有祝贺、宣传、广告、恭维、诋毁等性质的词语。</w:t>
      </w:r>
    </w:p>
    <w:p w14:paraId="6BF13B5C">
      <w:pPr>
        <w:tabs>
          <w:tab w:val="left" w:pos="1080"/>
        </w:tabs>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公告文稿</w:t>
      </w:r>
      <w:r>
        <w:rPr>
          <w:rFonts w:hint="eastAsia" w:ascii="仿宋_GB2312" w:hAnsi="宋体" w:eastAsia="仿宋_GB2312"/>
          <w:sz w:val="32"/>
          <w:szCs w:val="32"/>
        </w:rPr>
        <w:t>应当采用中文文本，同时采用外文文本的，应当保证两种文本内容的一致。两种文本不一致的，以中文文本为准。</w:t>
      </w:r>
    </w:p>
    <w:p w14:paraId="4AB93763">
      <w:pPr>
        <w:numPr>
          <w:ilvl w:val="1"/>
          <w:numId w:val="21"/>
        </w:numPr>
        <w:tabs>
          <w:tab w:val="left" w:pos="0"/>
          <w:tab w:val="clear" w:pos="992"/>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hAnsi="宋体" w:eastAsia="仿宋_GB2312"/>
          <w:sz w:val="32"/>
          <w:szCs w:val="32"/>
        </w:rPr>
        <w:t>上市公司合并报表范围内的子公司及其他主体发生本规则规定的重大事项，视同上市公司发生的重大事项，适用本规则。</w:t>
      </w:r>
    </w:p>
    <w:p w14:paraId="3641A817">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上市公司参股公司发生本规则规定的重大事项，可能对上市公司股票交易价格产生较大影响的，上市公司应当参照适用本规则履行信息披露义务。</w:t>
      </w:r>
    </w:p>
    <w:p w14:paraId="357E86E4">
      <w:pPr>
        <w:numPr>
          <w:ilvl w:val="1"/>
          <w:numId w:val="21"/>
        </w:numPr>
        <w:tabs>
          <w:tab w:val="left" w:pos="0"/>
          <w:tab w:val="clear" w:pos="992"/>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上市公司及相关信息披露义务人有确实充分的证据证明拟披露的信息涉及国家秘密或者其他因披露可能导致违反国家保密规定、管理要求的事项（以下统称国家秘密），依法豁免披露。</w:t>
      </w:r>
    </w:p>
    <w:p w14:paraId="7A879873">
      <w:pPr>
        <w:snapToGrid w:val="0"/>
        <w:spacing w:line="560" w:lineRule="exact"/>
        <w:ind w:firstLine="540"/>
        <w:rPr>
          <w:rFonts w:hint="eastAsia" w:ascii="仿宋_GB2312" w:hAnsi="宋体" w:eastAsia="仿宋_GB2312"/>
          <w:sz w:val="32"/>
          <w:szCs w:val="32"/>
        </w:rPr>
      </w:pPr>
      <w:r>
        <w:rPr>
          <w:rFonts w:hint="eastAsia" w:ascii="仿宋_GB2312" w:hAnsi="宋体" w:eastAsia="仿宋_GB2312"/>
          <w:sz w:val="32"/>
          <w:szCs w:val="32"/>
        </w:rPr>
        <w:t>公司及相关信息披露义务人应当切实履行保守国家秘密的义务，不得通过信息披露、投资者互动问答、新闻发布、接受采访等任何形式泄露国家秘密，不得以信息涉密为名进行业务宣传。</w:t>
      </w:r>
    </w:p>
    <w:p w14:paraId="6D1186D5">
      <w:pPr>
        <w:numPr>
          <w:ilvl w:val="1"/>
          <w:numId w:val="21"/>
        </w:numPr>
        <w:tabs>
          <w:tab w:val="left" w:pos="0"/>
          <w:tab w:val="clear" w:pos="992"/>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上市公司及相关信息披露义务人拟披露的信息涉及商业秘密或者保密商务信息（以下统称商业秘密），符合下列情形之一，且尚未公开或者泄露的，可以暂缓或者豁免披露：</w:t>
      </w:r>
    </w:p>
    <w:p w14:paraId="11CF71B2">
      <w:pPr>
        <w:snapToGrid w:val="0"/>
        <w:spacing w:line="560" w:lineRule="exact"/>
        <w:ind w:firstLine="540"/>
        <w:rPr>
          <w:rFonts w:hint="eastAsia" w:ascii="仿宋_GB2312" w:hAnsi="宋体" w:eastAsia="仿宋_GB2312"/>
          <w:sz w:val="32"/>
          <w:szCs w:val="32"/>
        </w:rPr>
      </w:pPr>
      <w:r>
        <w:rPr>
          <w:rFonts w:hint="eastAsia" w:ascii="仿宋_GB2312" w:hAnsi="宋体" w:eastAsia="仿宋_GB2312"/>
          <w:sz w:val="32"/>
          <w:szCs w:val="32"/>
        </w:rPr>
        <w:t>（一）属于核心技术信息等，披露后可能引致不正当竞争的；</w:t>
      </w:r>
    </w:p>
    <w:p w14:paraId="7F5E1950">
      <w:pPr>
        <w:snapToGrid w:val="0"/>
        <w:spacing w:line="560" w:lineRule="exact"/>
        <w:ind w:firstLine="540"/>
        <w:rPr>
          <w:rFonts w:hint="eastAsia" w:ascii="仿宋_GB2312" w:hAnsi="宋体" w:eastAsia="仿宋_GB2312"/>
          <w:sz w:val="32"/>
          <w:szCs w:val="32"/>
        </w:rPr>
      </w:pPr>
      <w:r>
        <w:rPr>
          <w:rFonts w:hint="eastAsia" w:ascii="仿宋_GB2312" w:hAnsi="宋体" w:eastAsia="仿宋_GB2312"/>
          <w:sz w:val="32"/>
          <w:szCs w:val="32"/>
        </w:rPr>
        <w:t>（二）属于公司自身经营信息，客户、供应商等他人经营信息，披露后可能侵犯公司、他人商业秘密或者严重损害公司、他人利益的；</w:t>
      </w:r>
    </w:p>
    <w:p w14:paraId="754CB90E">
      <w:pPr>
        <w:snapToGrid w:val="0"/>
        <w:spacing w:line="560" w:lineRule="exact"/>
        <w:ind w:firstLine="540"/>
        <w:rPr>
          <w:rFonts w:hint="eastAsia" w:ascii="仿宋_GB2312" w:hAnsi="宋体" w:eastAsia="仿宋_GB2312"/>
          <w:sz w:val="32"/>
          <w:szCs w:val="32"/>
        </w:rPr>
      </w:pPr>
      <w:r>
        <w:rPr>
          <w:rFonts w:hint="eastAsia" w:ascii="仿宋_GB2312" w:hAnsi="宋体" w:eastAsia="仿宋_GB2312"/>
          <w:sz w:val="32"/>
          <w:szCs w:val="32"/>
        </w:rPr>
        <w:t>（三）披露后可能严重损害公司、他人利益的其他情形。</w:t>
      </w:r>
    </w:p>
    <w:p w14:paraId="736B8D13">
      <w:pPr>
        <w:numPr>
          <w:ilvl w:val="1"/>
          <w:numId w:val="21"/>
        </w:numPr>
        <w:tabs>
          <w:tab w:val="left" w:pos="0"/>
          <w:tab w:val="clear" w:pos="992"/>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及相关信息披露义务人暂缓、豁免披露商业秘密后，出现下列情形之一的，应当及时披露，并说明将该信息认定为商业秘密的主要理由、内部审核程序以及未披露期间相关内幕信息知情人买卖上市公司股票情况等：</w:t>
      </w:r>
    </w:p>
    <w:p w14:paraId="5B397ADC">
      <w:pPr>
        <w:tabs>
          <w:tab w:val="left" w:pos="0"/>
          <w:tab w:val="left" w:pos="425"/>
        </w:tabs>
        <w:autoSpaceDE w:val="0"/>
        <w:autoSpaceDN w:val="0"/>
        <w:adjustRightInd w:val="0"/>
        <w:snapToGrid w:val="0"/>
        <w:spacing w:line="560" w:lineRule="exact"/>
        <w:ind w:left="425"/>
        <w:rPr>
          <w:rFonts w:hint="eastAsia" w:ascii="仿宋_GB2312" w:hAnsi="宋体" w:eastAsia="仿宋_GB2312"/>
          <w:sz w:val="32"/>
          <w:szCs w:val="32"/>
        </w:rPr>
      </w:pPr>
      <w:r>
        <w:rPr>
          <w:rFonts w:hint="eastAsia" w:ascii="仿宋_GB2312" w:hAnsi="宋体" w:eastAsia="仿宋_GB2312"/>
          <w:sz w:val="32"/>
          <w:szCs w:val="32"/>
        </w:rPr>
        <w:t>（一）暂缓、豁免披露原因已消除；</w:t>
      </w:r>
    </w:p>
    <w:p w14:paraId="12CD92A5">
      <w:pPr>
        <w:tabs>
          <w:tab w:val="left" w:pos="0"/>
          <w:tab w:val="left" w:pos="425"/>
        </w:tabs>
        <w:autoSpaceDE w:val="0"/>
        <w:autoSpaceDN w:val="0"/>
        <w:adjustRightInd w:val="0"/>
        <w:snapToGrid w:val="0"/>
        <w:spacing w:line="560" w:lineRule="exact"/>
        <w:ind w:left="425"/>
        <w:rPr>
          <w:rFonts w:hint="eastAsia" w:ascii="仿宋_GB2312" w:hAnsi="宋体" w:eastAsia="仿宋_GB2312"/>
          <w:sz w:val="32"/>
          <w:szCs w:val="32"/>
        </w:rPr>
      </w:pPr>
      <w:r>
        <w:rPr>
          <w:rFonts w:hint="eastAsia" w:ascii="仿宋_GB2312" w:hAnsi="宋体" w:eastAsia="仿宋_GB2312"/>
          <w:sz w:val="32"/>
          <w:szCs w:val="32"/>
        </w:rPr>
        <w:t>（二）有关信息难以保密；</w:t>
      </w:r>
    </w:p>
    <w:p w14:paraId="5D660565">
      <w:pPr>
        <w:tabs>
          <w:tab w:val="left" w:pos="0"/>
          <w:tab w:val="left" w:pos="425"/>
        </w:tabs>
        <w:autoSpaceDE w:val="0"/>
        <w:autoSpaceDN w:val="0"/>
        <w:adjustRightInd w:val="0"/>
        <w:snapToGrid w:val="0"/>
        <w:spacing w:line="560" w:lineRule="exact"/>
        <w:ind w:left="425"/>
        <w:rPr>
          <w:rFonts w:hint="eastAsia" w:ascii="仿宋_GB2312" w:hAnsi="宋体" w:eastAsia="仿宋_GB2312"/>
          <w:sz w:val="32"/>
          <w:szCs w:val="32"/>
        </w:rPr>
      </w:pPr>
      <w:r>
        <w:rPr>
          <w:rFonts w:hint="eastAsia" w:ascii="仿宋_GB2312" w:hAnsi="宋体" w:eastAsia="仿宋_GB2312"/>
          <w:sz w:val="32"/>
          <w:szCs w:val="32"/>
        </w:rPr>
        <w:t>（三）有关信息已经泄露或者市场出现传闻。</w:t>
      </w:r>
    </w:p>
    <w:p w14:paraId="3C40E517">
      <w:pPr>
        <w:numPr>
          <w:ilvl w:val="1"/>
          <w:numId w:val="21"/>
        </w:numPr>
        <w:tabs>
          <w:tab w:val="left" w:pos="0"/>
          <w:tab w:val="clear" w:pos="992"/>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和相关信息披露义务人适用本所相关信息披露要求，可能导致其难以反映经营活动的实际情况、难以符合行业监管要求或者公司注册地有关规定的，可以向本所申请调整适用，但是应当说明原因和替代方案，</w:t>
      </w:r>
      <w:r>
        <w:rPr>
          <w:rFonts w:hint="eastAsia" w:ascii="仿宋_GB2312" w:eastAsia="仿宋_GB2312"/>
          <w:sz w:val="32"/>
          <w:szCs w:val="32"/>
        </w:rPr>
        <w:t>并聘请律师事务所出具法律意见。</w:t>
      </w:r>
    </w:p>
    <w:p w14:paraId="09F771CF">
      <w:p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本所认为不应当调整适用的，上市公司和相关信息披露义务人应当执行本所相关规定</w:t>
      </w:r>
      <w:r>
        <w:rPr>
          <w:rFonts w:hint="eastAsia" w:ascii="仿宋_GB2312" w:hAnsi="宋体" w:eastAsia="仿宋_GB2312"/>
          <w:sz w:val="32"/>
          <w:szCs w:val="32"/>
        </w:rPr>
        <w:t>。</w:t>
      </w:r>
    </w:p>
    <w:p w14:paraId="1FA23B89">
      <w:pPr>
        <w:numPr>
          <w:ilvl w:val="1"/>
          <w:numId w:val="21"/>
        </w:numPr>
        <w:tabs>
          <w:tab w:val="left" w:pos="1080"/>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上市公司股票的停牌和复牌，应当遵守本规则及本所相关规定。</w:t>
      </w:r>
      <w:r>
        <w:rPr>
          <w:rFonts w:hint="eastAsia" w:ascii="仿宋_GB2312" w:hAnsi="Arial Unicode MS" w:eastAsia="仿宋_GB2312" w:cs="Arial Unicode MS"/>
          <w:sz w:val="32"/>
          <w:szCs w:val="32"/>
        </w:rPr>
        <w:t>上市公司未按规定申请停牌和复牌的，本所可以决定对公司股票实施停牌和复牌。</w:t>
      </w:r>
    </w:p>
    <w:p w14:paraId="71C74CBC">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上市公司筹划重大事项或者具有其他本所认为合理的理由，可以按照相关规定申请对其股票停牌与复牌。</w:t>
      </w:r>
    </w:p>
    <w:p w14:paraId="2DF88442">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证券市场交易出现极端异常情况的，本所可以根据中国证监会的决定或者市场实际情况，暂停办理上市公司停牌申请，维护市场交易的连续性和流动性，维护投资者正当的交易权利。</w:t>
      </w:r>
    </w:p>
    <w:p w14:paraId="296E676A">
      <w:pPr>
        <w:numPr>
          <w:ilvl w:val="1"/>
          <w:numId w:val="21"/>
        </w:numPr>
        <w:tabs>
          <w:tab w:val="left" w:pos="1080"/>
        </w:tabs>
        <w:autoSpaceDE w:val="0"/>
        <w:autoSpaceDN w:val="0"/>
        <w:adjustRightInd w:val="0"/>
        <w:snapToGrid w:val="0"/>
        <w:spacing w:line="560" w:lineRule="exact"/>
        <w:ind w:left="0"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上市公司出现下列情形的，本所可以视情况决定公司股票的停牌和复牌：</w:t>
      </w:r>
    </w:p>
    <w:p w14:paraId="0C50FAA3">
      <w:pPr>
        <w:spacing w:line="560" w:lineRule="exact"/>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 xml:space="preserve">    （一）严重违反法律法规、本规则及本所其他规定，且在规定期限内拒不按要求改正；</w:t>
      </w:r>
    </w:p>
    <w:p w14:paraId="0179DC2B">
      <w:pPr>
        <w:spacing w:line="560" w:lineRule="exact"/>
        <w:ind w:firstLine="64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（二）定期报告或者临时公告披露存在重大遗漏或者误导性陈述，但拒不按照要求就有关内容进行解释或者补充；</w:t>
      </w:r>
    </w:p>
    <w:p w14:paraId="2ADA31FB">
      <w:pPr>
        <w:spacing w:line="560" w:lineRule="exact"/>
        <w:ind w:firstLine="64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（三）在公司运作和信息披露方面涉嫌违反法律法规、本规则或者本所其他规定，情节严重而被有关部门调查；</w:t>
      </w:r>
    </w:p>
    <w:p w14:paraId="4840FF60">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（四）无法保证与本所的有效联系，或者拒不履行信息披露义务；</w:t>
      </w:r>
    </w:p>
    <w:p w14:paraId="44F63391">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（五）其他本所认为应当停牌或者复牌的情形。</w:t>
      </w:r>
    </w:p>
    <w:p w14:paraId="59DCA375">
      <w:pPr>
        <w:numPr>
          <w:ilvl w:val="1"/>
          <w:numId w:val="21"/>
        </w:numPr>
        <w:tabs>
          <w:tab w:val="left" w:pos="1080"/>
        </w:tabs>
        <w:autoSpaceDE w:val="0"/>
        <w:autoSpaceDN w:val="0"/>
        <w:adjustRightInd w:val="0"/>
        <w:snapToGrid w:val="0"/>
        <w:spacing w:line="560" w:lineRule="exact"/>
        <w:ind w:left="0" w:firstLine="640" w:firstLineChars="200"/>
        <w:rPr>
          <w:rFonts w:hint="eastAsia" w:ascii="仿宋_GB2312" w:hAnsi="Arial Unicode MS" w:eastAsia="仿宋_GB2312" w:cs="Arial Unicode MS"/>
          <w:sz w:val="32"/>
          <w:szCs w:val="32"/>
        </w:rPr>
      </w:pPr>
      <w:r>
        <w:rPr>
          <w:rFonts w:hint="eastAsia" w:ascii="仿宋_GB2312" w:hAnsi="宋体" w:eastAsia="仿宋_GB2312"/>
          <w:sz w:val="32"/>
          <w:szCs w:val="32"/>
        </w:rPr>
        <w:t>上市公司因收购人履行要约收购义务，或者收购人以终止上市公司上市地位为目的而发出全面要约的，要约收购期满至要约收购结果公告前，公司股票应当停牌。</w:t>
      </w:r>
    </w:p>
    <w:p w14:paraId="09330714">
      <w:pPr>
        <w:numPr>
          <w:ilvl w:val="255"/>
          <w:numId w:val="0"/>
        </w:numPr>
        <w:tabs>
          <w:tab w:val="left" w:pos="1080"/>
        </w:tabs>
        <w:autoSpaceDE w:val="0"/>
        <w:autoSpaceDN w:val="0"/>
        <w:adjustRightInd w:val="0"/>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根据收购结果，被收购上市公司股本总额、股权分布具备上市条件的，公司股票应当于要约结果公告后复牌。股本总额、股权分布不具备上市条件，且收购人以终止上市公司上市地位为目的的，公司股票应当于要约结果公告日继续停牌，直至本所终止其上市。股本总额、股权分布不具备上市条件，但收购人不以终止上市公司上市地位为目的的，公司股票应当于要约结果公告日继续停牌，公司披露股本总额、股权分布重新符合上市条件公告后复牌。停牌1个月后股本总额、股权分布仍不具备上市条件的，参照第十二章第五节有关股本总额、股权分布不具备上市条件的规定执行。</w:t>
      </w:r>
    </w:p>
    <w:p w14:paraId="75DB8DAE">
      <w:pPr>
        <w:pStyle w:val="36"/>
        <w:numPr>
          <w:ilvl w:val="1"/>
          <w:numId w:val="1"/>
        </w:numPr>
        <w:ind w:left="0" w:firstLine="643"/>
        <w:rPr>
          <w:rFonts w:hint="eastAsia"/>
        </w:rPr>
      </w:pPr>
      <w:bookmarkStart w:id="140" w:name="_Toc170284233"/>
      <w:bookmarkStart w:id="141" w:name="_Toc10315"/>
      <w:bookmarkStart w:id="142" w:name="_Toc4708"/>
      <w:r>
        <w:rPr>
          <w:rFonts w:hint="eastAsia"/>
        </w:rPr>
        <w:t>信息披露监管方式</w:t>
      </w:r>
      <w:bookmarkEnd w:id="140"/>
      <w:bookmarkEnd w:id="141"/>
      <w:bookmarkEnd w:id="142"/>
    </w:p>
    <w:p w14:paraId="1EDD8811">
      <w:pPr>
        <w:numPr>
          <w:ilvl w:val="1"/>
          <w:numId w:val="22"/>
        </w:numPr>
        <w:tabs>
          <w:tab w:val="left" w:pos="1080"/>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ascii="仿宋_GB2312" w:hAnsi="宋体" w:eastAsia="仿宋_GB2312"/>
          <w:sz w:val="32"/>
          <w:szCs w:val="32"/>
        </w:rPr>
        <w:t>上市公司信息披露采用直通披露和非直通披露两种方式。</w:t>
      </w:r>
    </w:p>
    <w:p w14:paraId="1670424A">
      <w:pPr>
        <w:tabs>
          <w:tab w:val="left" w:pos="1080"/>
        </w:tabs>
        <w:autoSpaceDE w:val="0"/>
        <w:autoSpaceDN w:val="0"/>
        <w:adjustRightInd w:val="0"/>
        <w:snapToGrid w:val="0"/>
        <w:spacing w:line="560" w:lineRule="exact"/>
        <w:ind w:firstLine="660"/>
        <w:rPr>
          <w:rFonts w:hint="eastAsia" w:ascii="仿宋_GB2312" w:hAnsi="宋体" w:eastAsia="仿宋_GB2312"/>
          <w:sz w:val="32"/>
          <w:szCs w:val="32"/>
        </w:rPr>
      </w:pPr>
      <w:r>
        <w:rPr>
          <w:rFonts w:hint="eastAsia" w:ascii="仿宋_GB2312" w:hAnsi="宋体" w:eastAsia="仿宋_GB2312"/>
          <w:sz w:val="32"/>
          <w:szCs w:val="32"/>
        </w:rPr>
        <w:t>信息披露原则上采用直通披露方式，本所可以根据公司信息披露质量、规范运作情况等，调整直通披露公司范围。</w:t>
      </w:r>
    </w:p>
    <w:p w14:paraId="6FC4AF1D">
      <w:pPr>
        <w:tabs>
          <w:tab w:val="left" w:pos="1080"/>
        </w:tabs>
        <w:autoSpaceDE w:val="0"/>
        <w:autoSpaceDN w:val="0"/>
        <w:adjustRightInd w:val="0"/>
        <w:snapToGrid w:val="0"/>
        <w:spacing w:line="560" w:lineRule="exact"/>
        <w:ind w:firstLine="660"/>
        <w:rPr>
          <w:rFonts w:hint="eastAsia" w:ascii="仿宋_GB2312" w:hAnsi="宋体" w:eastAsia="仿宋_GB2312"/>
          <w:sz w:val="32"/>
          <w:szCs w:val="32"/>
        </w:rPr>
      </w:pPr>
      <w:r>
        <w:rPr>
          <w:rFonts w:hint="eastAsia" w:ascii="仿宋_GB2312" w:hAnsi="宋体" w:eastAsia="仿宋_GB2312"/>
          <w:sz w:val="32"/>
          <w:szCs w:val="32"/>
        </w:rPr>
        <w:t>直通披露的公告范围由本所确定，本所可以根据业务需要进行调整。</w:t>
      </w:r>
    </w:p>
    <w:p w14:paraId="006DA18E">
      <w:pPr>
        <w:numPr>
          <w:ilvl w:val="1"/>
          <w:numId w:val="22"/>
        </w:numPr>
        <w:tabs>
          <w:tab w:val="left" w:pos="1080"/>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eastAsia="仿宋_GB2312"/>
          <w:bCs/>
          <w:sz w:val="32"/>
          <w:szCs w:val="32"/>
        </w:rPr>
        <w:t>本所对信息披露文件实施形式审查，对其内容的真实性不承担责任。</w:t>
      </w:r>
    </w:p>
    <w:p w14:paraId="53C78FE6">
      <w:pPr>
        <w:numPr>
          <w:ilvl w:val="1"/>
          <w:numId w:val="22"/>
        </w:numPr>
        <w:tabs>
          <w:tab w:val="left" w:pos="1080"/>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eastAsia="仿宋_GB2312"/>
          <w:bCs/>
          <w:sz w:val="32"/>
          <w:szCs w:val="32"/>
        </w:rPr>
        <w:t>本所经审查认为信息披露文件存在重大问题，可以提出问询。上市公司和相关信息披露义务人应当在规定期限内如实答复，并披露补充或者更正公告。</w:t>
      </w:r>
    </w:p>
    <w:p w14:paraId="70737488">
      <w:pPr>
        <w:numPr>
          <w:ilvl w:val="1"/>
          <w:numId w:val="22"/>
        </w:numPr>
        <w:tabs>
          <w:tab w:val="left" w:pos="1080"/>
        </w:tabs>
        <w:autoSpaceDE w:val="0"/>
        <w:autoSpaceDN w:val="0"/>
        <w:adjustRightInd w:val="0"/>
        <w:snapToGrid w:val="0"/>
        <w:spacing w:line="560" w:lineRule="exact"/>
        <w:ind w:left="0" w:firstLine="640" w:firstLineChars="200"/>
        <w:rPr>
          <w:rFonts w:ascii="仿宋_GB2312" w:eastAsia="仿宋_GB2312"/>
          <w:bCs/>
          <w:sz w:val="32"/>
          <w:szCs w:val="32"/>
        </w:rPr>
      </w:pPr>
      <w:r>
        <w:rPr>
          <w:rFonts w:hint="eastAsia" w:ascii="仿宋_GB2312" w:eastAsia="仿宋_GB2312"/>
          <w:bCs/>
          <w:sz w:val="32"/>
          <w:szCs w:val="32"/>
        </w:rPr>
        <w:t>上市公司或者相关信息披露义务人未按照本规则或者本所要求进行公告的，或者本所认为必要的，本所可以以交易所公告形式向市场说明有关情况。</w:t>
      </w:r>
    </w:p>
    <w:p w14:paraId="758226A5">
      <w:pPr>
        <w:numPr>
          <w:ilvl w:val="1"/>
          <w:numId w:val="22"/>
        </w:numPr>
        <w:tabs>
          <w:tab w:val="left" w:pos="0"/>
          <w:tab w:val="clear" w:pos="992"/>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上市公司和相关信息披露义务人应当在符合条件的媒体上披露信息披露文件。</w:t>
      </w:r>
    </w:p>
    <w:p w14:paraId="462CA955">
      <w:pPr>
        <w:tabs>
          <w:tab w:val="left" w:pos="108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上市公司和相关信息披露义务人应当保证披露的信息内容与向本所提交的公告材料内容一致。公司披露的公告内容与提供给本所的材料内容不一致的，应当立即向本所报告并及时更正。</w:t>
      </w:r>
    </w:p>
    <w:p w14:paraId="6339A48D">
      <w:pPr>
        <w:pStyle w:val="36"/>
        <w:numPr>
          <w:ilvl w:val="1"/>
          <w:numId w:val="1"/>
        </w:numPr>
        <w:ind w:left="0" w:firstLine="643"/>
        <w:rPr>
          <w:rFonts w:hint="eastAsia"/>
        </w:rPr>
      </w:pPr>
      <w:bookmarkStart w:id="143" w:name="_Toc32229"/>
      <w:bookmarkStart w:id="144" w:name="_Toc29123"/>
      <w:bookmarkStart w:id="145" w:name="_Toc170284234"/>
      <w:r>
        <w:rPr>
          <w:rFonts w:hint="eastAsia"/>
        </w:rPr>
        <w:t>信息披露管理制度</w:t>
      </w:r>
      <w:bookmarkEnd w:id="143"/>
      <w:bookmarkEnd w:id="144"/>
      <w:bookmarkEnd w:id="145"/>
    </w:p>
    <w:p w14:paraId="23897625">
      <w:pPr>
        <w:numPr>
          <w:ilvl w:val="1"/>
          <w:numId w:val="23"/>
        </w:numPr>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上市公司应当建立信息披露事务管理制度，经董事会审议通过并披露。</w:t>
      </w:r>
    </w:p>
    <w:p w14:paraId="3A86A08E">
      <w:pPr>
        <w:tabs>
          <w:tab w:val="left" w:pos="108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上市公司应当建立与本所的有效沟通渠道，保证联系畅通。</w:t>
      </w:r>
    </w:p>
    <w:p w14:paraId="61EF0E80">
      <w:pPr>
        <w:numPr>
          <w:ilvl w:val="1"/>
          <w:numId w:val="23"/>
        </w:numPr>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上市公司应当制定董事、高级管理人员以及其他相关人员对外发布信息的内部规范制度，明确发布程序、方式和未经董事会许可不得对外发布的情形等事项。</w:t>
      </w:r>
    </w:p>
    <w:p w14:paraId="35B13497">
      <w:pPr>
        <w:autoSpaceDE w:val="0"/>
        <w:autoSpaceDN w:val="0"/>
        <w:adjustRightInd w:val="0"/>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上市公司控股股东、实际控制人应当比照前款要求，规范与上市公司有关的信息发布行为。</w:t>
      </w:r>
    </w:p>
    <w:p w14:paraId="49E9D60D">
      <w:pPr>
        <w:numPr>
          <w:ilvl w:val="1"/>
          <w:numId w:val="23"/>
        </w:numPr>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上市公司和相关信息披露义务人不得以新闻发布或者答记者问等其他形式代替信息披露或泄露未公开重大信息。</w:t>
      </w:r>
    </w:p>
    <w:p w14:paraId="08F85825">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sz w:val="32"/>
          <w:szCs w:val="32"/>
        </w:rPr>
        <w:t>上市公司和相关</w:t>
      </w:r>
      <w:r>
        <w:rPr>
          <w:rFonts w:hint="eastAsia" w:ascii="仿宋_GB2312" w:hAnsi="宋体" w:eastAsia="仿宋_GB2312"/>
          <w:sz w:val="32"/>
          <w:szCs w:val="32"/>
        </w:rPr>
        <w:t>信息披露义务人确有需要的，可以在非交易时段通过新闻发布会、媒体专访、公司网站、网络自媒体等方式对外发布应披露的信息，但公司应当于下一交易时段开始前披露相关公告。</w:t>
      </w:r>
    </w:p>
    <w:p w14:paraId="29FEB830">
      <w:pPr>
        <w:numPr>
          <w:ilvl w:val="1"/>
          <w:numId w:val="23"/>
        </w:numPr>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上市公司应当建立内幕信息管理制度。上市公司及其董事、高级管理人员和其他内幕信息知情人在信息披露前，应当将内幕信息知情人控制在最小范围。</w:t>
      </w:r>
    </w:p>
    <w:p w14:paraId="1B52C352">
      <w:pPr>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内幕信息知情人在内幕信息公开前，不得买卖公司股票、泄露内幕信息或者建议他人买卖公司股票。</w:t>
      </w:r>
    </w:p>
    <w:p w14:paraId="027E5BF8">
      <w:pPr>
        <w:numPr>
          <w:ilvl w:val="1"/>
          <w:numId w:val="23"/>
        </w:numPr>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除按规定可以编制、审阅信息披露文件的证券公司、证券服务机构外，上市公司不得委托其他公司或者机构代为编制或者审阅信息披露文件。上市公司不得向证券公司、证券服务机构以外的公司或者机构咨询信息披露文件的编制、公告等事项。</w:t>
      </w:r>
    </w:p>
    <w:p w14:paraId="24058B2E">
      <w:pPr>
        <w:numPr>
          <w:ilvl w:val="1"/>
          <w:numId w:val="23"/>
        </w:numPr>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相关信息披露义务人应当积极配合上市公司做好信息披露工作，及时告知公司已发生或者可能发生的重大事项，严格履行承诺。</w:t>
      </w:r>
    </w:p>
    <w:p w14:paraId="599C8BBC">
      <w:pPr>
        <w:autoSpaceDE w:val="0"/>
        <w:autoSpaceDN w:val="0"/>
        <w:adjustRightInd w:val="0"/>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相关信息披露义务人通过上市公司披露信息的，上市公司应当予以协助。</w:t>
      </w:r>
    </w:p>
    <w:p w14:paraId="37E36CF3">
      <w:pPr>
        <w:numPr>
          <w:ilvl w:val="1"/>
          <w:numId w:val="23"/>
        </w:numPr>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上市公司应当建立与投资者的有效沟通渠道，保障投资者合法权益。</w:t>
      </w:r>
    </w:p>
    <w:p w14:paraId="45B9BF1F">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hAnsi="宋体" w:eastAsia="仿宋_GB2312"/>
          <w:sz w:val="32"/>
          <w:szCs w:val="32"/>
        </w:rPr>
        <w:t>上市公司应当积极召开投资者说明会，向投资者说明公司重大事项，澄清媒体传闻。</w:t>
      </w:r>
    </w:p>
    <w:p w14:paraId="76AFDB15">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p>
    <w:p w14:paraId="2888E1D8">
      <w:pPr>
        <w:pStyle w:val="81"/>
        <w:tabs>
          <w:tab w:val="left" w:pos="142"/>
          <w:tab w:val="clear" w:pos="992"/>
        </w:tabs>
        <w:ind w:firstLine="643"/>
        <w:rPr>
          <w:rFonts w:hint="eastAsia"/>
          <w:b/>
          <w:bCs/>
        </w:rPr>
      </w:pPr>
      <w:bookmarkStart w:id="146" w:name="_Toc530162337"/>
      <w:bookmarkEnd w:id="146"/>
      <w:bookmarkStart w:id="147" w:name="_Toc530162472"/>
      <w:bookmarkEnd w:id="147"/>
      <w:bookmarkStart w:id="148" w:name="_Toc530034645"/>
      <w:bookmarkEnd w:id="148"/>
      <w:bookmarkStart w:id="149" w:name="_Toc530162614"/>
      <w:bookmarkEnd w:id="149"/>
      <w:bookmarkStart w:id="150" w:name="_Toc530162043"/>
      <w:bookmarkEnd w:id="150"/>
      <w:bookmarkStart w:id="151" w:name="_Toc530162899"/>
      <w:bookmarkEnd w:id="151"/>
      <w:bookmarkStart w:id="152" w:name="_Toc530162329"/>
      <w:bookmarkEnd w:id="152"/>
      <w:bookmarkStart w:id="153" w:name="_Toc530162615"/>
      <w:bookmarkEnd w:id="153"/>
      <w:bookmarkStart w:id="154" w:name="_Toc530162333"/>
      <w:bookmarkEnd w:id="154"/>
      <w:bookmarkStart w:id="155" w:name="_Toc530162853"/>
      <w:bookmarkEnd w:id="155"/>
      <w:bookmarkStart w:id="156" w:name="_Toc530162862"/>
      <w:bookmarkEnd w:id="156"/>
      <w:bookmarkStart w:id="157" w:name="_Toc530162907"/>
      <w:bookmarkEnd w:id="157"/>
      <w:bookmarkStart w:id="158" w:name="_Toc530162627"/>
      <w:bookmarkEnd w:id="158"/>
      <w:bookmarkStart w:id="159" w:name="_Toc530162878"/>
      <w:bookmarkEnd w:id="159"/>
      <w:bookmarkStart w:id="160" w:name="_Toc530162843"/>
      <w:bookmarkEnd w:id="160"/>
      <w:bookmarkStart w:id="161" w:name="_Toc530161905"/>
      <w:bookmarkEnd w:id="161"/>
      <w:bookmarkStart w:id="162" w:name="_Toc530162056"/>
      <w:bookmarkEnd w:id="162"/>
      <w:bookmarkStart w:id="163" w:name="_Toc530162619"/>
      <w:bookmarkEnd w:id="163"/>
      <w:bookmarkStart w:id="164" w:name="_Toc530162865"/>
      <w:bookmarkEnd w:id="164"/>
      <w:bookmarkStart w:id="165" w:name="_Toc530162631"/>
      <w:bookmarkEnd w:id="165"/>
      <w:bookmarkStart w:id="166" w:name="_Toc530056398"/>
      <w:bookmarkEnd w:id="166"/>
      <w:bookmarkStart w:id="167" w:name="_Toc530162880"/>
      <w:bookmarkEnd w:id="167"/>
      <w:bookmarkStart w:id="168" w:name="_Toc530162480"/>
      <w:bookmarkEnd w:id="168"/>
      <w:bookmarkStart w:id="169" w:name="_Toc530162493"/>
      <w:bookmarkEnd w:id="169"/>
      <w:bookmarkStart w:id="170" w:name="_Toc530162477"/>
      <w:bookmarkEnd w:id="170"/>
      <w:bookmarkStart w:id="171" w:name="_Toc530162181"/>
      <w:bookmarkEnd w:id="171"/>
      <w:bookmarkStart w:id="172" w:name="_Toc530162888"/>
      <w:bookmarkEnd w:id="172"/>
      <w:bookmarkStart w:id="173" w:name="_Toc530161892"/>
      <w:bookmarkEnd w:id="173"/>
      <w:bookmarkStart w:id="174" w:name="_Toc530162470"/>
      <w:bookmarkEnd w:id="174"/>
      <w:bookmarkStart w:id="175" w:name="_Toc530162852"/>
      <w:bookmarkEnd w:id="175"/>
      <w:bookmarkStart w:id="176" w:name="_Toc530162841"/>
      <w:bookmarkEnd w:id="176"/>
      <w:bookmarkStart w:id="177" w:name="_Toc530162196"/>
      <w:bookmarkEnd w:id="177"/>
      <w:bookmarkStart w:id="178" w:name="_Toc530162886"/>
      <w:bookmarkEnd w:id="178"/>
      <w:bookmarkStart w:id="179" w:name="_Toc530162846"/>
      <w:bookmarkEnd w:id="179"/>
      <w:bookmarkStart w:id="180" w:name="_Toc530162761"/>
      <w:bookmarkEnd w:id="180"/>
      <w:bookmarkStart w:id="181" w:name="_Toc530162485"/>
      <w:bookmarkEnd w:id="181"/>
      <w:bookmarkStart w:id="182" w:name="_Toc530056399"/>
      <w:bookmarkEnd w:id="182"/>
      <w:bookmarkStart w:id="183" w:name="_Toc530162629"/>
      <w:bookmarkEnd w:id="183"/>
      <w:bookmarkStart w:id="184" w:name="_Toc530162630"/>
      <w:bookmarkEnd w:id="184"/>
      <w:bookmarkStart w:id="185" w:name="_Toc530162857"/>
      <w:bookmarkEnd w:id="185"/>
      <w:bookmarkStart w:id="186" w:name="_Toc530162338"/>
      <w:bookmarkEnd w:id="186"/>
      <w:bookmarkStart w:id="187" w:name="_Toc530162623"/>
      <w:bookmarkEnd w:id="187"/>
      <w:bookmarkStart w:id="188" w:name="_Toc530162634"/>
      <w:bookmarkEnd w:id="188"/>
      <w:bookmarkStart w:id="189" w:name="_Toc530162835"/>
      <w:bookmarkEnd w:id="189"/>
      <w:bookmarkStart w:id="190" w:name="_Toc530162763"/>
      <w:bookmarkEnd w:id="190"/>
      <w:bookmarkStart w:id="191" w:name="_Toc530162490"/>
      <w:bookmarkEnd w:id="191"/>
      <w:bookmarkStart w:id="192" w:name="_Toc530162775"/>
      <w:bookmarkEnd w:id="192"/>
      <w:bookmarkStart w:id="193" w:name="_Toc530162620"/>
      <w:bookmarkEnd w:id="193"/>
      <w:bookmarkStart w:id="194" w:name="_Toc530162035"/>
      <w:bookmarkEnd w:id="194"/>
      <w:bookmarkStart w:id="195" w:name="_Toc530162902"/>
      <w:bookmarkEnd w:id="195"/>
      <w:bookmarkStart w:id="196" w:name="_Toc530162194"/>
      <w:bookmarkEnd w:id="196"/>
      <w:bookmarkStart w:id="197" w:name="_Toc530161900"/>
      <w:bookmarkEnd w:id="197"/>
      <w:bookmarkStart w:id="198" w:name="_Toc530162757"/>
      <w:bookmarkEnd w:id="198"/>
      <w:bookmarkStart w:id="199" w:name="_Toc530162347"/>
      <w:bookmarkEnd w:id="199"/>
      <w:bookmarkStart w:id="200" w:name="_Toc530034647"/>
      <w:bookmarkEnd w:id="200"/>
      <w:bookmarkStart w:id="201" w:name="_Toc530162182"/>
      <w:bookmarkEnd w:id="201"/>
      <w:bookmarkStart w:id="202" w:name="_Toc530162621"/>
      <w:bookmarkEnd w:id="202"/>
      <w:bookmarkStart w:id="203" w:name="_Toc530162633"/>
      <w:bookmarkEnd w:id="203"/>
      <w:bookmarkStart w:id="204" w:name="_Toc530162895"/>
      <w:bookmarkEnd w:id="204"/>
      <w:bookmarkStart w:id="205" w:name="_Toc530162766"/>
      <w:bookmarkEnd w:id="205"/>
      <w:bookmarkStart w:id="206" w:name="_Toc530162850"/>
      <w:bookmarkEnd w:id="206"/>
      <w:bookmarkStart w:id="207" w:name="_Toc530162858"/>
      <w:bookmarkEnd w:id="207"/>
      <w:bookmarkStart w:id="208" w:name="_Toc530162617"/>
      <w:bookmarkEnd w:id="208"/>
      <w:bookmarkStart w:id="209" w:name="_Toc530162200"/>
      <w:bookmarkEnd w:id="209"/>
      <w:bookmarkStart w:id="210" w:name="_Toc530162185"/>
      <w:bookmarkEnd w:id="210"/>
      <w:bookmarkStart w:id="211" w:name="_Toc530162344"/>
      <w:bookmarkEnd w:id="211"/>
      <w:bookmarkStart w:id="212" w:name="_Toc530162837"/>
      <w:bookmarkEnd w:id="212"/>
      <w:bookmarkStart w:id="213" w:name="_Toc530162856"/>
      <w:bookmarkEnd w:id="213"/>
      <w:bookmarkStart w:id="214" w:name="_Toc530162486"/>
      <w:bookmarkEnd w:id="214"/>
      <w:bookmarkStart w:id="215" w:name="_Toc530162190"/>
      <w:bookmarkEnd w:id="215"/>
      <w:bookmarkStart w:id="216" w:name="_Toc530161910"/>
      <w:bookmarkEnd w:id="216"/>
      <w:bookmarkStart w:id="217" w:name="_Toc530162330"/>
      <w:bookmarkEnd w:id="217"/>
      <w:bookmarkStart w:id="218" w:name="_Toc530162828"/>
      <w:bookmarkEnd w:id="218"/>
      <w:bookmarkStart w:id="219" w:name="_Toc530161903"/>
      <w:bookmarkEnd w:id="219"/>
      <w:bookmarkStart w:id="220" w:name="_Toc530162762"/>
      <w:bookmarkEnd w:id="220"/>
      <w:bookmarkStart w:id="221" w:name="_Toc530162488"/>
      <w:bookmarkEnd w:id="221"/>
      <w:bookmarkStart w:id="222" w:name="_Toc530161891"/>
      <w:bookmarkEnd w:id="222"/>
      <w:bookmarkStart w:id="223" w:name="_Toc530162896"/>
      <w:bookmarkEnd w:id="223"/>
      <w:bookmarkStart w:id="224" w:name="_Toc530162767"/>
      <w:bookmarkEnd w:id="224"/>
      <w:bookmarkStart w:id="225" w:name="_Toc530162892"/>
      <w:bookmarkEnd w:id="225"/>
      <w:bookmarkStart w:id="226" w:name="_Toc530162324"/>
      <w:bookmarkEnd w:id="226"/>
      <w:bookmarkStart w:id="227" w:name="_Toc530161899"/>
      <w:bookmarkEnd w:id="227"/>
      <w:bookmarkStart w:id="228" w:name="_Toc530162478"/>
      <w:bookmarkEnd w:id="228"/>
      <w:bookmarkStart w:id="229" w:name="_Toc530052382"/>
      <w:bookmarkEnd w:id="229"/>
      <w:bookmarkStart w:id="230" w:name="_Toc530162885"/>
      <w:bookmarkEnd w:id="230"/>
      <w:bookmarkStart w:id="231" w:name="_Toc530162897"/>
      <w:bookmarkEnd w:id="231"/>
      <w:bookmarkStart w:id="232" w:name="_Toc530034646"/>
      <w:bookmarkEnd w:id="232"/>
      <w:bookmarkStart w:id="233" w:name="_Toc530162328"/>
      <w:bookmarkEnd w:id="233"/>
      <w:bookmarkStart w:id="234" w:name="_Toc530162908"/>
      <w:bookmarkEnd w:id="234"/>
      <w:bookmarkStart w:id="235" w:name="_Toc530162867"/>
      <w:bookmarkEnd w:id="235"/>
      <w:bookmarkStart w:id="236" w:name="_Toc530162192"/>
      <w:bookmarkEnd w:id="236"/>
      <w:bookmarkStart w:id="237" w:name="_Toc530162039"/>
      <w:bookmarkEnd w:id="237"/>
      <w:bookmarkStart w:id="238" w:name="_Toc530161902"/>
      <w:bookmarkEnd w:id="238"/>
      <w:bookmarkStart w:id="239" w:name="_Toc530162849"/>
      <w:bookmarkEnd w:id="239"/>
      <w:bookmarkStart w:id="240" w:name="_Toc530162903"/>
      <w:bookmarkEnd w:id="240"/>
      <w:bookmarkStart w:id="241" w:name="_Toc530162046"/>
      <w:bookmarkEnd w:id="241"/>
      <w:bookmarkStart w:id="242" w:name="_Toc530161913"/>
      <w:bookmarkEnd w:id="242"/>
      <w:bookmarkStart w:id="243" w:name="_Toc530162483"/>
      <w:bookmarkEnd w:id="243"/>
      <w:bookmarkStart w:id="244" w:name="_Toc530162836"/>
      <w:bookmarkEnd w:id="244"/>
      <w:bookmarkStart w:id="245" w:name="_Toc530161893"/>
      <w:bookmarkEnd w:id="245"/>
      <w:bookmarkStart w:id="246" w:name="_Toc530162199"/>
      <w:bookmarkEnd w:id="246"/>
      <w:bookmarkStart w:id="247" w:name="_Toc530162037"/>
      <w:bookmarkEnd w:id="247"/>
      <w:bookmarkStart w:id="248" w:name="_Toc530162829"/>
      <w:bookmarkEnd w:id="248"/>
      <w:bookmarkStart w:id="249" w:name="_Toc530162041"/>
      <w:bookmarkEnd w:id="249"/>
      <w:bookmarkStart w:id="250" w:name="_Toc530162048"/>
      <w:bookmarkEnd w:id="250"/>
      <w:bookmarkStart w:id="251" w:name="_Toc530162873"/>
      <w:bookmarkEnd w:id="251"/>
      <w:bookmarkStart w:id="252" w:name="_Toc530162879"/>
      <w:bookmarkEnd w:id="252"/>
      <w:bookmarkStart w:id="253" w:name="_Toc530162193"/>
      <w:bookmarkEnd w:id="253"/>
      <w:bookmarkStart w:id="254" w:name="_Toc530162860"/>
      <w:bookmarkEnd w:id="254"/>
      <w:bookmarkStart w:id="255" w:name="_Toc530162198"/>
      <w:bookmarkEnd w:id="255"/>
      <w:bookmarkStart w:id="256" w:name="_Toc530162481"/>
      <w:bookmarkEnd w:id="256"/>
      <w:bookmarkStart w:id="257" w:name="_Toc530161895"/>
      <w:bookmarkEnd w:id="257"/>
      <w:bookmarkStart w:id="258" w:name="_Toc530162868"/>
      <w:bookmarkEnd w:id="258"/>
      <w:bookmarkStart w:id="259" w:name="_Toc530162045"/>
      <w:bookmarkEnd w:id="259"/>
      <w:bookmarkStart w:id="260" w:name="_Toc530162778"/>
      <w:bookmarkEnd w:id="260"/>
      <w:bookmarkStart w:id="261" w:name="_Toc530162771"/>
      <w:bookmarkEnd w:id="261"/>
      <w:bookmarkStart w:id="262" w:name="_Toc530162626"/>
      <w:bookmarkEnd w:id="262"/>
      <w:bookmarkStart w:id="263" w:name="_Toc530162341"/>
      <w:bookmarkEnd w:id="263"/>
      <w:bookmarkStart w:id="264" w:name="_Toc530162342"/>
      <w:bookmarkEnd w:id="264"/>
      <w:bookmarkStart w:id="265" w:name="_Toc530162830"/>
      <w:bookmarkEnd w:id="265"/>
      <w:bookmarkStart w:id="266" w:name="_Toc530162195"/>
      <w:bookmarkEnd w:id="266"/>
      <w:bookmarkStart w:id="267" w:name="_Toc530161897"/>
      <w:bookmarkEnd w:id="267"/>
      <w:bookmarkStart w:id="268" w:name="_Toc530162055"/>
      <w:bookmarkEnd w:id="268"/>
      <w:bookmarkStart w:id="269" w:name="_Toc530162900"/>
      <w:bookmarkEnd w:id="269"/>
      <w:bookmarkStart w:id="270" w:name="_Toc530162844"/>
      <w:bookmarkEnd w:id="270"/>
      <w:bookmarkStart w:id="271" w:name="_Toc530162872"/>
      <w:bookmarkEnd w:id="271"/>
      <w:bookmarkStart w:id="272" w:name="_Toc530162034"/>
      <w:bookmarkEnd w:id="272"/>
      <w:bookmarkStart w:id="273" w:name="_Toc530161901"/>
      <w:bookmarkEnd w:id="273"/>
      <w:bookmarkStart w:id="274" w:name="_Toc530162863"/>
      <w:bookmarkEnd w:id="274"/>
      <w:bookmarkStart w:id="275" w:name="_Toc530161898"/>
      <w:bookmarkEnd w:id="275"/>
      <w:bookmarkStart w:id="276" w:name="_Toc530162889"/>
      <w:bookmarkEnd w:id="276"/>
      <w:bookmarkStart w:id="277" w:name="_Toc530162884"/>
      <w:bookmarkEnd w:id="277"/>
      <w:bookmarkStart w:id="278" w:name="_Toc530162326"/>
      <w:bookmarkEnd w:id="278"/>
      <w:bookmarkStart w:id="279" w:name="_Toc530161908"/>
      <w:bookmarkEnd w:id="279"/>
      <w:bookmarkStart w:id="280" w:name="_Toc530162624"/>
      <w:bookmarkEnd w:id="280"/>
      <w:bookmarkStart w:id="281" w:name="_Toc530162875"/>
      <w:bookmarkEnd w:id="281"/>
      <w:bookmarkStart w:id="282" w:name="_Toc530162335"/>
      <w:bookmarkEnd w:id="282"/>
      <w:bookmarkStart w:id="283" w:name="_Toc530162776"/>
      <w:bookmarkEnd w:id="283"/>
      <w:bookmarkStart w:id="284" w:name="_Toc530162851"/>
      <w:bookmarkEnd w:id="284"/>
      <w:bookmarkStart w:id="285" w:name="_Toc530162327"/>
      <w:bookmarkEnd w:id="285"/>
      <w:bookmarkStart w:id="286" w:name="_Toc530162838"/>
      <w:bookmarkEnd w:id="286"/>
      <w:bookmarkStart w:id="287" w:name="_Toc530162632"/>
      <w:bookmarkEnd w:id="287"/>
      <w:bookmarkStart w:id="288" w:name="_Toc530162489"/>
      <w:bookmarkEnd w:id="288"/>
      <w:bookmarkStart w:id="289" w:name="_Toc530162057"/>
      <w:bookmarkEnd w:id="289"/>
      <w:bookmarkStart w:id="290" w:name="_Toc530161896"/>
      <w:bookmarkEnd w:id="290"/>
      <w:bookmarkStart w:id="291" w:name="_Toc530162890"/>
      <w:bookmarkEnd w:id="291"/>
      <w:bookmarkStart w:id="292" w:name="_Toc530162618"/>
      <w:bookmarkEnd w:id="292"/>
      <w:bookmarkStart w:id="293" w:name="_Toc530161909"/>
      <w:bookmarkEnd w:id="293"/>
      <w:bookmarkStart w:id="294" w:name="_Toc530162332"/>
      <w:bookmarkEnd w:id="294"/>
      <w:bookmarkStart w:id="295" w:name="_Toc530162870"/>
      <w:bookmarkEnd w:id="295"/>
      <w:bookmarkStart w:id="296" w:name="_Toc530052384"/>
      <w:bookmarkEnd w:id="296"/>
      <w:bookmarkStart w:id="297" w:name="_Toc530162187"/>
      <w:bookmarkEnd w:id="297"/>
      <w:bookmarkStart w:id="298" w:name="_Toc530162755"/>
      <w:bookmarkEnd w:id="298"/>
      <w:bookmarkStart w:id="299" w:name="_Toc530162180"/>
      <w:bookmarkEnd w:id="299"/>
      <w:bookmarkStart w:id="300" w:name="_Toc530162770"/>
      <w:bookmarkEnd w:id="300"/>
      <w:bookmarkStart w:id="301" w:name="_Toc530162186"/>
      <w:bookmarkEnd w:id="301"/>
      <w:bookmarkStart w:id="302" w:name="_Toc530162622"/>
      <w:bookmarkEnd w:id="302"/>
      <w:bookmarkStart w:id="303" w:name="_Toc530162847"/>
      <w:bookmarkEnd w:id="303"/>
      <w:bookmarkStart w:id="304" w:name="_Toc530162848"/>
      <w:bookmarkEnd w:id="304"/>
      <w:bookmarkStart w:id="305" w:name="_Toc530162334"/>
      <w:bookmarkEnd w:id="305"/>
      <w:bookmarkStart w:id="306" w:name="_Toc530162475"/>
      <w:bookmarkEnd w:id="306"/>
      <w:bookmarkStart w:id="307" w:name="_Toc530162883"/>
      <w:bookmarkEnd w:id="307"/>
      <w:bookmarkStart w:id="308" w:name="_Toc530162613"/>
      <w:bookmarkEnd w:id="308"/>
      <w:bookmarkStart w:id="309" w:name="_Toc530056397"/>
      <w:bookmarkEnd w:id="309"/>
      <w:bookmarkStart w:id="310" w:name="_Toc530162188"/>
      <w:bookmarkEnd w:id="310"/>
      <w:bookmarkStart w:id="311" w:name="_Toc530162760"/>
      <w:bookmarkEnd w:id="311"/>
      <w:bookmarkStart w:id="312" w:name="_Toc530162484"/>
      <w:bookmarkEnd w:id="312"/>
      <w:bookmarkStart w:id="313" w:name="_Toc530162476"/>
      <w:bookmarkEnd w:id="313"/>
      <w:bookmarkStart w:id="314" w:name="_Toc530162845"/>
      <w:bookmarkEnd w:id="314"/>
      <w:bookmarkStart w:id="315" w:name="_Toc530162491"/>
      <w:bookmarkEnd w:id="315"/>
      <w:bookmarkStart w:id="316" w:name="_Toc530162052"/>
      <w:bookmarkEnd w:id="316"/>
      <w:bookmarkStart w:id="317" w:name="_Toc530162774"/>
      <w:bookmarkEnd w:id="317"/>
      <w:bookmarkStart w:id="318" w:name="_Toc530162042"/>
      <w:bookmarkEnd w:id="318"/>
      <w:bookmarkStart w:id="319" w:name="_Toc530162768"/>
      <w:bookmarkEnd w:id="319"/>
      <w:bookmarkStart w:id="320" w:name="_Toc530162616"/>
      <w:bookmarkEnd w:id="320"/>
      <w:bookmarkStart w:id="321" w:name="_Toc530161912"/>
      <w:bookmarkEnd w:id="321"/>
      <w:bookmarkStart w:id="322" w:name="_Toc530162612"/>
      <w:bookmarkEnd w:id="322"/>
      <w:bookmarkStart w:id="323" w:name="_Toc530162625"/>
      <w:bookmarkEnd w:id="323"/>
      <w:bookmarkStart w:id="324" w:name="_Toc530162764"/>
      <w:bookmarkEnd w:id="324"/>
      <w:bookmarkStart w:id="325" w:name="_Toc530162047"/>
      <w:bookmarkEnd w:id="325"/>
      <w:bookmarkStart w:id="326" w:name="_Toc530162473"/>
      <w:bookmarkEnd w:id="326"/>
      <w:bookmarkStart w:id="327" w:name="_Toc530161907"/>
      <w:bookmarkEnd w:id="327"/>
      <w:bookmarkStart w:id="328" w:name="_Toc530161904"/>
      <w:bookmarkEnd w:id="328"/>
      <w:bookmarkStart w:id="329" w:name="_Toc530162487"/>
      <w:bookmarkEnd w:id="329"/>
      <w:bookmarkStart w:id="330" w:name="_Toc530162325"/>
      <w:bookmarkEnd w:id="330"/>
      <w:bookmarkStart w:id="331" w:name="_Toc530162839"/>
      <w:bookmarkEnd w:id="331"/>
      <w:bookmarkStart w:id="332" w:name="_Toc530162866"/>
      <w:bookmarkEnd w:id="332"/>
      <w:bookmarkStart w:id="333" w:name="_Toc530162184"/>
      <w:bookmarkEnd w:id="333"/>
      <w:bookmarkStart w:id="334" w:name="_Toc530161894"/>
      <w:bookmarkEnd w:id="334"/>
      <w:bookmarkStart w:id="335" w:name="_Toc530162773"/>
      <w:bookmarkEnd w:id="335"/>
      <w:bookmarkStart w:id="336" w:name="_Toc530162877"/>
      <w:bookmarkEnd w:id="336"/>
      <w:bookmarkStart w:id="337" w:name="_Toc530162871"/>
      <w:bookmarkEnd w:id="337"/>
      <w:bookmarkStart w:id="338" w:name="_Toc530162777"/>
      <w:bookmarkEnd w:id="338"/>
      <w:bookmarkStart w:id="339" w:name="_Toc530162898"/>
      <w:bookmarkEnd w:id="339"/>
      <w:bookmarkStart w:id="340" w:name="_Toc530162345"/>
      <w:bookmarkEnd w:id="340"/>
      <w:bookmarkStart w:id="341" w:name="_Toc530162040"/>
      <w:bookmarkEnd w:id="341"/>
      <w:bookmarkStart w:id="342" w:name="_Toc530162474"/>
      <w:bookmarkEnd w:id="342"/>
      <w:bookmarkStart w:id="343" w:name="_Toc530162197"/>
      <w:bookmarkEnd w:id="343"/>
      <w:bookmarkStart w:id="344" w:name="_Toc530162904"/>
      <w:bookmarkEnd w:id="344"/>
      <w:bookmarkStart w:id="345" w:name="_Toc530162628"/>
      <w:bookmarkEnd w:id="345"/>
      <w:bookmarkStart w:id="346" w:name="_Toc530162635"/>
      <w:bookmarkEnd w:id="346"/>
      <w:bookmarkStart w:id="347" w:name="_Toc530162336"/>
      <w:bookmarkEnd w:id="347"/>
      <w:bookmarkStart w:id="348" w:name="_Toc530162861"/>
      <w:bookmarkEnd w:id="348"/>
      <w:bookmarkStart w:id="349" w:name="_Toc530162482"/>
      <w:bookmarkEnd w:id="349"/>
      <w:bookmarkStart w:id="350" w:name="_Toc530162831"/>
      <w:bookmarkEnd w:id="350"/>
      <w:bookmarkStart w:id="351" w:name="_Toc530162769"/>
      <w:bookmarkEnd w:id="351"/>
      <w:bookmarkStart w:id="352" w:name="_Toc530162832"/>
      <w:bookmarkEnd w:id="352"/>
      <w:bookmarkStart w:id="353" w:name="_Toc530162859"/>
      <w:bookmarkEnd w:id="353"/>
      <w:bookmarkStart w:id="354" w:name="_Toc530162053"/>
      <w:bookmarkEnd w:id="354"/>
      <w:bookmarkStart w:id="355" w:name="_Toc530162887"/>
      <w:bookmarkEnd w:id="355"/>
      <w:bookmarkStart w:id="356" w:name="_Toc530162772"/>
      <w:bookmarkEnd w:id="356"/>
      <w:bookmarkStart w:id="357" w:name="_Toc530162343"/>
      <w:bookmarkEnd w:id="357"/>
      <w:bookmarkStart w:id="358" w:name="_Toc530162346"/>
      <w:bookmarkEnd w:id="358"/>
      <w:bookmarkStart w:id="359" w:name="_Toc530162854"/>
      <w:bookmarkEnd w:id="359"/>
      <w:bookmarkStart w:id="360" w:name="_Toc530162479"/>
      <w:bookmarkEnd w:id="360"/>
      <w:bookmarkStart w:id="361" w:name="_Toc530162882"/>
      <w:bookmarkEnd w:id="361"/>
      <w:bookmarkStart w:id="362" w:name="_Toc530162054"/>
      <w:bookmarkEnd w:id="362"/>
      <w:bookmarkStart w:id="363" w:name="_Toc530162855"/>
      <w:bookmarkEnd w:id="363"/>
      <w:bookmarkStart w:id="364" w:name="_Toc530162189"/>
      <w:bookmarkEnd w:id="364"/>
      <w:bookmarkStart w:id="365" w:name="_Toc530162758"/>
      <w:bookmarkEnd w:id="365"/>
      <w:bookmarkStart w:id="366" w:name="_Toc530162893"/>
      <w:bookmarkEnd w:id="366"/>
      <w:bookmarkStart w:id="367" w:name="_Toc530162864"/>
      <w:bookmarkEnd w:id="367"/>
      <w:bookmarkStart w:id="368" w:name="_Toc530162471"/>
      <w:bookmarkEnd w:id="368"/>
      <w:bookmarkStart w:id="369" w:name="_Toc530162765"/>
      <w:bookmarkEnd w:id="369"/>
      <w:bookmarkStart w:id="370" w:name="_Toc530161906"/>
      <w:bookmarkEnd w:id="370"/>
      <w:bookmarkStart w:id="371" w:name="_Toc530162202"/>
      <w:bookmarkEnd w:id="371"/>
      <w:bookmarkStart w:id="372" w:name="_Toc530162894"/>
      <w:bookmarkEnd w:id="372"/>
      <w:bookmarkStart w:id="373" w:name="_Toc530162874"/>
      <w:bookmarkEnd w:id="373"/>
      <w:bookmarkStart w:id="374" w:name="_Toc530162834"/>
      <w:bookmarkEnd w:id="374"/>
      <w:bookmarkStart w:id="375" w:name="_Toc530161890"/>
      <w:bookmarkEnd w:id="375"/>
      <w:bookmarkStart w:id="376" w:name="_Toc530162201"/>
      <w:bookmarkEnd w:id="376"/>
      <w:bookmarkStart w:id="377" w:name="_Toc530162051"/>
      <w:bookmarkEnd w:id="377"/>
      <w:bookmarkStart w:id="378" w:name="_Toc530162905"/>
      <w:bookmarkEnd w:id="378"/>
      <w:bookmarkStart w:id="379" w:name="_Toc530162833"/>
      <w:bookmarkEnd w:id="379"/>
      <w:bookmarkStart w:id="380" w:name="_Toc530162876"/>
      <w:bookmarkEnd w:id="380"/>
      <w:bookmarkStart w:id="381" w:name="_Toc530162049"/>
      <w:bookmarkEnd w:id="381"/>
      <w:bookmarkStart w:id="382" w:name="_Toc530162044"/>
      <w:bookmarkEnd w:id="382"/>
      <w:bookmarkStart w:id="383" w:name="_Toc530052383"/>
      <w:bookmarkEnd w:id="383"/>
      <w:bookmarkStart w:id="384" w:name="_Toc530162339"/>
      <w:bookmarkEnd w:id="384"/>
      <w:bookmarkStart w:id="385" w:name="_Toc530162191"/>
      <w:bookmarkEnd w:id="385"/>
      <w:bookmarkStart w:id="386" w:name="_Toc530162901"/>
      <w:bookmarkEnd w:id="386"/>
      <w:bookmarkStart w:id="387" w:name="_Toc530162038"/>
      <w:bookmarkEnd w:id="387"/>
      <w:bookmarkStart w:id="388" w:name="_Toc530162891"/>
      <w:bookmarkEnd w:id="388"/>
      <w:bookmarkStart w:id="389" w:name="_Toc530161911"/>
      <w:bookmarkEnd w:id="389"/>
      <w:bookmarkStart w:id="390" w:name="_Toc530162842"/>
      <w:bookmarkEnd w:id="390"/>
      <w:bookmarkStart w:id="391" w:name="_Toc530162036"/>
      <w:bookmarkEnd w:id="391"/>
      <w:bookmarkStart w:id="392" w:name="_Toc530162050"/>
      <w:bookmarkEnd w:id="392"/>
      <w:bookmarkStart w:id="393" w:name="_Toc530162869"/>
      <w:bookmarkEnd w:id="393"/>
      <w:bookmarkStart w:id="394" w:name="_Toc530162179"/>
      <w:bookmarkEnd w:id="394"/>
      <w:bookmarkStart w:id="395" w:name="_Toc530162827"/>
      <w:bookmarkEnd w:id="395"/>
      <w:bookmarkStart w:id="396" w:name="_Toc530162909"/>
      <w:bookmarkEnd w:id="396"/>
      <w:bookmarkStart w:id="397" w:name="_Toc530162756"/>
      <w:bookmarkEnd w:id="397"/>
      <w:bookmarkStart w:id="398" w:name="_Toc530162881"/>
      <w:bookmarkEnd w:id="398"/>
      <w:bookmarkStart w:id="399" w:name="_Toc530162340"/>
      <w:bookmarkEnd w:id="399"/>
      <w:bookmarkStart w:id="400" w:name="_Toc530162906"/>
      <w:bookmarkEnd w:id="400"/>
      <w:bookmarkStart w:id="401" w:name="_Toc530162840"/>
      <w:bookmarkEnd w:id="401"/>
      <w:bookmarkStart w:id="402" w:name="_Toc530162492"/>
      <w:bookmarkEnd w:id="402"/>
      <w:bookmarkStart w:id="403" w:name="_Toc530162759"/>
      <w:bookmarkEnd w:id="403"/>
      <w:bookmarkStart w:id="404" w:name="_Toc530162183"/>
      <w:bookmarkEnd w:id="404"/>
      <w:bookmarkStart w:id="405" w:name="_Toc530162331"/>
      <w:bookmarkEnd w:id="405"/>
      <w:bookmarkStart w:id="406" w:name="_Toc7961"/>
      <w:bookmarkStart w:id="407" w:name="_Toc11730"/>
      <w:bookmarkStart w:id="408" w:name="_Toc170284235"/>
      <w:r>
        <w:rPr>
          <w:rFonts w:hint="eastAsia"/>
          <w:b/>
          <w:bCs/>
        </w:rPr>
        <w:t>定期报告</w:t>
      </w:r>
      <w:bookmarkEnd w:id="406"/>
      <w:bookmarkEnd w:id="407"/>
      <w:bookmarkEnd w:id="408"/>
    </w:p>
    <w:p w14:paraId="296FC3A3">
      <w:pPr>
        <w:pStyle w:val="36"/>
        <w:numPr>
          <w:ilvl w:val="1"/>
          <w:numId w:val="1"/>
        </w:numPr>
        <w:ind w:left="0" w:firstLine="643"/>
        <w:rPr>
          <w:rFonts w:hint="eastAsia"/>
        </w:rPr>
      </w:pPr>
      <w:bookmarkStart w:id="409" w:name="_Toc22993"/>
      <w:bookmarkStart w:id="410" w:name="_Toc170284236"/>
      <w:bookmarkStart w:id="411" w:name="_Toc1892"/>
      <w:r>
        <w:rPr>
          <w:rFonts w:hint="eastAsia"/>
        </w:rPr>
        <w:t>定期报告编制和披露要求</w:t>
      </w:r>
      <w:bookmarkEnd w:id="409"/>
      <w:bookmarkEnd w:id="410"/>
      <w:bookmarkEnd w:id="411"/>
    </w:p>
    <w:p w14:paraId="47CB1A26">
      <w:pPr>
        <w:pStyle w:val="34"/>
        <w:numPr>
          <w:ilvl w:val="0"/>
          <w:numId w:val="24"/>
        </w:numPr>
        <w:tabs>
          <w:tab w:val="left" w:pos="1276"/>
          <w:tab w:val="left" w:pos="1418"/>
        </w:tabs>
        <w:spacing w:line="560" w:lineRule="exact"/>
        <w:ind w:left="0" w:firstLine="640"/>
        <w:rPr>
          <w:rFonts w:ascii="仿宋_GB2312"/>
          <w:sz w:val="32"/>
          <w:szCs w:val="32"/>
        </w:rPr>
      </w:pPr>
      <w:r>
        <w:rPr>
          <w:rFonts w:hint="eastAsia" w:ascii="仿宋_GB2312" w:hAnsi="宋体"/>
          <w:sz w:val="32"/>
          <w:szCs w:val="32"/>
        </w:rPr>
        <w:t>上市公司应当在规定的期间内</w:t>
      </w:r>
      <w:r>
        <w:rPr>
          <w:rFonts w:hint="eastAsia" w:ascii="仿宋_GB2312"/>
          <w:sz w:val="32"/>
          <w:szCs w:val="32"/>
        </w:rPr>
        <w:t>，依照中国证监会和本所的要求编制并披露定期报告。</w:t>
      </w:r>
    </w:p>
    <w:p w14:paraId="6A58CC38">
      <w:pPr>
        <w:tabs>
          <w:tab w:val="left" w:pos="1276"/>
          <w:tab w:val="left" w:pos="1418"/>
        </w:tabs>
        <w:spacing w:line="560" w:lineRule="exact"/>
        <w:ind w:firstLine="640" w:firstLineChars="200"/>
        <w:rPr>
          <w:rFonts w:ascii="仿宋_GB2312" w:eastAsia="仿宋_GB2312"/>
          <w:sz w:val="32"/>
          <w:szCs w:val="32"/>
        </w:rPr>
      </w:pPr>
      <w:r>
        <w:rPr>
          <w:rFonts w:hint="eastAsia" w:ascii="仿宋_GB2312" w:eastAsia="仿宋_GB2312"/>
          <w:sz w:val="32"/>
          <w:szCs w:val="32"/>
        </w:rPr>
        <w:t>定期报告包括年度报告、半年度报告和季度报告。</w:t>
      </w:r>
    </w:p>
    <w:p w14:paraId="73CE67AA">
      <w:pPr>
        <w:pStyle w:val="34"/>
        <w:numPr>
          <w:ilvl w:val="0"/>
          <w:numId w:val="24"/>
        </w:numPr>
        <w:tabs>
          <w:tab w:val="left" w:pos="1276"/>
          <w:tab w:val="left" w:pos="1418"/>
        </w:tabs>
        <w:spacing w:line="560" w:lineRule="exact"/>
        <w:ind w:left="0" w:firstLine="640"/>
        <w:rPr>
          <w:rFonts w:hint="eastAsia" w:ascii="仿宋_GB2312" w:hAnsi="宋体"/>
          <w:sz w:val="32"/>
          <w:szCs w:val="32"/>
        </w:rPr>
      </w:pPr>
      <w:r>
        <w:rPr>
          <w:rFonts w:hint="eastAsia" w:ascii="仿宋_GB2312" w:hAnsi="宋体"/>
          <w:sz w:val="32"/>
          <w:szCs w:val="32"/>
        </w:rPr>
        <w:t>上市公司应当在每个会计年度结束之日起4个月内披露年度报告，在每个会计年度的上半年结束之日起2个月内披露半年度报告，在每个会计年度前3个月、9个月结束之日起1个月内披露季度报告。第一季度季度报告的披露时间不得早于上一年度年度报告的披露时间。</w:t>
      </w:r>
    </w:p>
    <w:p w14:paraId="3FFA49F7">
      <w:pPr>
        <w:tabs>
          <w:tab w:val="left" w:pos="1276"/>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上市公司预计不能在规定期限内披露定期报告的，应当及时公告不能按期披露的原因、解决方案以及预计披露的时间。</w:t>
      </w:r>
    </w:p>
    <w:p w14:paraId="648855C8">
      <w:pPr>
        <w:pStyle w:val="34"/>
        <w:numPr>
          <w:ilvl w:val="0"/>
          <w:numId w:val="24"/>
        </w:numPr>
        <w:tabs>
          <w:tab w:val="left" w:pos="1276"/>
          <w:tab w:val="left" w:pos="1418"/>
        </w:tabs>
        <w:spacing w:line="560" w:lineRule="exact"/>
        <w:ind w:left="0" w:firstLine="640"/>
        <w:rPr>
          <w:rFonts w:hint="eastAsia" w:ascii="仿宋_GB2312" w:hAnsi="宋体"/>
          <w:sz w:val="32"/>
          <w:szCs w:val="32"/>
        </w:rPr>
      </w:pPr>
      <w:r>
        <w:rPr>
          <w:rFonts w:hint="eastAsia" w:ascii="仿宋_GB2312" w:hAnsi="宋体"/>
          <w:sz w:val="32"/>
          <w:szCs w:val="32"/>
        </w:rPr>
        <w:t>上市公司应当向本所预约定期报告的披露时间。</w:t>
      </w:r>
    </w:p>
    <w:p w14:paraId="3E7EA754">
      <w:pPr>
        <w:tabs>
          <w:tab w:val="left" w:pos="1276"/>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因故需要变更披露时间的，应当提前5个交易日向本所申请变更，本所视情况决定是否予以调整。</w:t>
      </w:r>
    </w:p>
    <w:p w14:paraId="08ED223E">
      <w:pPr>
        <w:pStyle w:val="34"/>
        <w:numPr>
          <w:ilvl w:val="0"/>
          <w:numId w:val="24"/>
        </w:numPr>
        <w:tabs>
          <w:tab w:val="left" w:pos="1276"/>
          <w:tab w:val="left" w:pos="1418"/>
        </w:tabs>
        <w:spacing w:line="560" w:lineRule="exact"/>
        <w:ind w:left="0" w:firstLine="640"/>
        <w:rPr>
          <w:rFonts w:ascii="仿宋_GB2312"/>
          <w:sz w:val="32"/>
          <w:szCs w:val="32"/>
        </w:rPr>
      </w:pPr>
      <w:r>
        <w:rPr>
          <w:rFonts w:hint="eastAsia" w:ascii="仿宋_GB2312"/>
          <w:sz w:val="32"/>
          <w:szCs w:val="32"/>
        </w:rPr>
        <w:t>上市公司董事会应当确保公司定期报告按时披露。定期报告未经董事会审议、董事会审议未通过或者因故无法形成有关董事会决议的，公司应当披露具体原因和存在的风险、董事会的专项说明。</w:t>
      </w:r>
    </w:p>
    <w:p w14:paraId="501FE3E6">
      <w:pPr>
        <w:tabs>
          <w:tab w:val="left" w:pos="1276"/>
          <w:tab w:val="left" w:pos="1418"/>
        </w:tabs>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公司不得披露未经董事会审议通过的定期报告。半数以上的董事无法保证定期报告内容的真实性、准确性、完整性的，视为未审议通过。</w:t>
      </w:r>
    </w:p>
    <w:p w14:paraId="11CC3AD7">
      <w:pPr>
        <w:pStyle w:val="34"/>
        <w:numPr>
          <w:ilvl w:val="0"/>
          <w:numId w:val="24"/>
        </w:numPr>
        <w:tabs>
          <w:tab w:val="left" w:pos="1276"/>
          <w:tab w:val="left" w:pos="1418"/>
        </w:tabs>
        <w:spacing w:line="560" w:lineRule="exact"/>
        <w:ind w:left="0" w:firstLine="640"/>
        <w:rPr>
          <w:rFonts w:ascii="仿宋_GB2312"/>
          <w:sz w:val="32"/>
          <w:szCs w:val="32"/>
        </w:rPr>
      </w:pPr>
      <w:r>
        <w:rPr>
          <w:rFonts w:hint="eastAsia" w:ascii="仿宋_GB2312"/>
          <w:sz w:val="32"/>
          <w:szCs w:val="32"/>
        </w:rPr>
        <w:t>上市公司董事会应当按照中国证监</w:t>
      </w:r>
      <w:r>
        <w:rPr>
          <w:rFonts w:ascii="仿宋_GB2312"/>
          <w:sz w:val="32"/>
          <w:szCs w:val="32"/>
        </w:rPr>
        <w:t>会和本所关于定期报告的相关规定，组织有关人员安排落实定期报告的编制和披露工作。</w:t>
      </w:r>
    </w:p>
    <w:p w14:paraId="64496790">
      <w:pPr>
        <w:tabs>
          <w:tab w:val="left" w:pos="1276"/>
          <w:tab w:val="left" w:pos="1418"/>
        </w:tabs>
        <w:spacing w:line="560" w:lineRule="exact"/>
        <w:rPr>
          <w:rFonts w:ascii="仿宋_GB2312" w:hAnsi="Calibri" w:eastAsia="仿宋_GB2312"/>
          <w:kern w:val="0"/>
          <w:sz w:val="32"/>
          <w:szCs w:val="32"/>
        </w:rPr>
      </w:pPr>
      <w:r>
        <w:rPr>
          <w:rFonts w:hint="eastAsia" w:ascii="仿宋_GB2312" w:hAnsi="Calibri" w:eastAsia="仿宋_GB2312"/>
          <w:kern w:val="0"/>
          <w:sz w:val="32"/>
          <w:szCs w:val="32"/>
        </w:rPr>
        <w:t xml:space="preserve">    公司总经理、财务负责人、董事会秘书等</w:t>
      </w:r>
      <w:r>
        <w:rPr>
          <w:rFonts w:ascii="仿宋_GB2312" w:hAnsi="Calibri" w:eastAsia="仿宋_GB2312"/>
          <w:kern w:val="0"/>
          <w:sz w:val="32"/>
          <w:szCs w:val="32"/>
        </w:rPr>
        <w:t>高级管理人员应当及时编制定期报告草案</w:t>
      </w:r>
      <w:r>
        <w:rPr>
          <w:rFonts w:hint="eastAsia" w:ascii="仿宋_GB2312" w:hAnsi="Calibri" w:eastAsia="仿宋_GB2312"/>
          <w:kern w:val="0"/>
          <w:sz w:val="32"/>
          <w:szCs w:val="32"/>
        </w:rPr>
        <w:t>。定期报告中的财务信息应当</w:t>
      </w:r>
      <w:r>
        <w:rPr>
          <w:rFonts w:ascii="仿宋_GB2312" w:hAnsi="Calibri" w:eastAsia="仿宋_GB2312"/>
          <w:kern w:val="0"/>
          <w:sz w:val="32"/>
          <w:szCs w:val="32"/>
        </w:rPr>
        <w:t>经审计委员会</w:t>
      </w:r>
      <w:r>
        <w:rPr>
          <w:rFonts w:hint="eastAsia" w:ascii="仿宋_GB2312" w:hAnsi="Calibri" w:eastAsia="仿宋_GB2312"/>
          <w:kern w:val="0"/>
          <w:sz w:val="32"/>
          <w:szCs w:val="32"/>
        </w:rPr>
        <w:t>审核，由审计委员会</w:t>
      </w:r>
      <w:r>
        <w:rPr>
          <w:rFonts w:ascii="仿宋_GB2312" w:hAnsi="Calibri" w:eastAsia="仿宋_GB2312"/>
          <w:kern w:val="0"/>
          <w:sz w:val="32"/>
          <w:szCs w:val="32"/>
        </w:rPr>
        <w:t>全体成员过半数同意后提交董事会审议。</w:t>
      </w:r>
    </w:p>
    <w:p w14:paraId="5912B424">
      <w:pPr>
        <w:pStyle w:val="34"/>
        <w:numPr>
          <w:ilvl w:val="0"/>
          <w:numId w:val="24"/>
        </w:numPr>
        <w:tabs>
          <w:tab w:val="left" w:pos="1276"/>
          <w:tab w:val="left" w:pos="1418"/>
        </w:tabs>
        <w:spacing w:line="560" w:lineRule="exact"/>
        <w:ind w:left="0" w:firstLine="640"/>
        <w:rPr>
          <w:rFonts w:ascii="仿宋_GB2312"/>
          <w:sz w:val="32"/>
          <w:szCs w:val="32"/>
        </w:rPr>
      </w:pPr>
      <w:r>
        <w:rPr>
          <w:rFonts w:hint="eastAsia" w:ascii="仿宋_GB2312"/>
          <w:sz w:val="32"/>
          <w:szCs w:val="32"/>
        </w:rPr>
        <w:t>上市公司董事、高级管理人员应当</w:t>
      </w:r>
      <w:r>
        <w:rPr>
          <w:rFonts w:ascii="仿宋_GB2312"/>
          <w:sz w:val="32"/>
          <w:szCs w:val="32"/>
        </w:rPr>
        <w:t>对定期报告签署书面确认意见，说明董事会的编制和审议程序是否符合法律法规、本所相关规定的要求，定期报告的内容是否能够真实、准确、完整地反映上市公司的实际情况。</w:t>
      </w:r>
    </w:p>
    <w:p w14:paraId="2E3F3579">
      <w:pPr>
        <w:tabs>
          <w:tab w:val="left" w:pos="1276"/>
          <w:tab w:val="left" w:pos="1418"/>
        </w:tabs>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公司董事无法保证定期报告内容的真实</w:t>
      </w:r>
      <w:r>
        <w:rPr>
          <w:rFonts w:ascii="仿宋_GB2312" w:hAnsi="Calibri" w:eastAsia="仿宋_GB2312"/>
          <w:kern w:val="0"/>
          <w:sz w:val="32"/>
          <w:szCs w:val="32"/>
        </w:rPr>
        <w:t>性、准确性、完整性或者有异议的，应当在董事会审议定期报告时投反对票或者弃权票。</w:t>
      </w:r>
    </w:p>
    <w:p w14:paraId="019A0F58">
      <w:pPr>
        <w:tabs>
          <w:tab w:val="left" w:pos="1276"/>
          <w:tab w:val="left" w:pos="1418"/>
        </w:tabs>
        <w:spacing w:line="560" w:lineRule="exact"/>
        <w:ind w:firstLine="640" w:firstLineChars="200"/>
        <w:rPr>
          <w:rFonts w:ascii="仿宋_GB2312" w:hAnsi="Calibri" w:eastAsia="仿宋_GB2312"/>
          <w:kern w:val="0"/>
          <w:sz w:val="32"/>
          <w:szCs w:val="32"/>
        </w:rPr>
      </w:pPr>
      <w:r>
        <w:rPr>
          <w:rFonts w:ascii="仿宋_GB2312" w:hAnsi="Calibri" w:eastAsia="仿宋_GB2312"/>
          <w:kern w:val="0"/>
          <w:sz w:val="32"/>
          <w:szCs w:val="32"/>
        </w:rPr>
        <w:t>审计委员会成员无法保证定期报告中财务信息的真实性、准确性、完整性或者有异议的，应当在审计委员会审核定期报告时投反对票或者弃权票。</w:t>
      </w:r>
    </w:p>
    <w:p w14:paraId="2381F32B">
      <w:pPr>
        <w:autoSpaceDE w:val="0"/>
        <w:autoSpaceDN w:val="0"/>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kern w:val="0"/>
          <w:sz w:val="32"/>
          <w:szCs w:val="32"/>
        </w:rPr>
        <w:t>公司董事、高级管理人员无法保证定期报告内容的真实性、准确性、完整性或者</w:t>
      </w:r>
      <w:r>
        <w:rPr>
          <w:rFonts w:hint="eastAsia" w:ascii="仿宋_GB2312" w:eastAsia="仿宋_GB2312"/>
          <w:sz w:val="32"/>
          <w:szCs w:val="32"/>
        </w:rPr>
        <w:t>有异议的，应当在书面确认意见中发表意见并陈述理由，公司应当披露。公司不予披露的，董事、高级管理人员可以直接申请披露。</w:t>
      </w:r>
    </w:p>
    <w:p w14:paraId="53C6EE01">
      <w:pPr>
        <w:autoSpaceDE w:val="0"/>
        <w:autoSpaceDN w:val="0"/>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公司董事、高级管理人员发表的异议理由应当明确、具体，与定期报告披露内容具有相关性。公司董事、高级管理人员按照前款规定发表意见，应当遵循审慎原则，其保证定期报告内容的真实性、准确性、完整性的责任不仅因发表意见而当然免除。</w:t>
      </w:r>
    </w:p>
    <w:p w14:paraId="05B18BAC">
      <w:pPr>
        <w:autoSpaceDE w:val="0"/>
        <w:autoSpaceDN w:val="0"/>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董事、高级管理人员不得以任何理由拒绝对定期报告签署书面意见。</w:t>
      </w:r>
    </w:p>
    <w:p w14:paraId="04DAEC55">
      <w:pPr>
        <w:pStyle w:val="34"/>
        <w:numPr>
          <w:ilvl w:val="0"/>
          <w:numId w:val="24"/>
        </w:numPr>
        <w:tabs>
          <w:tab w:val="left" w:pos="1276"/>
          <w:tab w:val="left" w:pos="1418"/>
        </w:tabs>
        <w:spacing w:line="560" w:lineRule="exact"/>
        <w:ind w:left="0" w:firstLine="640"/>
        <w:rPr>
          <w:rFonts w:hint="eastAsia" w:ascii="仿宋_GB2312" w:hAnsi="宋体"/>
          <w:sz w:val="32"/>
          <w:szCs w:val="32"/>
        </w:rPr>
      </w:pPr>
      <w:r>
        <w:rPr>
          <w:rFonts w:hint="eastAsia" w:ascii="仿宋_GB2312" w:hAnsi="宋体"/>
          <w:sz w:val="32"/>
          <w:szCs w:val="32"/>
        </w:rPr>
        <w:t>为上市公司定期报告出具审计意见的会计师事务所，应当严格按照注册会计师执业准则以及相关规定发表审计意见，不得无故拖延，影响定期报告按时披露。</w:t>
      </w:r>
    </w:p>
    <w:p w14:paraId="2E93B564">
      <w:pPr>
        <w:pStyle w:val="34"/>
        <w:numPr>
          <w:ilvl w:val="0"/>
          <w:numId w:val="24"/>
        </w:numPr>
        <w:tabs>
          <w:tab w:val="left" w:pos="1276"/>
          <w:tab w:val="left" w:pos="1418"/>
        </w:tabs>
        <w:spacing w:line="560" w:lineRule="exact"/>
        <w:ind w:left="0" w:firstLine="640"/>
        <w:rPr>
          <w:rFonts w:hint="eastAsia" w:ascii="仿宋_GB2312" w:hAnsi="宋体"/>
          <w:sz w:val="32"/>
          <w:szCs w:val="32"/>
        </w:rPr>
      </w:pPr>
      <w:r>
        <w:rPr>
          <w:rFonts w:hint="eastAsia" w:ascii="仿宋_GB2312" w:hAnsi="宋体"/>
          <w:sz w:val="32"/>
          <w:szCs w:val="32"/>
        </w:rPr>
        <w:t>上市公司年度报告的财务会计报告应当经符合《证券法》规定的会计师事务所审计。未经审计的公司，不得披露年度报告。</w:t>
      </w:r>
    </w:p>
    <w:p w14:paraId="508D7EA7">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上市公司拟派发股票股利、进行公积金转增股本或者弥补亏损的，所依据的半年度报告或者季度报告的财务会计报告应当审计；仅实施现金分红的，可免于审计。</w:t>
      </w:r>
    </w:p>
    <w:p w14:paraId="076CE79C">
      <w:pPr>
        <w:pStyle w:val="34"/>
        <w:numPr>
          <w:ilvl w:val="0"/>
          <w:numId w:val="24"/>
        </w:numPr>
        <w:tabs>
          <w:tab w:val="left" w:pos="1276"/>
          <w:tab w:val="left" w:pos="1418"/>
        </w:tabs>
        <w:spacing w:line="560" w:lineRule="exact"/>
        <w:ind w:left="0" w:firstLine="640"/>
        <w:rPr>
          <w:rFonts w:hint="eastAsia" w:ascii="仿宋_GB2312" w:hAnsi="宋体"/>
          <w:sz w:val="32"/>
          <w:szCs w:val="32"/>
        </w:rPr>
      </w:pPr>
      <w:r>
        <w:rPr>
          <w:rFonts w:hint="eastAsia" w:ascii="仿宋_GB2312" w:hAnsi="宋体"/>
          <w:sz w:val="32"/>
          <w:szCs w:val="32"/>
        </w:rPr>
        <w:t>上市公司财务会计报告被会计师事务所出具非标准审计意见的，按照《公开发行证券的公司信息披露编报规则第14号——非标准审计意见及其涉及事项的处理》（以下简称第14号编报规则）的规定，公司在披露定期报告的同时，应当披露下列文件：</w:t>
      </w:r>
    </w:p>
    <w:p w14:paraId="7C2CDB5D">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（一）董事会针对该审计意见涉及事项所做的符合第14号编报规则要求的专项说明，包括董事会及其审计委员会对该事项的意见以及所依据的材料；</w:t>
      </w:r>
    </w:p>
    <w:p w14:paraId="71DC2017">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（二）负责审计的会计师事务所和注册会计师出具的符合第14号编报规则要求的专项说明；</w:t>
      </w:r>
    </w:p>
    <w:p w14:paraId="2943D410">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（三）中国证监会和本所要求的其他文件。</w:t>
      </w:r>
    </w:p>
    <w:p w14:paraId="1F69E7D6">
      <w:pPr>
        <w:pStyle w:val="34"/>
        <w:numPr>
          <w:ilvl w:val="0"/>
          <w:numId w:val="24"/>
        </w:numPr>
        <w:tabs>
          <w:tab w:val="left" w:pos="1276"/>
          <w:tab w:val="left" w:pos="1418"/>
        </w:tabs>
        <w:spacing w:line="560" w:lineRule="exact"/>
        <w:ind w:left="0" w:firstLine="640"/>
        <w:rPr>
          <w:rFonts w:hint="eastAsia" w:ascii="仿宋_GB2312" w:hAnsi="宋体"/>
          <w:sz w:val="32"/>
          <w:szCs w:val="32"/>
        </w:rPr>
      </w:pPr>
      <w:r>
        <w:rPr>
          <w:rFonts w:hint="eastAsia" w:ascii="仿宋_GB2312" w:hAnsi="宋体"/>
          <w:sz w:val="32"/>
          <w:szCs w:val="32"/>
        </w:rPr>
        <w:t>上市公司财务会计报告被会计师事务所出具非标准审计意见，涉及事项属于明显违反会计准则及相关信息披露规定的，上市公司应当对有关事项进行纠正，并及时披露纠正后的财务会计资料和会计师事务所出具的审计报告或专项鉴证报告等有关材料。</w:t>
      </w:r>
    </w:p>
    <w:p w14:paraId="4E20F858">
      <w:pPr>
        <w:pStyle w:val="34"/>
        <w:numPr>
          <w:ilvl w:val="0"/>
          <w:numId w:val="24"/>
        </w:numPr>
        <w:tabs>
          <w:tab w:val="left" w:pos="1276"/>
          <w:tab w:val="left" w:pos="1418"/>
        </w:tabs>
        <w:spacing w:line="560" w:lineRule="exact"/>
        <w:ind w:left="0" w:firstLine="640"/>
        <w:rPr>
          <w:rFonts w:hint="eastAsia" w:ascii="仿宋_GB2312" w:hAnsi="宋体"/>
          <w:sz w:val="32"/>
          <w:szCs w:val="32"/>
        </w:rPr>
      </w:pPr>
      <w:r>
        <w:rPr>
          <w:rFonts w:hint="eastAsia" w:ascii="仿宋_GB2312" w:hAnsi="宋体"/>
          <w:sz w:val="32"/>
          <w:szCs w:val="32"/>
        </w:rPr>
        <w:t>上市公司定期报告存在差错或者虚假记载，被有关机关责令改正或者董事会决定更正的，应当在被责令改正或者董事会作出相应决定后，按照中国证监会《公开发行证券的公司信息披露编报规则第</w:t>
      </w:r>
      <w:r>
        <w:rPr>
          <w:rFonts w:ascii="仿宋_GB2312" w:hAnsi="宋体"/>
          <w:sz w:val="32"/>
          <w:szCs w:val="32"/>
        </w:rPr>
        <w:t>19号——财务信息的更正及相关披露》等有关规定，及时披露。</w:t>
      </w:r>
    </w:p>
    <w:p w14:paraId="38F646C5">
      <w:pPr>
        <w:pStyle w:val="34"/>
        <w:numPr>
          <w:ilvl w:val="0"/>
          <w:numId w:val="24"/>
        </w:numPr>
        <w:tabs>
          <w:tab w:val="left" w:pos="1080"/>
          <w:tab w:val="left" w:pos="1276"/>
          <w:tab w:val="left" w:pos="1418"/>
        </w:tabs>
        <w:snapToGrid w:val="0"/>
        <w:spacing w:line="560" w:lineRule="exact"/>
        <w:ind w:left="0" w:firstLine="640"/>
        <w:rPr>
          <w:rFonts w:hint="eastAsia" w:ascii="仿宋_GB2312" w:hAnsi="宋体"/>
          <w:sz w:val="32"/>
          <w:szCs w:val="32"/>
        </w:rPr>
      </w:pPr>
      <w:r>
        <w:rPr>
          <w:rFonts w:ascii="仿宋_GB2312" w:hAnsi="宋体"/>
          <w:sz w:val="32"/>
          <w:szCs w:val="32"/>
        </w:rPr>
        <w:t xml:space="preserve"> </w:t>
      </w:r>
      <w:r>
        <w:rPr>
          <w:rFonts w:hint="eastAsia" w:ascii="仿宋_GB2312" w:hAnsi="宋体"/>
          <w:sz w:val="32"/>
          <w:szCs w:val="32"/>
        </w:rPr>
        <w:t>上市公司未在法定期限内披露年度报告或者半年度报告的，或者公司半数以上董事无法保证年度报告或者半年度报告真实、准确、完整且在法定期限届满前仍有半数以上董事无法保证的，股票应当自相关定期报告披露期限届满后次一交易日起停牌，停牌期限不超过2个月。在此期间内依规改正的，公司股票复牌。未在2个月内依规改正的，按照本规则第十二章相关规定执行。</w:t>
      </w:r>
    </w:p>
    <w:p w14:paraId="2928BF63">
      <w:pPr>
        <w:pStyle w:val="34"/>
        <w:numPr>
          <w:ilvl w:val="0"/>
          <w:numId w:val="24"/>
        </w:numPr>
        <w:tabs>
          <w:tab w:val="left" w:pos="1276"/>
          <w:tab w:val="left" w:pos="1418"/>
        </w:tabs>
        <w:spacing w:line="560" w:lineRule="exact"/>
        <w:ind w:left="0" w:firstLine="640"/>
        <w:rPr>
          <w:rFonts w:hint="eastAsia" w:ascii="仿宋_GB2312" w:hAnsi="宋体"/>
          <w:sz w:val="32"/>
          <w:szCs w:val="32"/>
        </w:rPr>
      </w:pPr>
      <w:r>
        <w:rPr>
          <w:rFonts w:hint="eastAsia" w:ascii="仿宋_GB2312" w:hAnsi="宋体"/>
          <w:sz w:val="32"/>
          <w:szCs w:val="32"/>
        </w:rPr>
        <w:t xml:space="preserve"> 上市公司财务会计报告因存在重大会计差错或者虚假记载，被中国证监会责令改正但未在规定期限内改正的，公司股票应当自期限届满后次一交易日起停牌，停牌期限不超过</w:t>
      </w:r>
      <w:r>
        <w:rPr>
          <w:rFonts w:ascii="仿宋_GB2312" w:hAnsi="宋体"/>
          <w:sz w:val="32"/>
          <w:szCs w:val="32"/>
        </w:rPr>
        <w:t>2个月。在此期间内依规改正的，公司股票复牌。未在2个月内依规改正的，按照本规则第</w:t>
      </w:r>
      <w:r>
        <w:rPr>
          <w:rFonts w:hint="eastAsia" w:ascii="仿宋_GB2312" w:hAnsi="宋体"/>
          <w:sz w:val="32"/>
          <w:szCs w:val="32"/>
        </w:rPr>
        <w:t>十二</w:t>
      </w:r>
      <w:r>
        <w:rPr>
          <w:rFonts w:ascii="仿宋_GB2312" w:hAnsi="宋体"/>
          <w:sz w:val="32"/>
          <w:szCs w:val="32"/>
        </w:rPr>
        <w:t>章相关规定执行。</w:t>
      </w:r>
    </w:p>
    <w:p w14:paraId="4BB12417">
      <w:pPr>
        <w:pStyle w:val="36"/>
        <w:numPr>
          <w:ilvl w:val="1"/>
          <w:numId w:val="1"/>
        </w:numPr>
        <w:ind w:left="0" w:firstLine="643"/>
        <w:rPr>
          <w:rFonts w:hint="eastAsia"/>
        </w:rPr>
      </w:pPr>
      <w:bookmarkStart w:id="412" w:name="_Toc170284237"/>
      <w:bookmarkStart w:id="413" w:name="_Toc10561"/>
      <w:bookmarkStart w:id="414" w:name="_Toc5380"/>
      <w:r>
        <w:rPr>
          <w:rFonts w:hint="eastAsia"/>
        </w:rPr>
        <w:t>业绩预告和业绩快报</w:t>
      </w:r>
      <w:bookmarkEnd w:id="412"/>
      <w:bookmarkEnd w:id="413"/>
      <w:bookmarkEnd w:id="414"/>
    </w:p>
    <w:p w14:paraId="36F692AE">
      <w:pPr>
        <w:numPr>
          <w:ilvl w:val="2"/>
          <w:numId w:val="25"/>
        </w:numPr>
        <w:tabs>
          <w:tab w:val="left" w:pos="0"/>
          <w:tab w:val="clear" w:pos="709"/>
        </w:tabs>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上市公司预计年度经营业绩和财务状况将出现下列情形之一的，应当在会计年度结束之日起1个月内进行业绩预告：</w:t>
      </w:r>
    </w:p>
    <w:p w14:paraId="07A61D67">
      <w:pPr>
        <w:numPr>
          <w:ilvl w:val="0"/>
          <w:numId w:val="26"/>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净利润为负值；</w:t>
      </w:r>
    </w:p>
    <w:p w14:paraId="42921E16">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（二）净利润实现扭亏为盈；</w:t>
      </w:r>
    </w:p>
    <w:p w14:paraId="10D4AD56">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（三）净利润与上年同期相比上升或者下降50％以上；</w:t>
      </w:r>
    </w:p>
    <w:p w14:paraId="08728341">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（四）利润总额、净利润或者扣除非经常性损益后的净利润孰低者为负值，且扣除与主营业务无关的业务收入和不具备商业实质的收入后的营业收入低于1亿元；</w:t>
      </w:r>
    </w:p>
    <w:p w14:paraId="7D3D27C2">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（五）期末净资产为负值；</w:t>
      </w:r>
    </w:p>
    <w:p w14:paraId="7C80EB7E">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（六）本所认定的其他情形。                                                                                                                                                                                                                                                                                                                                                                                                                                                                                                                                                                                                                                                                                                                                                                                                                                              </w:t>
      </w:r>
    </w:p>
    <w:p w14:paraId="24C3AF4F">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上市公司预计半年度或季度经营业绩将出现前款第一项至第三项情形之一的，可以进行业绩预告。</w:t>
      </w:r>
    </w:p>
    <w:p w14:paraId="1BCDD3B0">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上市公司董事、高级管理人员应当及时、全面了解和关注公司经营情况和财务信息，并和会计师事务所进行必要的沟通，审慎判断是否达到本条规定情形。</w:t>
      </w:r>
    </w:p>
    <w:p w14:paraId="224562A1">
      <w:pPr>
        <w:numPr>
          <w:ilvl w:val="2"/>
          <w:numId w:val="25"/>
        </w:numPr>
        <w:tabs>
          <w:tab w:val="left" w:pos="0"/>
          <w:tab w:val="clear" w:pos="709"/>
        </w:tabs>
        <w:snapToGrid w:val="0"/>
        <w:spacing w:line="560" w:lineRule="exact"/>
        <w:ind w:left="0" w:firstLine="640" w:firstLineChars="200"/>
        <w:rPr>
          <w:rFonts w:hint="eastAsia" w:ascii="仿宋_GB2312" w:hAnsi="宋体" w:eastAsia="仿宋_GB2312"/>
          <w:sz w:val="32"/>
          <w:szCs w:val="32"/>
        </w:rPr>
      </w:pPr>
      <w:r>
        <w:rPr>
          <w:rFonts w:hint="eastAsia" w:ascii="仿宋_GB2312" w:hAnsi="黑体" w:eastAsia="仿宋_GB2312"/>
          <w:sz w:val="32"/>
          <w:szCs w:val="32"/>
        </w:rPr>
        <w:t>上市公司</w:t>
      </w:r>
      <w:r>
        <w:rPr>
          <w:rFonts w:hint="eastAsia" w:ascii="仿宋_GB2312" w:hAnsi="宋体" w:eastAsia="仿宋_GB2312"/>
          <w:sz w:val="32"/>
          <w:szCs w:val="32"/>
        </w:rPr>
        <w:t>预计不能在会计年度结束之日起2个月内披露年度报告的，应当在该会计年度结束之日起2个月内按照本规则第</w:t>
      </w:r>
      <w:r>
        <w:rPr>
          <w:rFonts w:ascii="仿宋_GB2312" w:hAnsi="宋体" w:eastAsia="仿宋_GB2312"/>
          <w:sz w:val="32"/>
          <w:szCs w:val="32"/>
        </w:rPr>
        <w:t>6.2.</w:t>
      </w:r>
      <w:r>
        <w:rPr>
          <w:rFonts w:hint="eastAsia" w:ascii="仿宋_GB2312" w:hAnsi="宋体" w:eastAsia="仿宋_GB2312"/>
          <w:sz w:val="32"/>
          <w:szCs w:val="32"/>
        </w:rPr>
        <w:t>5条的要求披露业绩快报。</w:t>
      </w:r>
    </w:p>
    <w:p w14:paraId="54C48C9E">
      <w:pPr>
        <w:numPr>
          <w:ilvl w:val="2"/>
          <w:numId w:val="25"/>
        </w:numPr>
        <w:tabs>
          <w:tab w:val="left" w:pos="0"/>
          <w:tab w:val="clear" w:pos="709"/>
        </w:tabs>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上市公司因本规则第</w:t>
      </w:r>
      <w:r>
        <w:rPr>
          <w:rFonts w:ascii="仿宋_GB2312" w:hAnsi="宋体" w:eastAsia="仿宋_GB2312"/>
          <w:sz w:val="32"/>
          <w:szCs w:val="32"/>
        </w:rPr>
        <w:t>12.</w:t>
      </w:r>
      <w:r>
        <w:rPr>
          <w:rFonts w:hint="eastAsia" w:ascii="仿宋_GB2312" w:hAnsi="宋体" w:eastAsia="仿宋_GB2312"/>
          <w:sz w:val="32"/>
          <w:szCs w:val="32"/>
        </w:rPr>
        <w:t>4</w:t>
      </w:r>
      <w:r>
        <w:rPr>
          <w:rFonts w:ascii="仿宋_GB2312" w:hAnsi="宋体" w:eastAsia="仿宋_GB2312"/>
          <w:sz w:val="32"/>
          <w:szCs w:val="32"/>
        </w:rPr>
        <w:t>.2条规定的情形，其股票被实施退市风险警示的，应当于</w:t>
      </w:r>
      <w:r>
        <w:rPr>
          <w:rFonts w:hint="eastAsia" w:ascii="仿宋_GB2312" w:hAnsi="宋体" w:eastAsia="仿宋_GB2312"/>
          <w:sz w:val="32"/>
          <w:szCs w:val="32"/>
        </w:rPr>
        <w:t>会计年度结束之日起1个月内预告全年营业收入、扣除与主营业务无关的业务收入和不具备商业实质的收入后的营业收入、利润总额、净利润、扣除非经常性损益后的净利润和期末净资产。</w:t>
      </w:r>
    </w:p>
    <w:p w14:paraId="24C8B6E5">
      <w:pPr>
        <w:numPr>
          <w:ilvl w:val="2"/>
          <w:numId w:val="25"/>
        </w:numPr>
        <w:tabs>
          <w:tab w:val="left" w:pos="0"/>
          <w:tab w:val="clear" w:pos="709"/>
        </w:tabs>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上市公司披露业绩预告后，如预计本期经营业绩或者财务状况与已披露的业绩预告存在下列重大差异情形之一的，应当及时披露业绩预告更正公告，说明具体差异及造成差异的原因：</w:t>
      </w:r>
    </w:p>
    <w:p w14:paraId="217C3C77">
      <w:p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（一）因本规则第6.2.1条第一款第一项至第三项情形披露业绩预告的，最新预计的净利润与已披露的业绩预告发生方向性变化的，或者较原预计金额或者范围差异较大；</w:t>
      </w:r>
    </w:p>
    <w:p w14:paraId="4D8792B6">
      <w:p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（二）因本规则第6.2.1条第一款第四项、第五项情形披露业绩预告的，最新预计不触及第6.2.1条第一款第四项、第五项的情形；</w:t>
      </w:r>
    </w:p>
    <w:p w14:paraId="55DE216B">
      <w:p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（三）因本规则第6.2.3条情形披露业绩预告的，最新预计的相关财务指标与已披露的业绩预告发生方向性变化的，或者较原预计金额或者范围差异较大；</w:t>
      </w:r>
    </w:p>
    <w:p w14:paraId="118705AC">
      <w:p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（四）本所规定的其他情形。</w:t>
      </w:r>
    </w:p>
    <w:p w14:paraId="23281825">
      <w:pPr>
        <w:numPr>
          <w:ilvl w:val="2"/>
          <w:numId w:val="25"/>
        </w:numPr>
        <w:tabs>
          <w:tab w:val="left" w:pos="0"/>
          <w:tab w:val="clear" w:pos="709"/>
        </w:tabs>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上市公司可以在定期报告披露前发布业绩快报，披露本期及上年同期营业收入、营业利润、利润总额、净利润、总资产、净资产、每股收益、每股净资产和净资产收益率等主要财务数据和指标。</w:t>
      </w:r>
    </w:p>
    <w:p w14:paraId="783014F9">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上市公司在定期报告披露前向国家有关机关报送未公开的定期财务数据，预计无法保密的，应当及时发布业绩快报。</w:t>
      </w:r>
    </w:p>
    <w:p w14:paraId="6C9FAEF7">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定期报告披露前出现业绩提前泄露，或者因业绩传闻导致公司股票交易异常</w:t>
      </w:r>
      <w:r>
        <w:rPr>
          <w:rFonts w:ascii="仿宋_GB2312" w:eastAsia="仿宋_GB2312"/>
          <w:sz w:val="32"/>
          <w:szCs w:val="32"/>
        </w:rPr>
        <w:t>波动</w:t>
      </w:r>
      <w:r>
        <w:rPr>
          <w:rFonts w:hint="eastAsia" w:ascii="仿宋_GB2312" w:eastAsia="仿宋_GB2312"/>
          <w:sz w:val="32"/>
          <w:szCs w:val="32"/>
        </w:rPr>
        <w:t>的，上市公司应当及时披露业绩快报。</w:t>
      </w:r>
    </w:p>
    <w:p w14:paraId="113F4F68">
      <w:pPr>
        <w:numPr>
          <w:ilvl w:val="2"/>
          <w:numId w:val="25"/>
        </w:numPr>
        <w:tabs>
          <w:tab w:val="left" w:pos="0"/>
          <w:tab w:val="clear" w:pos="709"/>
        </w:tabs>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上市公司应当保证业绩快报与定期报告披露的财务数据和指标不存在重大差异。</w:t>
      </w:r>
    </w:p>
    <w:p w14:paraId="406A6B4F">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定期报告披露前，上市公司发现业绩快报与定期报告财务数据和指标差异幅度达到10％以上的，应当及时披露更正公告。</w:t>
      </w:r>
    </w:p>
    <w:p w14:paraId="7C702CD8">
      <w:pPr>
        <w:snapToGrid w:val="0"/>
        <w:spacing w:line="560" w:lineRule="exact"/>
        <w:ind w:firstLine="640" w:firstLineChars="200"/>
        <w:rPr>
          <w:rFonts w:hint="eastAsia" w:ascii="仿宋_GB2312" w:hAnsi="宋体" w:eastAsia="仿宋_GB2312"/>
          <w:sz w:val="32"/>
          <w:szCs w:val="32"/>
        </w:rPr>
      </w:pPr>
    </w:p>
    <w:p w14:paraId="5CA7C3EC">
      <w:pPr>
        <w:pStyle w:val="81"/>
        <w:tabs>
          <w:tab w:val="left" w:pos="142"/>
          <w:tab w:val="clear" w:pos="992"/>
        </w:tabs>
        <w:ind w:firstLine="643"/>
        <w:rPr>
          <w:rFonts w:hint="eastAsia"/>
          <w:b/>
          <w:bCs/>
        </w:rPr>
      </w:pPr>
      <w:bookmarkStart w:id="415" w:name="_Toc170284238"/>
      <w:bookmarkStart w:id="416" w:name="_Toc23054"/>
      <w:bookmarkStart w:id="417" w:name="_Toc9439"/>
      <w:r>
        <w:rPr>
          <w:rFonts w:hint="eastAsia"/>
          <w:b/>
          <w:bCs/>
        </w:rPr>
        <w:t>应当披露的交易</w:t>
      </w:r>
      <w:bookmarkEnd w:id="415"/>
      <w:bookmarkEnd w:id="416"/>
      <w:bookmarkEnd w:id="417"/>
    </w:p>
    <w:p w14:paraId="2FE1DAF0">
      <w:pPr>
        <w:pStyle w:val="36"/>
        <w:numPr>
          <w:ilvl w:val="1"/>
          <w:numId w:val="1"/>
        </w:numPr>
        <w:ind w:left="0" w:firstLine="643"/>
        <w:rPr>
          <w:rFonts w:hint="eastAsia"/>
        </w:rPr>
      </w:pPr>
      <w:bookmarkStart w:id="418" w:name="_Toc170284239"/>
      <w:bookmarkStart w:id="419" w:name="_Toc1962"/>
      <w:bookmarkStart w:id="420" w:name="_Toc15582"/>
      <w:r>
        <w:rPr>
          <w:rFonts w:hint="eastAsia"/>
        </w:rPr>
        <w:t>重大交易</w:t>
      </w:r>
      <w:bookmarkEnd w:id="418"/>
      <w:bookmarkEnd w:id="419"/>
      <w:bookmarkEnd w:id="420"/>
    </w:p>
    <w:p w14:paraId="13950F64">
      <w:pPr>
        <w:numPr>
          <w:ilvl w:val="2"/>
          <w:numId w:val="27"/>
        </w:numPr>
        <w:tabs>
          <w:tab w:val="left" w:pos="1276"/>
          <w:tab w:val="left" w:pos="1418"/>
          <w:tab w:val="left" w:pos="1560"/>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本章所称“交易”包括下列事项：</w:t>
      </w:r>
    </w:p>
    <w:p w14:paraId="366E6BC9">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（一）购买或者出售资产；</w:t>
      </w:r>
    </w:p>
    <w:p w14:paraId="68D9EC29">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（二）对外投资（购买低风险银行理财产品的除外）；</w:t>
      </w:r>
    </w:p>
    <w:p w14:paraId="4ABDD89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w:t>
      </w:r>
      <w:r>
        <w:rPr>
          <w:rFonts w:hint="eastAsia" w:ascii="仿宋_GB2312" w:eastAsia="仿宋_GB2312"/>
          <w:sz w:val="32"/>
          <w:szCs w:val="32"/>
        </w:rPr>
        <w:t>转让或受让研发项目</w:t>
      </w:r>
      <w:r>
        <w:rPr>
          <w:rFonts w:hint="eastAsia" w:ascii="仿宋_GB2312" w:hAnsi="宋体" w:eastAsia="仿宋_GB2312"/>
          <w:sz w:val="32"/>
          <w:szCs w:val="32"/>
        </w:rPr>
        <w:t>；</w:t>
      </w:r>
    </w:p>
    <w:p w14:paraId="13106A3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（四）签订许可使用协议；</w:t>
      </w:r>
    </w:p>
    <w:p w14:paraId="29BCC9B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（五）提供担保（含对控股子公司担保等）；</w:t>
      </w:r>
    </w:p>
    <w:p w14:paraId="54849E7F">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（六）租入或者租出资产；</w:t>
      </w:r>
    </w:p>
    <w:p w14:paraId="64230722">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（七）委托或者受托管理资产和业务；</w:t>
      </w:r>
    </w:p>
    <w:p w14:paraId="497E943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（八）赠与或者受赠资产；</w:t>
      </w:r>
    </w:p>
    <w:p w14:paraId="54FD4AB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（九）债权、债务重组；</w:t>
      </w:r>
    </w:p>
    <w:p w14:paraId="36EED10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（十）提供财务资助（含有息或者无息借款、委托贷款等）；</w:t>
      </w:r>
    </w:p>
    <w:p w14:paraId="0270B0EB">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（十一）放弃权利（含放弃优先购买权、优先认购权等）；</w:t>
      </w:r>
    </w:p>
    <w:p w14:paraId="1E8DB90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（十二）本所认定的其他交易。</w:t>
      </w:r>
    </w:p>
    <w:p w14:paraId="733D739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上述购买或者出售资产，不包括购买原材料、燃料和动力，以及出售产品或商品等与日常经营相关的交易行为。</w:t>
      </w:r>
    </w:p>
    <w:p w14:paraId="38527C53">
      <w:pPr>
        <w:numPr>
          <w:ilvl w:val="2"/>
          <w:numId w:val="27"/>
        </w:numPr>
        <w:tabs>
          <w:tab w:val="left" w:pos="709"/>
          <w:tab w:val="left" w:pos="1276"/>
          <w:tab w:val="left" w:pos="1418"/>
          <w:tab w:val="left" w:pos="1560"/>
          <w:tab w:val="clear" w:pos="1107"/>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上市公司发生的交易（提供担保、提供财务资助除外）达到下列标准之一的，应当及时披露：　</w:t>
      </w:r>
    </w:p>
    <w:p w14:paraId="4C34A6BB">
      <w:pPr>
        <w:pStyle w:val="34"/>
        <w:numPr>
          <w:ilvl w:val="3"/>
          <w:numId w:val="28"/>
        </w:numPr>
        <w:tabs>
          <w:tab w:val="left" w:pos="1418"/>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交易涉及的资产总额（同时存在账面值和评估值的，以高者为准）占上市公司最近一期经审计总资产的10%以上；</w:t>
      </w:r>
    </w:p>
    <w:p w14:paraId="3FC8B67B">
      <w:pPr>
        <w:pStyle w:val="34"/>
        <w:numPr>
          <w:ilvl w:val="3"/>
          <w:numId w:val="28"/>
        </w:numPr>
        <w:tabs>
          <w:tab w:val="left" w:pos="1418"/>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交易的成交金额占上市公司市值的10%以上；</w:t>
      </w:r>
    </w:p>
    <w:p w14:paraId="3A3A119B">
      <w:pPr>
        <w:pStyle w:val="34"/>
        <w:numPr>
          <w:ilvl w:val="3"/>
          <w:numId w:val="28"/>
        </w:numPr>
        <w:tabs>
          <w:tab w:val="left" w:pos="1418"/>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交易标的（如股权）的最近一个会计年度资产净额占上市公司市值的10%以上；</w:t>
      </w:r>
    </w:p>
    <w:p w14:paraId="3B370EF3">
      <w:pPr>
        <w:pStyle w:val="34"/>
        <w:numPr>
          <w:ilvl w:val="3"/>
          <w:numId w:val="28"/>
        </w:numPr>
        <w:tabs>
          <w:tab w:val="left" w:pos="1418"/>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交易标的（如股权）最近一个会计年度相关的营业收入占上市公司最近一个会计年度经审计营业收入的10％以上，且超过1000万元；</w:t>
      </w:r>
    </w:p>
    <w:p w14:paraId="1EC92C6E">
      <w:pPr>
        <w:pStyle w:val="34"/>
        <w:numPr>
          <w:ilvl w:val="3"/>
          <w:numId w:val="28"/>
        </w:numPr>
        <w:tabs>
          <w:tab w:val="left" w:pos="1418"/>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交易产生的利润占上市公司最近一个会计年度经审计净利润的10％以上，且超过100万元；</w:t>
      </w:r>
    </w:p>
    <w:p w14:paraId="0858FB69">
      <w:pPr>
        <w:pStyle w:val="34"/>
        <w:numPr>
          <w:ilvl w:val="3"/>
          <w:numId w:val="28"/>
        </w:numPr>
        <w:tabs>
          <w:tab w:val="left" w:pos="1418"/>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交易标的（如股权）最近一个会计年度相关的净利润占上市公司最近一个会计年度经审计净利润的10%以上，且超过100万元。</w:t>
      </w:r>
    </w:p>
    <w:p w14:paraId="34161285">
      <w:pPr>
        <w:tabs>
          <w:tab w:val="left" w:pos="1418"/>
        </w:tabs>
        <w:autoSpaceDE w:val="0"/>
        <w:autoSpaceDN w:val="0"/>
        <w:adjustRightInd w:val="0"/>
        <w:snapToGrid w:val="0"/>
        <w:spacing w:line="560" w:lineRule="exact"/>
        <w:ind w:firstLine="640" w:firstLineChars="200"/>
        <w:rPr>
          <w:rFonts w:hint="eastAsia" w:ascii="仿宋_GB2312" w:hAnsi="宋体"/>
          <w:sz w:val="32"/>
          <w:szCs w:val="32"/>
        </w:rPr>
      </w:pPr>
      <w:r>
        <w:rPr>
          <w:rFonts w:hint="eastAsia" w:ascii="仿宋_GB2312" w:hAnsi="宋体" w:eastAsia="仿宋_GB2312"/>
          <w:kern w:val="0"/>
          <w:sz w:val="32"/>
          <w:szCs w:val="32"/>
        </w:rPr>
        <w:t>上述指标涉及的数据如为负值，取其绝对值计算。</w:t>
      </w:r>
    </w:p>
    <w:p w14:paraId="67BF237D">
      <w:pPr>
        <w:numPr>
          <w:ilvl w:val="2"/>
          <w:numId w:val="27"/>
        </w:numPr>
        <w:tabs>
          <w:tab w:val="left" w:pos="709"/>
          <w:tab w:val="left" w:pos="1276"/>
          <w:tab w:val="left" w:pos="1418"/>
          <w:tab w:val="left" w:pos="1560"/>
          <w:tab w:val="clear" w:pos="1107"/>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上市公司发生的交易（提供担保、提供财务资助除外）达到下列标准之一的，应当提交股东会审议：</w:t>
      </w:r>
    </w:p>
    <w:p w14:paraId="3EB04901">
      <w:pPr>
        <w:pStyle w:val="34"/>
        <w:numPr>
          <w:ilvl w:val="0"/>
          <w:numId w:val="29"/>
        </w:numPr>
        <w:tabs>
          <w:tab w:val="left" w:pos="1418"/>
          <w:tab w:val="left" w:pos="1701"/>
          <w:tab w:val="left" w:pos="1843"/>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交易涉及的资产总额（同时存在账面值和评估值的，以高者为准）占上市公司最近一期经审计总资产的50%以上；</w:t>
      </w:r>
    </w:p>
    <w:p w14:paraId="6875BB0E">
      <w:pPr>
        <w:pStyle w:val="34"/>
        <w:numPr>
          <w:ilvl w:val="0"/>
          <w:numId w:val="29"/>
        </w:numPr>
        <w:tabs>
          <w:tab w:val="left" w:pos="1418"/>
          <w:tab w:val="left" w:pos="1701"/>
          <w:tab w:val="left" w:pos="1843"/>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交易的成交金额占上市公司市值的50％以上；</w:t>
      </w:r>
    </w:p>
    <w:p w14:paraId="06C6E0FC">
      <w:pPr>
        <w:pStyle w:val="34"/>
        <w:numPr>
          <w:ilvl w:val="0"/>
          <w:numId w:val="29"/>
        </w:numPr>
        <w:tabs>
          <w:tab w:val="left" w:pos="1418"/>
          <w:tab w:val="left" w:pos="1701"/>
          <w:tab w:val="left" w:pos="1843"/>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交易标的（如股权）的最近一个会计年度资产净额占上市公司市值的50%以上；</w:t>
      </w:r>
    </w:p>
    <w:p w14:paraId="7B8FA7CF">
      <w:pPr>
        <w:pStyle w:val="34"/>
        <w:numPr>
          <w:ilvl w:val="0"/>
          <w:numId w:val="29"/>
        </w:numPr>
        <w:tabs>
          <w:tab w:val="left" w:pos="1418"/>
          <w:tab w:val="left" w:pos="1701"/>
          <w:tab w:val="left" w:pos="1843"/>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交易标的（如股权）最近一个会计年度相关的营业收入占上市公司最近一个会计年度经审计营业收入的</w:t>
      </w:r>
      <w:r>
        <w:rPr>
          <w:rFonts w:ascii="仿宋_GB2312" w:hAnsi="宋体"/>
          <w:sz w:val="32"/>
          <w:szCs w:val="32"/>
        </w:rPr>
        <w:t>50％</w:t>
      </w:r>
      <w:r>
        <w:rPr>
          <w:rFonts w:hint="eastAsia" w:ascii="仿宋_GB2312" w:hAnsi="宋体"/>
          <w:sz w:val="32"/>
          <w:szCs w:val="32"/>
        </w:rPr>
        <w:t>以上，且超过5000万元；</w:t>
      </w:r>
    </w:p>
    <w:p w14:paraId="5F48931B">
      <w:pPr>
        <w:pStyle w:val="34"/>
        <w:numPr>
          <w:ilvl w:val="0"/>
          <w:numId w:val="29"/>
        </w:numPr>
        <w:tabs>
          <w:tab w:val="left" w:pos="1418"/>
          <w:tab w:val="left" w:pos="1701"/>
          <w:tab w:val="left" w:pos="1843"/>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交易产生的利润占上市公司最近一个会计年度经审计净利润的50％以上，且超过500万元；</w:t>
      </w:r>
    </w:p>
    <w:p w14:paraId="3B501101">
      <w:pPr>
        <w:pStyle w:val="34"/>
        <w:numPr>
          <w:ilvl w:val="0"/>
          <w:numId w:val="29"/>
        </w:numPr>
        <w:tabs>
          <w:tab w:val="left" w:pos="1418"/>
          <w:tab w:val="left" w:pos="1701"/>
          <w:tab w:val="left" w:pos="1843"/>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交易标的（如股权）最近一个会计年度相关的净利润占上市公司最近一个会计年度经审计净利润的50％以上，且超过500万元。</w:t>
      </w:r>
    </w:p>
    <w:p w14:paraId="7367C223">
      <w:pPr>
        <w:tabs>
          <w:tab w:val="left" w:pos="1418"/>
          <w:tab w:val="left" w:pos="1701"/>
          <w:tab w:val="left" w:pos="1843"/>
        </w:tabs>
        <w:autoSpaceDE w:val="0"/>
        <w:autoSpaceDN w:val="0"/>
        <w:adjustRightInd w:val="0"/>
        <w:snapToGrid w:val="0"/>
        <w:spacing w:line="560" w:lineRule="exact"/>
        <w:ind w:firstLine="640" w:firstLineChars="200"/>
        <w:rPr>
          <w:rFonts w:hint="eastAsia" w:ascii="仿宋_GB2312" w:hAnsi="宋体"/>
          <w:sz w:val="32"/>
          <w:szCs w:val="32"/>
        </w:rPr>
      </w:pPr>
      <w:r>
        <w:rPr>
          <w:rFonts w:hint="eastAsia" w:ascii="仿宋_GB2312" w:hAnsi="宋体" w:eastAsia="仿宋_GB2312"/>
          <w:kern w:val="0"/>
          <w:sz w:val="32"/>
          <w:szCs w:val="32"/>
        </w:rPr>
        <w:t>上述指标涉及的数据如为负值，取其绝对值计算。</w:t>
      </w:r>
    </w:p>
    <w:p w14:paraId="6F5C6A67">
      <w:pPr>
        <w:numPr>
          <w:ilvl w:val="2"/>
          <w:numId w:val="27"/>
        </w:numPr>
        <w:tabs>
          <w:tab w:val="left" w:pos="1418"/>
          <w:tab w:val="left" w:pos="1560"/>
        </w:tabs>
        <w:autoSpaceDE w:val="0"/>
        <w:autoSpaceDN w:val="0"/>
        <w:adjustRightInd w:val="0"/>
        <w:snapToGrid w:val="0"/>
        <w:spacing w:line="560" w:lineRule="exact"/>
        <w:ind w:left="0" w:firstLine="640" w:firstLineChars="200"/>
        <w:rPr>
          <w:rFonts w:hint="eastAsia" w:ascii="仿宋_GB2312" w:hAnsi="黑体" w:eastAsia="仿宋_GB2312"/>
          <w:sz w:val="32"/>
          <w:szCs w:val="32"/>
        </w:rPr>
      </w:pPr>
      <w:r>
        <w:rPr>
          <w:rFonts w:hint="eastAsia" w:ascii="仿宋_GB2312" w:hAnsi="宋体" w:eastAsia="仿宋_GB2312"/>
          <w:sz w:val="32"/>
          <w:szCs w:val="32"/>
        </w:rPr>
        <w:t>本规则第7.1.2条和第7.1.3条规定的成交金额，是指</w:t>
      </w:r>
      <w:r>
        <w:rPr>
          <w:rFonts w:hint="eastAsia" w:ascii="仿宋_GB2312" w:hAnsi="黑体" w:eastAsia="仿宋_GB2312"/>
          <w:sz w:val="32"/>
          <w:szCs w:val="32"/>
        </w:rPr>
        <w:t>支付的交易金额和承担的债务及费用等。</w:t>
      </w:r>
    </w:p>
    <w:p w14:paraId="502B247A">
      <w:pPr>
        <w:tabs>
          <w:tab w:val="left" w:pos="1418"/>
          <w:tab w:val="left" w:pos="1701"/>
          <w:tab w:val="left" w:pos="1843"/>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交易安排涉及未来可能支付或者收取对价的、</w:t>
      </w:r>
      <w:r>
        <w:rPr>
          <w:rFonts w:hint="eastAsia" w:ascii="仿宋_GB2312" w:hAnsi="宋体" w:eastAsia="仿宋_GB2312"/>
          <w:sz w:val="32"/>
          <w:szCs w:val="32"/>
        </w:rPr>
        <w:t>未涉及具体金额或者根据设定条件确定金额的，预计最高金额为成交金额。</w:t>
      </w:r>
    </w:p>
    <w:p w14:paraId="1BF4706D">
      <w:pPr>
        <w:numPr>
          <w:ilvl w:val="2"/>
          <w:numId w:val="27"/>
        </w:numPr>
        <w:tabs>
          <w:tab w:val="left" w:pos="1418"/>
          <w:tab w:val="left" w:pos="1560"/>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本章规定的市值，是指交易前10个交易日收盘市值的算术平均值。</w:t>
      </w:r>
    </w:p>
    <w:p w14:paraId="2E7A2542">
      <w:pPr>
        <w:numPr>
          <w:ilvl w:val="2"/>
          <w:numId w:val="27"/>
        </w:numPr>
        <w:tabs>
          <w:tab w:val="left" w:pos="1418"/>
          <w:tab w:val="left" w:pos="1560"/>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上市公司分期实施交易的，应当以交易总额为基础适用第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p>
    <w:p w14:paraId="1ED5377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上市公司应当及时披露分期交易的实际发生情况。</w:t>
      </w:r>
    </w:p>
    <w:p w14:paraId="3CFA4C0C">
      <w:pPr>
        <w:numPr>
          <w:ilvl w:val="2"/>
          <w:numId w:val="27"/>
        </w:numPr>
        <w:tabs>
          <w:tab w:val="left" w:pos="1418"/>
          <w:tab w:val="left" w:pos="1560"/>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上市公司与同一交易方同时发生第7.1.1条规定的同一类别且方向相反的交易时，应当按照其中单向金额，适用第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p>
    <w:p w14:paraId="4B032536">
      <w:pPr>
        <w:numPr>
          <w:ilvl w:val="2"/>
          <w:numId w:val="27"/>
        </w:numPr>
        <w:tabs>
          <w:tab w:val="left" w:pos="1418"/>
          <w:tab w:val="left" w:pos="1560"/>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除提供担保、提供财务资助、委托理财等本规则及本所业务规则另有规定事项外，上市公司进行第7.1.1条规定的同一类别且与标的相关的交易时，应当按照连续12个月累计计算的原则，适用第7.1.2条或者第7.1.3条。</w:t>
      </w:r>
    </w:p>
    <w:p w14:paraId="10B0704A">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已经按照第7.1.2条或者7.1.3条履行义务的，不再纳入相关的累计计算范围。</w:t>
      </w:r>
    </w:p>
    <w:p w14:paraId="64779438">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上市公司发生的交易按照前款规定适用连续</w:t>
      </w:r>
      <w:r>
        <w:rPr>
          <w:rFonts w:ascii="仿宋_GB2312" w:hAnsi="宋体" w:eastAsia="仿宋_GB2312"/>
          <w:sz w:val="32"/>
          <w:szCs w:val="32"/>
        </w:rPr>
        <w:t>12个月累计计算原则时，达到本节规定的披露标准的，可以仅将本次交易事项按照本所相关要求披露，并在公告中说明前期累计未达到披露标准的交易事项；达到本节规定的应当提交股东会审议标准的，可以仅将本次交易事项提交股东会审议，并在公告中说明前期未履行股东会审议程序的交易事项。</w:t>
      </w:r>
    </w:p>
    <w:p w14:paraId="6AB464B2">
      <w:pPr>
        <w:numPr>
          <w:ilvl w:val="2"/>
          <w:numId w:val="27"/>
        </w:numPr>
        <w:tabs>
          <w:tab w:val="left" w:pos="709"/>
          <w:tab w:val="left" w:pos="1276"/>
          <w:tab w:val="left" w:pos="1418"/>
          <w:tab w:val="left" w:pos="1560"/>
          <w:tab w:val="clear" w:pos="1107"/>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交易标的为股权且达到第7.1.3条规定标准的，上市公司应当提供交易标的最近一年又一期财务报告的审计报告；交易标的为股权以外的非现金资产的，应当提供评估报告。会计师事务所发表的审计意见应当为标准无保留意见，经审计的财务报告截止日距离审计报告使用日不得超过6个月，评估报告的评估基准日距离评估报告使用日不得超过1年。</w:t>
      </w:r>
    </w:p>
    <w:p w14:paraId="675517A0">
      <w:pPr>
        <w:tabs>
          <w:tab w:val="left" w:pos="1276"/>
          <w:tab w:val="left" w:pos="1418"/>
          <w:tab w:val="left" w:pos="1560"/>
        </w:tabs>
        <w:autoSpaceDE w:val="0"/>
        <w:autoSpaceDN w:val="0"/>
        <w:adjustRightInd w:val="0"/>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前款规定的审计报告和评估报告应当由符合《证券法》规定的证券服务机构出具。</w:t>
      </w:r>
    </w:p>
    <w:p w14:paraId="686BBC6B">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中国证监会、本所根据审慎原则要求，公司依据其章程或者其他法律法规等规定，以及公司自愿提交股东会审议的交易事项，应当适用前两款规定。</w:t>
      </w:r>
    </w:p>
    <w:p w14:paraId="3E286D79">
      <w:pPr>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上市公司发生交易达到本规则第7.1.2条规定的标准，交易对方以非现金资产作为交易对价或者抵偿上市公司债务的，上市公司应当参照</w:t>
      </w:r>
      <w:r>
        <w:rPr>
          <w:rFonts w:hint="eastAsia" w:ascii="仿宋_GB2312" w:hAnsi="宋体" w:eastAsia="仿宋_GB2312"/>
          <w:sz w:val="32"/>
          <w:szCs w:val="32"/>
        </w:rPr>
        <w:t>第一款的</w:t>
      </w:r>
      <w:r>
        <w:rPr>
          <w:rFonts w:ascii="仿宋_GB2312" w:hAnsi="宋体" w:eastAsia="仿宋_GB2312"/>
          <w:sz w:val="32"/>
          <w:szCs w:val="32"/>
        </w:rPr>
        <w:t>规定披露涉及资产的审计报告或者评估报告</w:t>
      </w:r>
      <w:r>
        <w:rPr>
          <w:rFonts w:hint="eastAsia" w:ascii="仿宋_GB2312" w:hAnsi="宋体" w:eastAsia="仿宋_GB2312"/>
          <w:sz w:val="32"/>
          <w:szCs w:val="32"/>
        </w:rPr>
        <w:t>。</w:t>
      </w:r>
    </w:p>
    <w:p w14:paraId="19D9721D">
      <w:pPr>
        <w:numPr>
          <w:ilvl w:val="2"/>
          <w:numId w:val="27"/>
        </w:numPr>
        <w:tabs>
          <w:tab w:val="left" w:pos="1418"/>
          <w:tab w:val="left" w:pos="1560"/>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上市公司发生股权交易，导致上市公司合并报表范围发生变更的，应当以该股权所对应公司的相关财务指标作为计算基础，适用第7.1.2</w:t>
      </w:r>
      <w:r>
        <w:rPr>
          <w:rFonts w:ascii="仿宋_GB2312" w:hAnsi="宋体" w:eastAsia="仿宋_GB2312"/>
          <w:sz w:val="32"/>
          <w:szCs w:val="32"/>
        </w:rPr>
        <w:t>条或者第</w:t>
      </w:r>
      <w:r>
        <w:rPr>
          <w:rFonts w:hint="eastAsia" w:ascii="仿宋_GB2312" w:hAnsi="宋体" w:eastAsia="仿宋_GB2312"/>
          <w:sz w:val="32"/>
          <w:szCs w:val="32"/>
        </w:rPr>
        <w:t>7.1.3条。</w:t>
      </w:r>
    </w:p>
    <w:p w14:paraId="30F4159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前述股权交易未导致合并报表范围发生变更的，应当按照公司所持权益变动比例计算相关财务指标，适用第</w:t>
      </w:r>
      <w:r>
        <w:rPr>
          <w:rFonts w:ascii="仿宋_GB2312" w:hAnsi="宋体" w:eastAsia="仿宋_GB2312"/>
          <w:sz w:val="32"/>
          <w:szCs w:val="32"/>
        </w:rPr>
        <w:t>7.1.2条或者第7.1.3</w:t>
      </w:r>
      <w:r>
        <w:rPr>
          <w:rFonts w:hint="eastAsia" w:ascii="仿宋_GB2312" w:hAnsi="宋体" w:eastAsia="仿宋_GB2312"/>
          <w:sz w:val="32"/>
          <w:szCs w:val="32"/>
        </w:rPr>
        <w:t>条。</w:t>
      </w:r>
    </w:p>
    <w:p w14:paraId="5D36C5A2">
      <w:pPr>
        <w:numPr>
          <w:ilvl w:val="2"/>
          <w:numId w:val="27"/>
        </w:numPr>
        <w:tabs>
          <w:tab w:val="left" w:pos="1418"/>
          <w:tab w:val="left" w:pos="1560"/>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ascii="仿宋_GB2312" w:hAnsi="宋体" w:eastAsia="仿宋_GB2312"/>
          <w:sz w:val="32"/>
          <w:szCs w:val="32"/>
        </w:rPr>
        <w:t>上市公司购买或出售交易标的少数股权，因上市公司在交易前后均无法对交易标的形成控制、共同控制或重大影响等客观原因，导致确实无法对交易标的最近一年又一期财务会计报告进行审计的，可以在披露相关情况后免于按照本规则第7.1.9条的规定披露审计报告，中国证监会或本所另有规定的除外</w:t>
      </w:r>
      <w:r>
        <w:rPr>
          <w:rFonts w:hint="eastAsia" w:ascii="仿宋_GB2312" w:hAnsi="宋体" w:eastAsia="仿宋_GB2312"/>
          <w:sz w:val="32"/>
          <w:szCs w:val="32"/>
        </w:rPr>
        <w:t>。</w:t>
      </w:r>
    </w:p>
    <w:p w14:paraId="664154DE">
      <w:pPr>
        <w:numPr>
          <w:ilvl w:val="2"/>
          <w:numId w:val="27"/>
        </w:numPr>
        <w:tabs>
          <w:tab w:val="left" w:pos="1418"/>
          <w:tab w:val="left" w:pos="1560"/>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上市公司直接或者间接放弃控股子公司股权的</w:t>
      </w:r>
      <w:r>
        <w:rPr>
          <w:rFonts w:ascii="仿宋_GB2312" w:hAnsi="宋体" w:eastAsia="仿宋_GB2312"/>
          <w:sz w:val="32"/>
          <w:szCs w:val="32"/>
        </w:rPr>
        <w:t>优先</w:t>
      </w:r>
      <w:r>
        <w:rPr>
          <w:rFonts w:hint="eastAsia" w:ascii="仿宋_GB2312" w:hAnsi="宋体" w:eastAsia="仿宋_GB2312"/>
          <w:sz w:val="32"/>
          <w:szCs w:val="32"/>
        </w:rPr>
        <w:t>购买权或优先</w:t>
      </w:r>
      <w:r>
        <w:rPr>
          <w:rFonts w:ascii="仿宋_GB2312" w:hAnsi="宋体" w:eastAsia="仿宋_GB2312"/>
          <w:sz w:val="32"/>
          <w:szCs w:val="32"/>
        </w:rPr>
        <w:t>认购权</w:t>
      </w:r>
      <w:r>
        <w:rPr>
          <w:rFonts w:hint="eastAsia" w:ascii="仿宋_GB2312" w:hAnsi="宋体" w:eastAsia="仿宋_GB2312"/>
          <w:sz w:val="32"/>
          <w:szCs w:val="32"/>
        </w:rPr>
        <w:t>，导致子公司不再纳入合并报表的，应当以放弃金额与该主体的相关财务指标，适用第</w:t>
      </w:r>
      <w:r>
        <w:rPr>
          <w:rFonts w:ascii="仿宋_GB2312" w:hAnsi="宋体" w:eastAsia="仿宋_GB2312"/>
          <w:sz w:val="32"/>
          <w:szCs w:val="32"/>
        </w:rPr>
        <w:t>7.1.2条或者第7.1.3</w:t>
      </w:r>
      <w:r>
        <w:rPr>
          <w:rFonts w:hint="eastAsia" w:ascii="仿宋_GB2312" w:hAnsi="宋体" w:eastAsia="仿宋_GB2312"/>
          <w:sz w:val="32"/>
          <w:szCs w:val="32"/>
        </w:rPr>
        <w:t>条。</w:t>
      </w:r>
    </w:p>
    <w:p w14:paraId="6CACAF6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上市公司放弃控股子公司或者参股子公司股权的</w:t>
      </w:r>
      <w:r>
        <w:rPr>
          <w:rFonts w:ascii="仿宋_GB2312" w:hAnsi="宋体" w:eastAsia="仿宋_GB2312"/>
          <w:sz w:val="32"/>
          <w:szCs w:val="32"/>
        </w:rPr>
        <w:t>优先</w:t>
      </w:r>
      <w:r>
        <w:rPr>
          <w:rFonts w:hint="eastAsia" w:ascii="仿宋_GB2312" w:hAnsi="宋体" w:eastAsia="仿宋_GB2312"/>
          <w:sz w:val="32"/>
          <w:szCs w:val="32"/>
        </w:rPr>
        <w:t>购买权或优先</w:t>
      </w:r>
      <w:r>
        <w:rPr>
          <w:rFonts w:ascii="仿宋_GB2312" w:hAnsi="宋体" w:eastAsia="仿宋_GB2312"/>
          <w:sz w:val="32"/>
          <w:szCs w:val="32"/>
        </w:rPr>
        <w:t>认购权</w:t>
      </w:r>
      <w:r>
        <w:rPr>
          <w:rFonts w:hint="eastAsia" w:ascii="仿宋_GB2312" w:hAnsi="宋体" w:eastAsia="仿宋_GB2312"/>
          <w:sz w:val="32"/>
          <w:szCs w:val="32"/>
        </w:rPr>
        <w:t>，未导致合并报表范围发生变更，但公司持股比例下降，应当以放弃金额与按照公司所持权益变动比例计算的相关财务指标，适用第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r>
        <w:rPr>
          <w:rFonts w:ascii="仿宋_GB2312" w:hAnsi="宋体" w:eastAsia="仿宋_GB2312"/>
          <w:sz w:val="32"/>
          <w:szCs w:val="32"/>
        </w:rPr>
        <w:t>。</w:t>
      </w:r>
    </w:p>
    <w:p w14:paraId="6EDA2B7F">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上市公司部分放弃权利的，还应当以前两款规定的金额和指标与实际受让或者出资金额，适用本规则第</w:t>
      </w:r>
      <w:r>
        <w:rPr>
          <w:rFonts w:ascii="仿宋_GB2312" w:hAnsi="宋体" w:eastAsia="仿宋_GB2312"/>
          <w:sz w:val="32"/>
          <w:szCs w:val="32"/>
        </w:rPr>
        <w:t>7.1.2条</w:t>
      </w:r>
      <w:r>
        <w:rPr>
          <w:rFonts w:hint="eastAsia" w:ascii="仿宋_GB2312" w:hAnsi="宋体" w:eastAsia="仿宋_GB2312"/>
          <w:sz w:val="32"/>
          <w:szCs w:val="32"/>
        </w:rPr>
        <w:t>或者</w:t>
      </w:r>
      <w:r>
        <w:rPr>
          <w:rFonts w:ascii="仿宋_GB2312" w:hAnsi="宋体" w:eastAsia="仿宋_GB2312"/>
          <w:sz w:val="32"/>
          <w:szCs w:val="32"/>
        </w:rPr>
        <w:t>第7.1.3条的规定。</w:t>
      </w:r>
    </w:p>
    <w:p w14:paraId="0900B7D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上市公司对其下属非公司制主体放弃或部分放弃收益权的，参照适用前三款规定。</w:t>
      </w:r>
    </w:p>
    <w:p w14:paraId="32F22DB9">
      <w:pPr>
        <w:numPr>
          <w:ilvl w:val="2"/>
          <w:numId w:val="27"/>
        </w:numPr>
        <w:tabs>
          <w:tab w:val="left" w:pos="1418"/>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上市公司发生“财务资助”交易事项，除应当经全体董事的过半数审议通过外，还应当经出席董事会会议的三分之二以上董事审议通过，并及时披露。</w:t>
      </w:r>
    </w:p>
    <w:p w14:paraId="2B2CDCF1">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财务资助事项属于下列情形之一的，还应当在董事会审议通过后提交股东会审议：</w:t>
      </w:r>
    </w:p>
    <w:p w14:paraId="20BB8368">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（一）单笔财务资助金额超过上市公司最近一期经审计净资产的10%；</w:t>
      </w:r>
    </w:p>
    <w:p w14:paraId="3E514D00">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（二）被资助对象最近一期财务报表数据显示资产负债率超过70%；</w:t>
      </w:r>
    </w:p>
    <w:p w14:paraId="36FCB490">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（三）最近12个月内财务资助金额累计计算超过公司最近一期经审计净资产的10%；</w:t>
      </w:r>
    </w:p>
    <w:p w14:paraId="38946BA4">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（四）本所或者公司章程规定的其他情形。</w:t>
      </w:r>
    </w:p>
    <w:p w14:paraId="20D0A72F">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资助对象为公司合并报表范围内的控股子公司，且该控股子公司其他股东中不包含上市公司的控股股东、实际控制人及其关联人的，可以免于适用前两款规定。</w:t>
      </w:r>
    </w:p>
    <w:p w14:paraId="4B0763CB">
      <w:pPr>
        <w:numPr>
          <w:ilvl w:val="2"/>
          <w:numId w:val="27"/>
        </w:numPr>
        <w:tabs>
          <w:tab w:val="left" w:pos="1418"/>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ascii="仿宋_GB2312" w:hAnsi="宋体" w:eastAsia="仿宋_GB2312"/>
          <w:sz w:val="32"/>
          <w:szCs w:val="32"/>
        </w:rPr>
        <w:t>上市公司进行委托理财，因交易频次和时效要求等原因难以对每次投资交易履行审议程序和披露义务的，可以对投资范围、额度及期限等进行合理预计，以额度计算占</w:t>
      </w:r>
      <w:r>
        <w:rPr>
          <w:rFonts w:hint="eastAsia" w:ascii="仿宋_GB2312" w:hAnsi="宋体" w:eastAsia="仿宋_GB2312"/>
          <w:sz w:val="32"/>
          <w:szCs w:val="32"/>
        </w:rPr>
        <w:t>市值</w:t>
      </w:r>
      <w:r>
        <w:rPr>
          <w:rFonts w:ascii="仿宋_GB2312" w:hAnsi="宋体" w:eastAsia="仿宋_GB2312"/>
          <w:sz w:val="32"/>
          <w:szCs w:val="32"/>
        </w:rPr>
        <w:t>的比例，适用本规则第7.1.2条</w:t>
      </w:r>
      <w:r>
        <w:rPr>
          <w:rFonts w:hint="eastAsia" w:ascii="仿宋_GB2312" w:hAnsi="宋体" w:eastAsia="仿宋_GB2312"/>
          <w:sz w:val="32"/>
          <w:szCs w:val="32"/>
        </w:rPr>
        <w:t>或者</w:t>
      </w:r>
      <w:r>
        <w:rPr>
          <w:rFonts w:ascii="仿宋_GB2312" w:hAnsi="宋体" w:eastAsia="仿宋_GB2312"/>
          <w:sz w:val="32"/>
          <w:szCs w:val="32"/>
        </w:rPr>
        <w:t>第7.1.3条的规定。</w:t>
      </w:r>
    </w:p>
    <w:p w14:paraId="531C8EBC">
      <w:pPr>
        <w:tabs>
          <w:tab w:val="left" w:pos="425"/>
          <w:tab w:val="left" w:pos="1107"/>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相关额度的使用期限不应超过</w:t>
      </w:r>
      <w:r>
        <w:rPr>
          <w:rFonts w:ascii="仿宋_GB2312" w:hAnsi="宋体" w:eastAsia="仿宋_GB2312"/>
          <w:sz w:val="32"/>
          <w:szCs w:val="32"/>
        </w:rPr>
        <w:t>12个月，期限内任一时点的交易金额（含前述投资的收益进行再投资的相关金额）不应超过投资额度。</w:t>
      </w:r>
    </w:p>
    <w:p w14:paraId="2A6B31B6">
      <w:pPr>
        <w:numPr>
          <w:ilvl w:val="2"/>
          <w:numId w:val="27"/>
        </w:numPr>
        <w:tabs>
          <w:tab w:val="left" w:pos="1418"/>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上市公司发生租入资产或者受托管理资产交易的，应当以租金或者收入为计算基础，适用第7.1.2</w:t>
      </w:r>
      <w:r>
        <w:rPr>
          <w:rFonts w:ascii="仿宋_GB2312" w:hAnsi="宋体" w:eastAsia="仿宋_GB2312"/>
          <w:sz w:val="32"/>
          <w:szCs w:val="32"/>
        </w:rPr>
        <w:t>条</w:t>
      </w:r>
      <w:r>
        <w:rPr>
          <w:rFonts w:hint="eastAsia" w:ascii="仿宋_GB2312" w:hAnsi="宋体" w:eastAsia="仿宋_GB2312"/>
          <w:sz w:val="32"/>
          <w:szCs w:val="32"/>
        </w:rPr>
        <w:t>第四项</w:t>
      </w:r>
      <w:r>
        <w:rPr>
          <w:rFonts w:ascii="仿宋_GB2312" w:hAnsi="宋体" w:eastAsia="仿宋_GB2312"/>
          <w:sz w:val="32"/>
          <w:szCs w:val="32"/>
        </w:rPr>
        <w:t>或者第</w:t>
      </w:r>
      <w:r>
        <w:rPr>
          <w:rFonts w:hint="eastAsia" w:ascii="仿宋_GB2312" w:hAnsi="宋体" w:eastAsia="仿宋_GB2312"/>
          <w:sz w:val="32"/>
          <w:szCs w:val="32"/>
        </w:rPr>
        <w:t>7.1.3条第四项。</w:t>
      </w:r>
    </w:p>
    <w:p w14:paraId="2716F52B">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上市公司发生租出资产或者委托他人管理资产交易的，应当以总资产额、租金收入或者管理费为计算基础，适用第7.1.2</w:t>
      </w:r>
      <w:r>
        <w:rPr>
          <w:rFonts w:ascii="仿宋_GB2312" w:hAnsi="宋体" w:eastAsia="仿宋_GB2312"/>
          <w:sz w:val="32"/>
          <w:szCs w:val="32"/>
        </w:rPr>
        <w:t>条</w:t>
      </w:r>
      <w:r>
        <w:rPr>
          <w:rFonts w:hint="eastAsia" w:ascii="仿宋_GB2312" w:hAnsi="宋体" w:eastAsia="仿宋_GB2312"/>
          <w:sz w:val="32"/>
          <w:szCs w:val="32"/>
        </w:rPr>
        <w:t>第一项、第四项</w:t>
      </w:r>
      <w:r>
        <w:rPr>
          <w:rFonts w:ascii="仿宋_GB2312" w:hAnsi="宋体" w:eastAsia="仿宋_GB2312"/>
          <w:sz w:val="32"/>
          <w:szCs w:val="32"/>
        </w:rPr>
        <w:t>或者第</w:t>
      </w:r>
      <w:r>
        <w:rPr>
          <w:rFonts w:hint="eastAsia" w:ascii="仿宋_GB2312" w:hAnsi="宋体" w:eastAsia="仿宋_GB2312"/>
          <w:sz w:val="32"/>
          <w:szCs w:val="32"/>
        </w:rPr>
        <w:t>7.1.3条第一项、第四项。</w:t>
      </w:r>
    </w:p>
    <w:p w14:paraId="3550279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受托经营、租入资产或者委托他人管理、租出资产，导致公司合并报表范围发生变更的，应当视为购买或者出售资产。</w:t>
      </w:r>
    </w:p>
    <w:p w14:paraId="2630BA87">
      <w:pPr>
        <w:numPr>
          <w:ilvl w:val="2"/>
          <w:numId w:val="27"/>
        </w:numPr>
        <w:tabs>
          <w:tab w:val="left" w:pos="0"/>
          <w:tab w:val="left" w:pos="1418"/>
          <w:tab w:val="clear" w:pos="1107"/>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上市公司发生日常经营范围内的交易，达到下列标准之一的，应当及时进行披露：</w:t>
      </w:r>
    </w:p>
    <w:p w14:paraId="5FF8D315">
      <w:pPr>
        <w:pStyle w:val="34"/>
        <w:numPr>
          <w:ilvl w:val="0"/>
          <w:numId w:val="30"/>
        </w:numPr>
        <w:tabs>
          <w:tab w:val="left" w:pos="1418"/>
          <w:tab w:val="left" w:pos="1701"/>
          <w:tab w:val="left" w:pos="1843"/>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交易金额占上市公司最近一期经审计总资产的50%以上，且绝对金额超过1亿元；</w:t>
      </w:r>
    </w:p>
    <w:p w14:paraId="4B2F2547">
      <w:pPr>
        <w:pStyle w:val="34"/>
        <w:numPr>
          <w:ilvl w:val="0"/>
          <w:numId w:val="30"/>
        </w:numPr>
        <w:tabs>
          <w:tab w:val="left" w:pos="1418"/>
          <w:tab w:val="left" w:pos="1701"/>
          <w:tab w:val="left" w:pos="1843"/>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交易金额占上市公司最近一个会计年度经审计营业收入的50%以上，且超过1亿元；</w:t>
      </w:r>
    </w:p>
    <w:p w14:paraId="5F809C4A">
      <w:pPr>
        <w:pStyle w:val="34"/>
        <w:numPr>
          <w:ilvl w:val="0"/>
          <w:numId w:val="30"/>
        </w:numPr>
        <w:tabs>
          <w:tab w:val="left" w:pos="1418"/>
          <w:tab w:val="left" w:pos="1701"/>
          <w:tab w:val="left" w:pos="1843"/>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交易预计产生的利润总额占上市公司最近一个会计年度经审计净利润的50%以上，且超过500万元；</w:t>
      </w:r>
    </w:p>
    <w:p w14:paraId="01E87641">
      <w:pPr>
        <w:pStyle w:val="34"/>
        <w:numPr>
          <w:ilvl w:val="0"/>
          <w:numId w:val="30"/>
        </w:numPr>
        <w:tabs>
          <w:tab w:val="left" w:pos="1418"/>
          <w:tab w:val="left" w:pos="1701"/>
          <w:tab w:val="left" w:pos="1843"/>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其他可能对上市公司的资产、负债、权益和经营成果产生重大影响的交易。</w:t>
      </w:r>
    </w:p>
    <w:p w14:paraId="1EA1760E">
      <w:pPr>
        <w:numPr>
          <w:ilvl w:val="2"/>
          <w:numId w:val="27"/>
        </w:numPr>
        <w:tabs>
          <w:tab w:val="left" w:pos="1418"/>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上市公司发生“提供担保”交易事项，除应当经全体董事的过半数审议通过外，还应当经出席董事会会议的三分之二以上董事审议通过，并及时披露。</w:t>
      </w:r>
    </w:p>
    <w:p w14:paraId="7DC523D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担保事项属于下列情形之一的，还应当在董事会审议通过后提交股东会审议：</w:t>
      </w:r>
    </w:p>
    <w:p w14:paraId="2A1B964A">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单笔担保额超过上市公司最近一期经审计净资产10％的担保；</w:t>
      </w:r>
    </w:p>
    <w:p w14:paraId="34961D22">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上市公司及其控股子公司对外提供的担保总额，超过上市公司最近一期经审计净资产50％以后提供的任何担保；</w:t>
      </w:r>
    </w:p>
    <w:p w14:paraId="23A6F48E">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为资产负债率超过70％的担保对象提供的担保；</w:t>
      </w:r>
    </w:p>
    <w:p w14:paraId="29700994">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按照担保金额连续12个月内累计计算原则，超过上市公司最近一期经审计总资产30％的担保；</w:t>
      </w:r>
    </w:p>
    <w:p w14:paraId="68866653">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上市公司及其控股子公司对外提供的担保总额，超过上市公司最近一期经审计总资产</w:t>
      </w:r>
      <w:r>
        <w:rPr>
          <w:rFonts w:ascii="仿宋_GB2312" w:hAnsi="宋体"/>
          <w:sz w:val="32"/>
          <w:szCs w:val="32"/>
        </w:rPr>
        <w:t>30%以后提供的任何担保</w:t>
      </w:r>
      <w:r>
        <w:rPr>
          <w:rFonts w:hint="eastAsia" w:ascii="仿宋_GB2312" w:hAnsi="宋体"/>
          <w:sz w:val="32"/>
          <w:szCs w:val="32"/>
        </w:rPr>
        <w:t>；</w:t>
      </w:r>
    </w:p>
    <w:p w14:paraId="0A647425">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对股东、实际控制人及其关联人提供的担保；</w:t>
      </w:r>
    </w:p>
    <w:p w14:paraId="04DE04F3">
      <w:pPr>
        <w:pStyle w:val="34"/>
        <w:numPr>
          <w:ilvl w:val="0"/>
          <w:numId w:val="31"/>
        </w:numPr>
        <w:tabs>
          <w:tab w:val="left" w:pos="1418"/>
          <w:tab w:val="left" w:pos="1701"/>
          <w:tab w:val="left" w:pos="1843"/>
        </w:tabs>
        <w:autoSpaceDE w:val="0"/>
        <w:autoSpaceDN w:val="0"/>
        <w:adjustRightInd w:val="0"/>
        <w:snapToGrid w:val="0"/>
        <w:spacing w:line="560" w:lineRule="exact"/>
        <w:ind w:left="0" w:firstLine="709" w:firstLineChars="0"/>
        <w:rPr>
          <w:rFonts w:hint="eastAsia" w:ascii="仿宋_GB2312" w:hAnsi="宋体"/>
          <w:sz w:val="32"/>
          <w:szCs w:val="32"/>
        </w:rPr>
      </w:pPr>
      <w:r>
        <w:rPr>
          <w:rFonts w:hint="eastAsia" w:ascii="仿宋_GB2312" w:hAnsi="宋体"/>
          <w:sz w:val="32"/>
          <w:szCs w:val="32"/>
        </w:rPr>
        <w:t>本所或者公司章程规定的其他担保。</w:t>
      </w:r>
    </w:p>
    <w:p w14:paraId="76867592">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上市公司股东会审议前款第四项担保时，应当经出席会议的股东所持表决权的三分之二以上通过。</w:t>
      </w:r>
    </w:p>
    <w:p w14:paraId="74FECC6D">
      <w:pPr>
        <w:numPr>
          <w:ilvl w:val="2"/>
          <w:numId w:val="27"/>
        </w:numPr>
        <w:tabs>
          <w:tab w:val="left" w:pos="1418"/>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上市公司为全资子公司提供担保，或者为控股子公司提供担保且控股子公司其他股东按所享有的权益提供同等比例担保，</w:t>
      </w:r>
      <w:r>
        <w:rPr>
          <w:rFonts w:hint="eastAsia" w:ascii="仿宋_GB2312" w:hAnsi="黑体" w:eastAsia="仿宋_GB2312"/>
          <w:sz w:val="32"/>
          <w:szCs w:val="32"/>
        </w:rPr>
        <w:t>不损害上市公司利益</w:t>
      </w:r>
      <w:r>
        <w:rPr>
          <w:rFonts w:hint="eastAsia" w:ascii="仿宋_GB2312" w:hAnsi="宋体" w:eastAsia="仿宋_GB2312"/>
          <w:sz w:val="32"/>
          <w:szCs w:val="32"/>
        </w:rPr>
        <w:t>的，可以豁免适用第7.1.17条第二款第一项至第三项的规定，但是公司章程另有规定除外。上市公司应当在年度报告和半年度报告中汇总披露前述担保。</w:t>
      </w:r>
    </w:p>
    <w:p w14:paraId="371E027A">
      <w:pPr>
        <w:numPr>
          <w:ilvl w:val="2"/>
          <w:numId w:val="27"/>
        </w:numPr>
        <w:tabs>
          <w:tab w:val="left" w:pos="1418"/>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上市公司提供担保，被担保人于债务到期后15个交易日内未履行偿债义务，或者被担保人出现破产、清算或其他严重影响其偿债能力情形的，上市公司应当及时披露。</w:t>
      </w:r>
    </w:p>
    <w:p w14:paraId="0A8B2361">
      <w:pPr>
        <w:numPr>
          <w:ilvl w:val="2"/>
          <w:numId w:val="27"/>
        </w:numPr>
        <w:tabs>
          <w:tab w:val="left" w:pos="1418"/>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购买、出售资产交易，涉及资产总额或者成交金额连续12个月内累计计算超过公司最近一期经审计总资产30%的，除应当披露并参照第7.1.9条规定进行审计或者评估外，还应当提交股东会审议，并经出席会议的股东所持表决权的三分之二以上通过。</w:t>
      </w:r>
    </w:p>
    <w:p w14:paraId="4098F6FB">
      <w:pPr>
        <w:numPr>
          <w:ilvl w:val="2"/>
          <w:numId w:val="27"/>
        </w:numPr>
        <w:tabs>
          <w:tab w:val="left" w:pos="1418"/>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上市公司单方面获得利益的交易，包括受赠现金资产、获得债务减免、接受担保和资助等，可免于按照第</w:t>
      </w:r>
      <w:r>
        <w:rPr>
          <w:rFonts w:ascii="仿宋_GB2312" w:hAnsi="宋体" w:eastAsia="仿宋_GB2312"/>
          <w:sz w:val="32"/>
          <w:szCs w:val="32"/>
        </w:rPr>
        <w:t>7.1.3</w:t>
      </w:r>
      <w:r>
        <w:rPr>
          <w:rFonts w:hint="eastAsia" w:ascii="仿宋_GB2312" w:hAnsi="宋体" w:eastAsia="仿宋_GB2312"/>
          <w:sz w:val="32"/>
          <w:szCs w:val="32"/>
        </w:rPr>
        <w:t>条的规定履行股东会审议程序。</w:t>
      </w:r>
    </w:p>
    <w:p w14:paraId="7EBA0709">
      <w:pPr>
        <w:numPr>
          <w:ilvl w:val="2"/>
          <w:numId w:val="27"/>
        </w:numPr>
        <w:tabs>
          <w:tab w:val="left" w:pos="1418"/>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上市公司与其合并报表范围内的控股子公司、控制的其他主体发生的或者上述控股子公司、控制的其他主体之间发生的交易，可以免于按照本章规定披露和履行相应程序，中国证监会或者本所另有规定的除外。</w:t>
      </w:r>
    </w:p>
    <w:p w14:paraId="092E1517">
      <w:pPr>
        <w:pStyle w:val="36"/>
        <w:numPr>
          <w:ilvl w:val="1"/>
          <w:numId w:val="1"/>
        </w:numPr>
        <w:ind w:left="0" w:firstLine="643"/>
        <w:rPr>
          <w:rFonts w:hint="eastAsia"/>
        </w:rPr>
      </w:pPr>
      <w:bookmarkStart w:id="421" w:name="_Toc530090853"/>
      <w:bookmarkEnd w:id="421"/>
      <w:bookmarkStart w:id="422" w:name="_Toc530093398"/>
      <w:bookmarkEnd w:id="422"/>
      <w:bookmarkStart w:id="423" w:name="_Toc530093473"/>
      <w:bookmarkEnd w:id="423"/>
      <w:bookmarkStart w:id="424" w:name="_Toc530090861"/>
      <w:bookmarkEnd w:id="424"/>
      <w:bookmarkStart w:id="425" w:name="_Toc530093714"/>
      <w:bookmarkEnd w:id="425"/>
      <w:bookmarkStart w:id="426" w:name="_Toc530093707"/>
      <w:bookmarkEnd w:id="426"/>
      <w:bookmarkStart w:id="427" w:name="_Toc530090845"/>
      <w:bookmarkEnd w:id="427"/>
      <w:bookmarkStart w:id="428" w:name="_Toc530093399"/>
      <w:bookmarkEnd w:id="428"/>
      <w:bookmarkStart w:id="429" w:name="_Toc530093484"/>
      <w:bookmarkEnd w:id="429"/>
      <w:bookmarkStart w:id="430" w:name="_Toc530093625"/>
      <w:bookmarkEnd w:id="430"/>
      <w:bookmarkStart w:id="431" w:name="_Toc530090840"/>
      <w:bookmarkEnd w:id="431"/>
      <w:bookmarkStart w:id="432" w:name="_Toc530093492"/>
      <w:bookmarkEnd w:id="432"/>
      <w:bookmarkStart w:id="433" w:name="_Toc530090864"/>
      <w:bookmarkEnd w:id="433"/>
      <w:bookmarkStart w:id="434" w:name="_Toc530090835"/>
      <w:bookmarkEnd w:id="434"/>
      <w:bookmarkStart w:id="435" w:name="_Toc530093722"/>
      <w:bookmarkEnd w:id="435"/>
      <w:bookmarkStart w:id="436" w:name="_Toc530093400"/>
      <w:bookmarkEnd w:id="436"/>
      <w:bookmarkStart w:id="437" w:name="_Toc530093418"/>
      <w:bookmarkEnd w:id="437"/>
      <w:bookmarkStart w:id="438" w:name="_Toc530093407"/>
      <w:bookmarkEnd w:id="438"/>
      <w:bookmarkStart w:id="439" w:name="_Toc530090863"/>
      <w:bookmarkEnd w:id="439"/>
      <w:bookmarkStart w:id="440" w:name="_Toc530090846"/>
      <w:bookmarkEnd w:id="440"/>
      <w:bookmarkStart w:id="441" w:name="_Toc530093632"/>
      <w:bookmarkEnd w:id="441"/>
      <w:bookmarkStart w:id="442" w:name="_Toc530093410"/>
      <w:bookmarkEnd w:id="442"/>
      <w:bookmarkStart w:id="443" w:name="_Toc530093619"/>
      <w:bookmarkEnd w:id="443"/>
      <w:bookmarkStart w:id="444" w:name="_Toc530093477"/>
      <w:bookmarkEnd w:id="444"/>
      <w:bookmarkStart w:id="445" w:name="_Toc530093382"/>
      <w:bookmarkEnd w:id="445"/>
      <w:bookmarkStart w:id="446" w:name="_Toc530093732"/>
      <w:bookmarkEnd w:id="446"/>
      <w:bookmarkStart w:id="447" w:name="_Toc530090839"/>
      <w:bookmarkEnd w:id="447"/>
      <w:bookmarkStart w:id="448" w:name="_Toc530093660"/>
      <w:bookmarkEnd w:id="448"/>
      <w:bookmarkStart w:id="449" w:name="_Toc530090850"/>
      <w:bookmarkEnd w:id="449"/>
      <w:bookmarkStart w:id="450" w:name="_Toc530093652"/>
      <w:bookmarkEnd w:id="450"/>
      <w:bookmarkStart w:id="451" w:name="_Toc530093417"/>
      <w:bookmarkEnd w:id="451"/>
      <w:bookmarkStart w:id="452" w:name="_Toc530093493"/>
      <w:bookmarkEnd w:id="452"/>
      <w:bookmarkStart w:id="453" w:name="_Toc530093469"/>
      <w:bookmarkEnd w:id="453"/>
      <w:bookmarkStart w:id="454" w:name="_Toc530093496"/>
      <w:bookmarkEnd w:id="454"/>
      <w:bookmarkStart w:id="455" w:name="_Toc530090858"/>
      <w:bookmarkEnd w:id="455"/>
      <w:bookmarkStart w:id="456" w:name="_Toc530093702"/>
      <w:bookmarkEnd w:id="456"/>
      <w:bookmarkStart w:id="457" w:name="_Toc530093718"/>
      <w:bookmarkEnd w:id="457"/>
      <w:bookmarkStart w:id="458" w:name="_Toc530093474"/>
      <w:bookmarkEnd w:id="458"/>
      <w:bookmarkStart w:id="459" w:name="_Toc530093482"/>
      <w:bookmarkEnd w:id="459"/>
      <w:bookmarkStart w:id="460" w:name="_Toc530093476"/>
      <w:bookmarkEnd w:id="460"/>
      <w:bookmarkStart w:id="461" w:name="_Toc530093466"/>
      <w:bookmarkEnd w:id="461"/>
      <w:bookmarkStart w:id="462" w:name="_Toc530093393"/>
      <w:bookmarkEnd w:id="462"/>
      <w:bookmarkStart w:id="463" w:name="_Toc530093734"/>
      <w:bookmarkEnd w:id="463"/>
      <w:bookmarkStart w:id="464" w:name="_Toc530093405"/>
      <w:bookmarkEnd w:id="464"/>
      <w:bookmarkStart w:id="465" w:name="_Toc530090829"/>
      <w:bookmarkEnd w:id="465"/>
      <w:bookmarkStart w:id="466" w:name="_Toc530093725"/>
      <w:bookmarkEnd w:id="466"/>
      <w:bookmarkStart w:id="467" w:name="_Toc530093406"/>
      <w:bookmarkEnd w:id="467"/>
      <w:bookmarkStart w:id="468" w:name="_Toc530093638"/>
      <w:bookmarkEnd w:id="468"/>
      <w:bookmarkStart w:id="469" w:name="_Toc530093627"/>
      <w:bookmarkEnd w:id="469"/>
      <w:bookmarkStart w:id="470" w:name="_Toc530093465"/>
      <w:bookmarkEnd w:id="470"/>
      <w:bookmarkStart w:id="471" w:name="_Toc530093724"/>
      <w:bookmarkEnd w:id="471"/>
      <w:bookmarkStart w:id="472" w:name="_Toc530093415"/>
      <w:bookmarkEnd w:id="472"/>
      <w:bookmarkStart w:id="473" w:name="_Toc530090828"/>
      <w:bookmarkEnd w:id="473"/>
      <w:bookmarkStart w:id="474" w:name="_Toc530093388"/>
      <w:bookmarkEnd w:id="474"/>
      <w:bookmarkStart w:id="475" w:name="_Toc530090856"/>
      <w:bookmarkEnd w:id="475"/>
      <w:bookmarkStart w:id="476" w:name="_Toc530093717"/>
      <w:bookmarkEnd w:id="476"/>
      <w:bookmarkStart w:id="477" w:name="_Toc530090833"/>
      <w:bookmarkEnd w:id="477"/>
      <w:bookmarkStart w:id="478" w:name="_Toc530093622"/>
      <w:bookmarkEnd w:id="478"/>
      <w:bookmarkStart w:id="479" w:name="_Toc530093649"/>
      <w:bookmarkEnd w:id="479"/>
      <w:bookmarkStart w:id="480" w:name="_Toc530093712"/>
      <w:bookmarkEnd w:id="480"/>
      <w:bookmarkStart w:id="481" w:name="_Toc530093414"/>
      <w:bookmarkEnd w:id="481"/>
      <w:bookmarkStart w:id="482" w:name="_Toc530093404"/>
      <w:bookmarkEnd w:id="482"/>
      <w:bookmarkStart w:id="483" w:name="_Toc530093721"/>
      <w:bookmarkEnd w:id="483"/>
      <w:bookmarkStart w:id="484" w:name="_Toc530093391"/>
      <w:bookmarkEnd w:id="484"/>
      <w:bookmarkStart w:id="485" w:name="_Toc530093743"/>
      <w:bookmarkEnd w:id="485"/>
      <w:bookmarkStart w:id="486" w:name="_Toc530093737"/>
      <w:bookmarkEnd w:id="486"/>
      <w:bookmarkStart w:id="487" w:name="_Toc530090849"/>
      <w:bookmarkEnd w:id="487"/>
      <w:bookmarkStart w:id="488" w:name="_Toc530093621"/>
      <w:bookmarkEnd w:id="488"/>
      <w:bookmarkStart w:id="489" w:name="_Toc530093710"/>
      <w:bookmarkEnd w:id="489"/>
      <w:bookmarkStart w:id="490" w:name="_Toc530093736"/>
      <w:bookmarkEnd w:id="490"/>
      <w:bookmarkStart w:id="491" w:name="_Toc530093483"/>
      <w:bookmarkEnd w:id="491"/>
      <w:bookmarkStart w:id="492" w:name="_Toc530093376"/>
      <w:bookmarkEnd w:id="492"/>
      <w:bookmarkStart w:id="493" w:name="_Toc530093390"/>
      <w:bookmarkEnd w:id="493"/>
      <w:bookmarkStart w:id="494" w:name="_Toc530093384"/>
      <w:bookmarkEnd w:id="494"/>
      <w:bookmarkStart w:id="495" w:name="_Toc530090825"/>
      <w:bookmarkEnd w:id="495"/>
      <w:bookmarkStart w:id="496" w:name="_Toc530093650"/>
      <w:bookmarkEnd w:id="496"/>
      <w:bookmarkStart w:id="497" w:name="_Toc530093657"/>
      <w:bookmarkEnd w:id="497"/>
      <w:bookmarkStart w:id="498" w:name="_Toc530093499"/>
      <w:bookmarkEnd w:id="498"/>
      <w:bookmarkStart w:id="499" w:name="_Toc530093623"/>
      <w:bookmarkEnd w:id="499"/>
      <w:bookmarkStart w:id="500" w:name="_Toc530090865"/>
      <w:bookmarkEnd w:id="500"/>
      <w:bookmarkStart w:id="501" w:name="_Toc530093489"/>
      <w:bookmarkEnd w:id="501"/>
      <w:bookmarkStart w:id="502" w:name="_Toc530093716"/>
      <w:bookmarkEnd w:id="502"/>
      <w:bookmarkStart w:id="503" w:name="_Toc530093494"/>
      <w:bookmarkEnd w:id="503"/>
      <w:bookmarkStart w:id="504" w:name="_Toc530093498"/>
      <w:bookmarkEnd w:id="504"/>
      <w:bookmarkStart w:id="505" w:name="_Toc530093658"/>
      <w:bookmarkEnd w:id="505"/>
      <w:bookmarkStart w:id="506" w:name="_Toc530093626"/>
      <w:bookmarkEnd w:id="506"/>
      <w:bookmarkStart w:id="507" w:name="_Toc530093745"/>
      <w:bookmarkEnd w:id="507"/>
      <w:bookmarkStart w:id="508" w:name="_Toc530090837"/>
      <w:bookmarkEnd w:id="508"/>
      <w:bookmarkStart w:id="509" w:name="_Toc530093740"/>
      <w:bookmarkEnd w:id="509"/>
      <w:bookmarkStart w:id="510" w:name="_Toc530090868"/>
      <w:bookmarkEnd w:id="510"/>
      <w:bookmarkStart w:id="511" w:name="_Toc530093459"/>
      <w:bookmarkEnd w:id="511"/>
      <w:bookmarkStart w:id="512" w:name="_Toc530093464"/>
      <w:bookmarkEnd w:id="512"/>
      <w:bookmarkStart w:id="513" w:name="_Toc530093458"/>
      <w:bookmarkEnd w:id="513"/>
      <w:bookmarkStart w:id="514" w:name="_Toc530093742"/>
      <w:bookmarkEnd w:id="514"/>
      <w:bookmarkStart w:id="515" w:name="_Toc530090851"/>
      <w:bookmarkEnd w:id="515"/>
      <w:bookmarkStart w:id="516" w:name="_Toc530090842"/>
      <w:bookmarkEnd w:id="516"/>
      <w:bookmarkStart w:id="517" w:name="_Toc530090860"/>
      <w:bookmarkEnd w:id="517"/>
      <w:bookmarkStart w:id="518" w:name="_Toc530090859"/>
      <w:bookmarkEnd w:id="518"/>
      <w:bookmarkStart w:id="519" w:name="_Toc530090831"/>
      <w:bookmarkEnd w:id="519"/>
      <w:bookmarkStart w:id="520" w:name="_Toc530093401"/>
      <w:bookmarkEnd w:id="520"/>
      <w:bookmarkStart w:id="521" w:name="_Toc530093378"/>
      <w:bookmarkEnd w:id="521"/>
      <w:bookmarkStart w:id="522" w:name="_Toc530090848"/>
      <w:bookmarkEnd w:id="522"/>
      <w:bookmarkStart w:id="523" w:name="_Toc530090854"/>
      <w:bookmarkEnd w:id="523"/>
      <w:bookmarkStart w:id="524" w:name="_Toc530093705"/>
      <w:bookmarkEnd w:id="524"/>
      <w:bookmarkStart w:id="525" w:name="_Toc530093377"/>
      <w:bookmarkEnd w:id="525"/>
      <w:bookmarkStart w:id="526" w:name="_Toc530093375"/>
      <w:bookmarkEnd w:id="526"/>
      <w:bookmarkStart w:id="527" w:name="_Toc530093475"/>
      <w:bookmarkEnd w:id="527"/>
      <w:bookmarkStart w:id="528" w:name="_Toc530090847"/>
      <w:bookmarkEnd w:id="528"/>
      <w:bookmarkStart w:id="529" w:name="_Toc530093637"/>
      <w:bookmarkEnd w:id="529"/>
      <w:bookmarkStart w:id="530" w:name="_Toc530093726"/>
      <w:bookmarkEnd w:id="530"/>
      <w:bookmarkStart w:id="531" w:name="_Toc530093719"/>
      <w:bookmarkEnd w:id="531"/>
      <w:bookmarkStart w:id="532" w:name="_Toc530090841"/>
      <w:bookmarkEnd w:id="532"/>
      <w:bookmarkStart w:id="533" w:name="_Toc530093644"/>
      <w:bookmarkEnd w:id="533"/>
      <w:bookmarkStart w:id="534" w:name="_Toc530093711"/>
      <w:bookmarkEnd w:id="534"/>
      <w:bookmarkStart w:id="535" w:name="_Toc530093395"/>
      <w:bookmarkEnd w:id="535"/>
      <w:bookmarkStart w:id="536" w:name="_Toc530093408"/>
      <w:bookmarkEnd w:id="536"/>
      <w:bookmarkStart w:id="537" w:name="_Toc530093629"/>
      <w:bookmarkEnd w:id="537"/>
      <w:bookmarkStart w:id="538" w:name="_Toc530093631"/>
      <w:bookmarkEnd w:id="538"/>
      <w:bookmarkStart w:id="539" w:name="_Toc530093413"/>
      <w:bookmarkEnd w:id="539"/>
      <w:bookmarkStart w:id="540" w:name="_Toc530093411"/>
      <w:bookmarkEnd w:id="540"/>
      <w:bookmarkStart w:id="541" w:name="_Toc530093383"/>
      <w:bookmarkEnd w:id="541"/>
      <w:bookmarkStart w:id="542" w:name="_Toc530093495"/>
      <w:bookmarkEnd w:id="542"/>
      <w:bookmarkStart w:id="543" w:name="_Toc530093462"/>
      <w:bookmarkEnd w:id="543"/>
      <w:bookmarkStart w:id="544" w:name="_Toc530093654"/>
      <w:bookmarkEnd w:id="544"/>
      <w:bookmarkStart w:id="545" w:name="_Toc530093389"/>
      <w:bookmarkEnd w:id="545"/>
      <w:bookmarkStart w:id="546" w:name="_Toc530090855"/>
      <w:bookmarkEnd w:id="546"/>
      <w:bookmarkStart w:id="547" w:name="_Toc530093497"/>
      <w:bookmarkEnd w:id="547"/>
      <w:bookmarkStart w:id="548" w:name="_Toc530093380"/>
      <w:bookmarkEnd w:id="548"/>
      <w:bookmarkStart w:id="549" w:name="_Toc530093402"/>
      <w:bookmarkEnd w:id="549"/>
      <w:bookmarkStart w:id="550" w:name="_Toc530093643"/>
      <w:bookmarkEnd w:id="550"/>
      <w:bookmarkStart w:id="551" w:name="_Toc530090857"/>
      <w:bookmarkEnd w:id="551"/>
      <w:bookmarkStart w:id="552" w:name="_Toc530093634"/>
      <w:bookmarkEnd w:id="552"/>
      <w:bookmarkStart w:id="553" w:name="_Toc530093642"/>
      <w:bookmarkEnd w:id="553"/>
      <w:bookmarkStart w:id="554" w:name="_Toc530093727"/>
      <w:bookmarkEnd w:id="554"/>
      <w:bookmarkStart w:id="555" w:name="_Toc530093486"/>
      <w:bookmarkEnd w:id="555"/>
      <w:bookmarkStart w:id="556" w:name="_Toc530093481"/>
      <w:bookmarkEnd w:id="556"/>
      <w:bookmarkStart w:id="557" w:name="_Toc530093635"/>
      <w:bookmarkEnd w:id="557"/>
      <w:bookmarkStart w:id="558" w:name="_Toc530093396"/>
      <w:bookmarkEnd w:id="558"/>
      <w:bookmarkStart w:id="559" w:name="_Toc530093381"/>
      <w:bookmarkEnd w:id="559"/>
      <w:bookmarkStart w:id="560" w:name="_Toc530093620"/>
      <w:bookmarkEnd w:id="560"/>
      <w:bookmarkStart w:id="561" w:name="_Toc530093468"/>
      <w:bookmarkEnd w:id="561"/>
      <w:bookmarkStart w:id="562" w:name="_Toc530093624"/>
      <w:bookmarkEnd w:id="562"/>
      <w:bookmarkStart w:id="563" w:name="_Toc530093461"/>
      <w:bookmarkEnd w:id="563"/>
      <w:bookmarkStart w:id="564" w:name="_Toc530093720"/>
      <w:bookmarkEnd w:id="564"/>
      <w:bookmarkStart w:id="565" w:name="_Toc530093487"/>
      <w:bookmarkEnd w:id="565"/>
      <w:bookmarkStart w:id="566" w:name="_Toc530093735"/>
      <w:bookmarkEnd w:id="566"/>
      <w:bookmarkStart w:id="567" w:name="_Toc530090832"/>
      <w:bookmarkEnd w:id="567"/>
      <w:bookmarkStart w:id="568" w:name="_Toc530090830"/>
      <w:bookmarkEnd w:id="568"/>
      <w:bookmarkStart w:id="569" w:name="_Toc530093648"/>
      <w:bookmarkEnd w:id="569"/>
      <w:bookmarkStart w:id="570" w:name="_Toc530093739"/>
      <w:bookmarkEnd w:id="570"/>
      <w:bookmarkStart w:id="571" w:name="_Toc530090826"/>
      <w:bookmarkEnd w:id="571"/>
      <w:bookmarkStart w:id="572" w:name="_Toc530093706"/>
      <w:bookmarkEnd w:id="572"/>
      <w:bookmarkStart w:id="573" w:name="_Toc530093385"/>
      <w:bookmarkEnd w:id="573"/>
      <w:bookmarkStart w:id="574" w:name="_Toc530093387"/>
      <w:bookmarkEnd w:id="574"/>
      <w:bookmarkStart w:id="575" w:name="_Toc530093733"/>
      <w:bookmarkEnd w:id="575"/>
      <w:bookmarkStart w:id="576" w:name="_Toc530093470"/>
      <w:bookmarkEnd w:id="576"/>
      <w:bookmarkStart w:id="577" w:name="_Toc530093641"/>
      <w:bookmarkEnd w:id="577"/>
      <w:bookmarkStart w:id="578" w:name="_Toc530093467"/>
      <w:bookmarkEnd w:id="578"/>
      <w:bookmarkStart w:id="579" w:name="_Toc530093713"/>
      <w:bookmarkEnd w:id="579"/>
      <w:bookmarkStart w:id="580" w:name="_Toc530093723"/>
      <w:bookmarkEnd w:id="580"/>
      <w:bookmarkStart w:id="581" w:name="_Toc530093646"/>
      <w:bookmarkEnd w:id="581"/>
      <w:bookmarkStart w:id="582" w:name="_Toc530093412"/>
      <w:bookmarkEnd w:id="582"/>
      <w:bookmarkStart w:id="583" w:name="_Toc530093738"/>
      <w:bookmarkEnd w:id="583"/>
      <w:bookmarkStart w:id="584" w:name="_Toc530093628"/>
      <w:bookmarkEnd w:id="584"/>
      <w:bookmarkStart w:id="585" w:name="_Toc530093728"/>
      <w:bookmarkEnd w:id="585"/>
      <w:bookmarkStart w:id="586" w:name="_Toc530093379"/>
      <w:bookmarkEnd w:id="586"/>
      <w:bookmarkStart w:id="587" w:name="_Toc530093704"/>
      <w:bookmarkEnd w:id="587"/>
      <w:bookmarkStart w:id="588" w:name="_Toc530093662"/>
      <w:bookmarkEnd w:id="588"/>
      <w:bookmarkStart w:id="589" w:name="_Toc530093478"/>
      <w:bookmarkEnd w:id="589"/>
      <w:bookmarkStart w:id="590" w:name="_Toc530093729"/>
      <w:bookmarkEnd w:id="590"/>
      <w:bookmarkStart w:id="591" w:name="_Toc530093639"/>
      <w:bookmarkEnd w:id="591"/>
      <w:bookmarkStart w:id="592" w:name="_Toc530093416"/>
      <w:bookmarkEnd w:id="592"/>
      <w:bookmarkStart w:id="593" w:name="_Toc530093741"/>
      <w:bookmarkEnd w:id="593"/>
      <w:bookmarkStart w:id="594" w:name="_Toc530090834"/>
      <w:bookmarkEnd w:id="594"/>
      <w:bookmarkStart w:id="595" w:name="_Toc530093403"/>
      <w:bookmarkEnd w:id="595"/>
      <w:bookmarkStart w:id="596" w:name="_Toc530093731"/>
      <w:bookmarkEnd w:id="596"/>
      <w:bookmarkStart w:id="597" w:name="_Toc530093488"/>
      <w:bookmarkEnd w:id="597"/>
      <w:bookmarkStart w:id="598" w:name="_Toc530093472"/>
      <w:bookmarkEnd w:id="598"/>
      <w:bookmarkStart w:id="599" w:name="_Toc530093490"/>
      <w:bookmarkEnd w:id="599"/>
      <w:bookmarkStart w:id="600" w:name="_Toc530093491"/>
      <w:bookmarkEnd w:id="600"/>
      <w:bookmarkStart w:id="601" w:name="_Toc530093397"/>
      <w:bookmarkEnd w:id="601"/>
      <w:bookmarkStart w:id="602" w:name="_Toc530093630"/>
      <w:bookmarkEnd w:id="602"/>
      <w:bookmarkStart w:id="603" w:name="_Toc530093661"/>
      <w:bookmarkEnd w:id="603"/>
      <w:bookmarkStart w:id="604" w:name="_Toc530093645"/>
      <w:bookmarkEnd w:id="604"/>
      <w:bookmarkStart w:id="605" w:name="_Toc530090862"/>
      <w:bookmarkEnd w:id="605"/>
      <w:bookmarkStart w:id="606" w:name="_Toc530090867"/>
      <w:bookmarkEnd w:id="606"/>
      <w:bookmarkStart w:id="607" w:name="_Toc530093633"/>
      <w:bookmarkEnd w:id="607"/>
      <w:bookmarkStart w:id="608" w:name="_Toc530090827"/>
      <w:bookmarkEnd w:id="608"/>
      <w:bookmarkStart w:id="609" w:name="_Toc530090866"/>
      <w:bookmarkEnd w:id="609"/>
      <w:bookmarkStart w:id="610" w:name="_Toc530093457"/>
      <w:bookmarkEnd w:id="610"/>
      <w:bookmarkStart w:id="611" w:name="_Toc530093715"/>
      <w:bookmarkEnd w:id="611"/>
      <w:bookmarkStart w:id="612" w:name="_Toc530093640"/>
      <w:bookmarkEnd w:id="612"/>
      <w:bookmarkStart w:id="613" w:name="_Toc530093471"/>
      <w:bookmarkEnd w:id="613"/>
      <w:bookmarkStart w:id="614" w:name="_Toc530093647"/>
      <w:bookmarkEnd w:id="614"/>
      <w:bookmarkStart w:id="615" w:name="_Toc530093480"/>
      <w:bookmarkEnd w:id="615"/>
      <w:bookmarkStart w:id="616" w:name="_Toc530093653"/>
      <w:bookmarkEnd w:id="616"/>
      <w:bookmarkStart w:id="617" w:name="_Toc530090844"/>
      <w:bookmarkEnd w:id="617"/>
      <w:bookmarkStart w:id="618" w:name="_Toc530093709"/>
      <w:bookmarkEnd w:id="618"/>
      <w:bookmarkStart w:id="619" w:name="_Toc530093479"/>
      <w:bookmarkEnd w:id="619"/>
      <w:bookmarkStart w:id="620" w:name="_Toc530090836"/>
      <w:bookmarkEnd w:id="620"/>
      <w:bookmarkStart w:id="621" w:name="_Toc530093636"/>
      <w:bookmarkEnd w:id="621"/>
      <w:bookmarkStart w:id="622" w:name="_Toc530090838"/>
      <w:bookmarkEnd w:id="622"/>
      <w:bookmarkStart w:id="623" w:name="_Toc530093386"/>
      <w:bookmarkEnd w:id="623"/>
      <w:bookmarkStart w:id="624" w:name="_Toc530093659"/>
      <w:bookmarkEnd w:id="624"/>
      <w:bookmarkStart w:id="625" w:name="_Toc530093708"/>
      <w:bookmarkEnd w:id="625"/>
      <w:bookmarkStart w:id="626" w:name="_Toc530093409"/>
      <w:bookmarkEnd w:id="626"/>
      <w:bookmarkStart w:id="627" w:name="_Toc530127392"/>
      <w:bookmarkEnd w:id="627"/>
      <w:bookmarkStart w:id="628" w:name="_Toc530093392"/>
      <w:bookmarkEnd w:id="628"/>
      <w:bookmarkStart w:id="629" w:name="_Toc530090852"/>
      <w:bookmarkEnd w:id="629"/>
      <w:bookmarkStart w:id="630" w:name="_Toc530093744"/>
      <w:bookmarkEnd w:id="630"/>
      <w:bookmarkStart w:id="631" w:name="_Toc530093485"/>
      <w:bookmarkEnd w:id="631"/>
      <w:bookmarkStart w:id="632" w:name="_Toc530093655"/>
      <w:bookmarkEnd w:id="632"/>
      <w:bookmarkStart w:id="633" w:name="_Toc530090843"/>
      <w:bookmarkEnd w:id="633"/>
      <w:bookmarkStart w:id="634" w:name="_Toc530093656"/>
      <w:bookmarkEnd w:id="634"/>
      <w:bookmarkStart w:id="635" w:name="_Toc530093703"/>
      <w:bookmarkEnd w:id="635"/>
      <w:bookmarkStart w:id="636" w:name="_Toc530093463"/>
      <w:bookmarkEnd w:id="636"/>
      <w:bookmarkStart w:id="637" w:name="_Toc530093730"/>
      <w:bookmarkEnd w:id="637"/>
      <w:bookmarkStart w:id="638" w:name="_Toc530093456"/>
      <w:bookmarkEnd w:id="638"/>
      <w:bookmarkStart w:id="639" w:name="_Toc530093460"/>
      <w:bookmarkEnd w:id="639"/>
      <w:bookmarkStart w:id="640" w:name="_Toc530093394"/>
      <w:bookmarkEnd w:id="640"/>
      <w:bookmarkStart w:id="641" w:name="_Toc530093651"/>
      <w:bookmarkEnd w:id="641"/>
      <w:bookmarkStart w:id="642" w:name="_Toc25606"/>
      <w:bookmarkStart w:id="643" w:name="_Toc19348"/>
      <w:bookmarkStart w:id="644" w:name="_Toc170284240"/>
      <w:r>
        <w:rPr>
          <w:rFonts w:hint="eastAsia"/>
        </w:rPr>
        <w:t>关联交易</w:t>
      </w:r>
      <w:bookmarkEnd w:id="642"/>
      <w:bookmarkEnd w:id="643"/>
      <w:bookmarkEnd w:id="644"/>
    </w:p>
    <w:p w14:paraId="41193F3C">
      <w:pPr>
        <w:pStyle w:val="34"/>
        <w:numPr>
          <w:ilvl w:val="0"/>
          <w:numId w:val="32"/>
        </w:numPr>
        <w:spacing w:line="560" w:lineRule="exact"/>
        <w:ind w:left="0" w:firstLine="640"/>
        <w:rPr>
          <w:rFonts w:hint="eastAsia" w:ascii="仿宋_GB2312" w:hAnsi="宋体"/>
          <w:sz w:val="32"/>
          <w:szCs w:val="32"/>
        </w:rPr>
      </w:pPr>
      <w:r>
        <w:rPr>
          <w:rFonts w:hint="eastAsia" w:ascii="仿宋_GB2312" w:hAnsi="宋体"/>
          <w:sz w:val="32"/>
          <w:szCs w:val="32"/>
        </w:rPr>
        <w:t>上市公司发生关联交易，应当保证关联交易的合法性、必要性、合理性和公允性，保持上市公司的独立性，不得利用关联交易调节财务指标，损害上市公司利益。</w:t>
      </w:r>
    </w:p>
    <w:p w14:paraId="0D1DC861">
      <w:pPr>
        <w:pStyle w:val="34"/>
        <w:numPr>
          <w:ilvl w:val="0"/>
          <w:numId w:val="32"/>
        </w:numPr>
        <w:spacing w:line="560" w:lineRule="exact"/>
        <w:ind w:left="0" w:firstLine="640"/>
        <w:rPr>
          <w:rFonts w:hint="eastAsia" w:ascii="仿宋_GB2312" w:hAnsi="黑体"/>
          <w:sz w:val="32"/>
          <w:szCs w:val="32"/>
        </w:rPr>
      </w:pPr>
      <w:r>
        <w:rPr>
          <w:rFonts w:hint="eastAsia" w:ascii="仿宋_GB2312" w:hAnsi="黑体"/>
          <w:sz w:val="32"/>
          <w:szCs w:val="32"/>
        </w:rPr>
        <w:t>本章所称“关联交易”，是指上市公司或者其合并报表范围内的子公司等其他主体与上市公司关联人之间发生的交易，包括第7.1.1条规定的交易和日常经营范围内发生的可能引致资源或者义务转移的事项。</w:t>
      </w:r>
    </w:p>
    <w:p w14:paraId="6C877624">
      <w:pPr>
        <w:spacing w:line="560" w:lineRule="exact"/>
        <w:ind w:firstLine="640" w:firstLineChars="200"/>
        <w:rPr>
          <w:rFonts w:hint="eastAsia" w:ascii="仿宋_GB2312" w:hAnsi="黑体" w:eastAsia="仿宋_GB2312"/>
          <w:kern w:val="0"/>
          <w:sz w:val="32"/>
          <w:szCs w:val="32"/>
        </w:rPr>
      </w:pPr>
      <w:r>
        <w:rPr>
          <w:rFonts w:ascii="仿宋_GB2312" w:hAnsi="黑体" w:eastAsia="仿宋_GB2312"/>
          <w:kern w:val="0"/>
          <w:sz w:val="32"/>
          <w:szCs w:val="32"/>
        </w:rPr>
        <w:t>上市公司董事、高级管理人员、持有公司5%以上股份的股东及其一致行动人、实际控制人应当及时向上市公司董事会报送上市公司关联人名单及关联关系的说明，由公司做好登记管理工作。</w:t>
      </w:r>
    </w:p>
    <w:p w14:paraId="24EFDF80">
      <w:pPr>
        <w:pStyle w:val="34"/>
        <w:numPr>
          <w:ilvl w:val="0"/>
          <w:numId w:val="32"/>
        </w:numPr>
        <w:spacing w:line="560" w:lineRule="exact"/>
        <w:ind w:left="0" w:firstLine="640"/>
        <w:rPr>
          <w:rFonts w:hint="eastAsia" w:ascii="仿宋_GB2312" w:hAnsi="宋体"/>
          <w:sz w:val="32"/>
          <w:szCs w:val="32"/>
        </w:rPr>
      </w:pPr>
      <w:r>
        <w:rPr>
          <w:rFonts w:hint="eastAsia" w:ascii="仿宋_GB2312" w:hAnsi="宋体"/>
          <w:sz w:val="32"/>
          <w:szCs w:val="32"/>
        </w:rPr>
        <w:t>上市公司与关联人发生的交易（提供担保除外）达到下列标准之一的，应当经全体独立董事过半数同意后履行董事会审议程序，并及时披露：</w:t>
      </w:r>
    </w:p>
    <w:p w14:paraId="67CCBD3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（一）与关联自然人发生的成交金额在30万元以上的交易；</w:t>
      </w:r>
    </w:p>
    <w:p w14:paraId="5DFCE25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（二）与关联法人发生的成交金额占上市公司最近一期经审计总资产或市值0.1%以上的交易，且超过300万元。</w:t>
      </w:r>
    </w:p>
    <w:p w14:paraId="6E640BA5">
      <w:pPr>
        <w:pStyle w:val="34"/>
        <w:numPr>
          <w:ilvl w:val="0"/>
          <w:numId w:val="32"/>
        </w:numPr>
        <w:spacing w:line="560" w:lineRule="exact"/>
        <w:ind w:left="0" w:firstLine="640"/>
        <w:rPr>
          <w:rFonts w:hint="eastAsia" w:ascii="仿宋_GB2312" w:hAnsi="宋体"/>
          <w:sz w:val="32"/>
          <w:szCs w:val="32"/>
        </w:rPr>
      </w:pPr>
      <w:r>
        <w:rPr>
          <w:rFonts w:hint="eastAsia" w:ascii="仿宋_GB2312" w:hAnsi="宋体"/>
          <w:sz w:val="32"/>
          <w:szCs w:val="32"/>
        </w:rPr>
        <w:t>上市公司与关联人发生的交易金额（提供担保除外）占上市公司最近一期经审计总资产或市值</w:t>
      </w:r>
      <w:r>
        <w:rPr>
          <w:rFonts w:ascii="仿宋_GB2312" w:hAnsi="宋体"/>
          <w:sz w:val="32"/>
          <w:szCs w:val="32"/>
        </w:rPr>
        <w:t>1%</w:t>
      </w:r>
      <w:r>
        <w:rPr>
          <w:rFonts w:hint="eastAsia" w:ascii="仿宋_GB2312" w:hAnsi="宋体"/>
          <w:sz w:val="32"/>
          <w:szCs w:val="32"/>
        </w:rPr>
        <w:t>以上的交易，且超过3000万元，应当比照第7</w:t>
      </w:r>
      <w:r>
        <w:rPr>
          <w:rFonts w:ascii="仿宋_GB2312" w:hAnsi="宋体"/>
          <w:sz w:val="32"/>
          <w:szCs w:val="32"/>
        </w:rPr>
        <w:t>.</w:t>
      </w:r>
      <w:r>
        <w:rPr>
          <w:rFonts w:hint="eastAsia" w:ascii="仿宋_GB2312" w:hAnsi="宋体"/>
          <w:sz w:val="32"/>
          <w:szCs w:val="32"/>
        </w:rPr>
        <w:t>1.9条的规定，提供评估报告或审计报告，并提交股东会审议。</w:t>
      </w:r>
    </w:p>
    <w:p w14:paraId="323ECAF4">
      <w:pPr>
        <w:pStyle w:val="34"/>
        <w:spacing w:line="560" w:lineRule="exact"/>
        <w:ind w:firstLine="640"/>
        <w:rPr>
          <w:rFonts w:hint="eastAsia" w:ascii="仿宋_GB2312" w:hAnsi="宋体"/>
          <w:sz w:val="32"/>
          <w:szCs w:val="32"/>
        </w:rPr>
      </w:pPr>
      <w:r>
        <w:rPr>
          <w:rFonts w:hint="eastAsia" w:ascii="仿宋_GB2312" w:hAnsi="宋体"/>
          <w:sz w:val="32"/>
          <w:szCs w:val="32"/>
        </w:rPr>
        <w:t>与日常经营相关的关联交易可免于审计或者评估。</w:t>
      </w:r>
    </w:p>
    <w:p w14:paraId="68CBA40E">
      <w:pPr>
        <w:pStyle w:val="34"/>
        <w:spacing w:line="560" w:lineRule="exact"/>
        <w:ind w:firstLine="640"/>
        <w:rPr>
          <w:rFonts w:hint="eastAsia" w:ascii="仿宋_GB2312" w:hAnsi="宋体"/>
          <w:sz w:val="32"/>
          <w:szCs w:val="32"/>
        </w:rPr>
      </w:pPr>
      <w:r>
        <w:rPr>
          <w:rFonts w:hint="eastAsia" w:ascii="仿宋_GB2312" w:hAnsi="宋体"/>
          <w:sz w:val="32"/>
          <w:szCs w:val="32"/>
        </w:rPr>
        <w:t>上市公司与关联人共同出资设立公司，上市公司出资额达到本条第一款规定的标准，如果所有出资方均全部以现金出资，且按照出资额比例确定各方在所设立公司的股权比例的，可以豁免适用提交股东会审议的规定。</w:t>
      </w:r>
    </w:p>
    <w:p w14:paraId="5D38DE4E">
      <w:pPr>
        <w:pStyle w:val="34"/>
        <w:numPr>
          <w:ilvl w:val="0"/>
          <w:numId w:val="32"/>
        </w:numPr>
        <w:spacing w:line="560" w:lineRule="exact"/>
        <w:ind w:left="0" w:firstLine="640"/>
        <w:rPr>
          <w:rFonts w:hint="eastAsia" w:ascii="仿宋_GB2312" w:hAnsi="宋体"/>
          <w:sz w:val="32"/>
          <w:szCs w:val="32"/>
        </w:rPr>
      </w:pPr>
      <w:r>
        <w:rPr>
          <w:rFonts w:ascii="仿宋_GB2312" w:hAnsi="宋体"/>
          <w:sz w:val="32"/>
          <w:szCs w:val="32"/>
        </w:rPr>
        <w:t>上市公司为关联人提供担保的，除应当经全体非关联董事的过半数审议通过外，还应当经出席董事会会议的非关联董事的三分之二以上董事审议同意并作出决议，并提交股东会审议。</w:t>
      </w:r>
    </w:p>
    <w:p w14:paraId="61B6D412">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上市公司为控股股东、实际控制人及其关联方提供担保的，控股股东、实际控制人及其关联方应当提供反担保。</w:t>
      </w:r>
    </w:p>
    <w:p w14:paraId="432F7F0B">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公司因交易或者关联交易导致被担保方成为公司的关联人，在实施该交易或者关联交易的同时，应当就存续的关联担保履行相应审议程序和信息披露义务。</w:t>
      </w:r>
    </w:p>
    <w:p w14:paraId="1CF79E9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董事会或者股东会未审议通过前款规定的关联担保事项的，交易各方应当采取提前终止担保等有效措施。</w:t>
      </w:r>
    </w:p>
    <w:p w14:paraId="16A173DA">
      <w:pPr>
        <w:pStyle w:val="34"/>
        <w:numPr>
          <w:ilvl w:val="0"/>
          <w:numId w:val="32"/>
        </w:numPr>
        <w:spacing w:line="560" w:lineRule="exact"/>
        <w:ind w:left="0" w:firstLine="640"/>
        <w:rPr>
          <w:rFonts w:hint="eastAsia" w:ascii="仿宋_GB2312" w:hAnsi="宋体"/>
          <w:kern w:val="28"/>
          <w:sz w:val="32"/>
          <w:szCs w:val="32"/>
        </w:rPr>
      </w:pPr>
      <w:r>
        <w:rPr>
          <w:rFonts w:ascii="仿宋_GB2312" w:hAnsi="宋体"/>
          <w:kern w:val="28"/>
          <w:sz w:val="32"/>
          <w:szCs w:val="32"/>
        </w:rPr>
        <w:t>上市公司不得为关联人提供财务资助，但向非由上市公司控股股东、实际控制人控制的关联参股公司提供财务资助，且该参股公司的其他股东按出资比例提供同等条件财务资助的情形除外。</w:t>
      </w:r>
    </w:p>
    <w:p w14:paraId="45EB0D65">
      <w:pPr>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公司向前款规定的关联参股公司提供财务资助的，除应当经全体非关联董事的过半数审议通过外，还应当经出席董事会会议的非关联董事的三分之二以上董事审议通过，并提交股东会审议</w:t>
      </w:r>
      <w:r>
        <w:rPr>
          <w:rFonts w:hint="eastAsia" w:ascii="仿宋_GB2312" w:hAnsi="宋体" w:eastAsia="仿宋_GB2312"/>
          <w:sz w:val="32"/>
          <w:szCs w:val="32"/>
        </w:rPr>
        <w:t>。</w:t>
      </w:r>
    </w:p>
    <w:p w14:paraId="721AA22E">
      <w:pPr>
        <w:pStyle w:val="34"/>
        <w:numPr>
          <w:ilvl w:val="0"/>
          <w:numId w:val="32"/>
        </w:numPr>
        <w:spacing w:line="560" w:lineRule="exact"/>
        <w:ind w:left="0" w:firstLine="640"/>
        <w:rPr>
          <w:rFonts w:hint="eastAsia" w:ascii="仿宋_GB2312" w:hAnsi="宋体"/>
          <w:sz w:val="32"/>
          <w:szCs w:val="32"/>
        </w:rPr>
      </w:pPr>
      <w:r>
        <w:rPr>
          <w:rFonts w:hint="eastAsia" w:ascii="仿宋_GB2312" w:hAnsi="宋体"/>
          <w:kern w:val="28"/>
          <w:sz w:val="32"/>
          <w:szCs w:val="32"/>
        </w:rPr>
        <w:t>上市公司应当对下列交易，按照</w:t>
      </w:r>
      <w:r>
        <w:rPr>
          <w:rFonts w:hint="eastAsia" w:ascii="仿宋_GB2312" w:hAnsi="宋体"/>
          <w:sz w:val="32"/>
          <w:szCs w:val="32"/>
        </w:rPr>
        <w:t>连续12个月内累计计算的原则，分别适用第7.2.3条、第7.2.4条：</w:t>
      </w:r>
    </w:p>
    <w:p w14:paraId="7A0595BE">
      <w:pPr>
        <w:tabs>
          <w:tab w:val="left" w:pos="1260"/>
        </w:tabs>
        <w:spacing w:line="560" w:lineRule="exact"/>
        <w:ind w:firstLine="640" w:firstLineChars="200"/>
        <w:rPr>
          <w:rFonts w:ascii="仿宋_GB2312" w:eastAsia="仿宋_GB2312"/>
          <w:sz w:val="32"/>
          <w:szCs w:val="32"/>
        </w:rPr>
      </w:pPr>
      <w:r>
        <w:rPr>
          <w:rFonts w:hint="eastAsia" w:ascii="仿宋_GB2312" w:eastAsia="仿宋_GB2312"/>
          <w:sz w:val="32"/>
          <w:szCs w:val="32"/>
        </w:rPr>
        <w:t>（一）与同一关联人进行的交易；</w:t>
      </w:r>
    </w:p>
    <w:p w14:paraId="5C697DCB">
      <w:pPr>
        <w:tabs>
          <w:tab w:val="left" w:pos="1260"/>
        </w:tabs>
        <w:spacing w:line="560" w:lineRule="exact"/>
        <w:ind w:firstLine="640" w:firstLineChars="200"/>
        <w:rPr>
          <w:rFonts w:ascii="仿宋_GB2312" w:eastAsia="仿宋_GB2312"/>
          <w:kern w:val="28"/>
          <w:sz w:val="32"/>
          <w:szCs w:val="32"/>
          <w:shd w:val="pct10" w:color="auto" w:fill="FFFFFF"/>
        </w:rPr>
      </w:pPr>
      <w:r>
        <w:rPr>
          <w:rFonts w:hint="eastAsia" w:ascii="仿宋_GB2312" w:eastAsia="仿宋_GB2312"/>
          <w:sz w:val="32"/>
          <w:szCs w:val="32"/>
        </w:rPr>
        <w:t>（二）与不同关联人进行</w:t>
      </w:r>
      <w:r>
        <w:rPr>
          <w:rFonts w:hint="eastAsia" w:ascii="仿宋_GB2312" w:eastAsia="仿宋_GB2312"/>
          <w:bCs/>
          <w:sz w:val="32"/>
          <w:szCs w:val="32"/>
        </w:rPr>
        <w:t>的同一交易类别下标的相关</w:t>
      </w:r>
      <w:r>
        <w:rPr>
          <w:rFonts w:hint="eastAsia" w:ascii="仿宋_GB2312" w:eastAsia="仿宋_GB2312"/>
          <w:sz w:val="32"/>
          <w:szCs w:val="32"/>
        </w:rPr>
        <w:t>的交易。</w:t>
      </w:r>
    </w:p>
    <w:p w14:paraId="2716D34B">
      <w:pPr>
        <w:spacing w:line="560" w:lineRule="exact"/>
        <w:ind w:firstLine="640" w:firstLineChars="200"/>
        <w:rPr>
          <w:rFonts w:hint="eastAsia" w:ascii="仿宋_GB2312" w:hAnsi="宋体" w:eastAsia="仿宋_GB2312"/>
          <w:kern w:val="28"/>
          <w:sz w:val="32"/>
          <w:szCs w:val="32"/>
        </w:rPr>
      </w:pPr>
      <w:r>
        <w:rPr>
          <w:rFonts w:hint="eastAsia" w:ascii="仿宋_GB2312" w:eastAsia="仿宋_GB2312"/>
          <w:kern w:val="28"/>
          <w:sz w:val="32"/>
          <w:szCs w:val="32"/>
        </w:rPr>
        <w:t>上述同一关联人，包括与该关联人受同一主体控制，或者</w:t>
      </w:r>
      <w:r>
        <w:rPr>
          <w:rFonts w:hint="eastAsia" w:ascii="仿宋_GB2312" w:eastAsia="仿宋_GB2312"/>
          <w:bCs/>
          <w:kern w:val="28"/>
          <w:sz w:val="32"/>
          <w:szCs w:val="32"/>
        </w:rPr>
        <w:t>相互</w:t>
      </w:r>
      <w:r>
        <w:rPr>
          <w:rFonts w:hint="eastAsia" w:ascii="仿宋_GB2312" w:eastAsia="仿宋_GB2312"/>
          <w:kern w:val="28"/>
          <w:sz w:val="32"/>
          <w:szCs w:val="32"/>
        </w:rPr>
        <w:t>存在股权控制关系</w:t>
      </w:r>
      <w:r>
        <w:rPr>
          <w:rFonts w:hint="eastAsia" w:ascii="仿宋_GB2312" w:eastAsia="仿宋_GB2312"/>
          <w:bCs/>
          <w:kern w:val="28"/>
          <w:sz w:val="32"/>
          <w:szCs w:val="32"/>
        </w:rPr>
        <w:t>的其他关联人</w:t>
      </w:r>
      <w:r>
        <w:rPr>
          <w:rFonts w:hint="eastAsia" w:ascii="仿宋_GB2312" w:hAnsi="宋体" w:eastAsia="仿宋_GB2312"/>
          <w:kern w:val="28"/>
          <w:sz w:val="32"/>
          <w:szCs w:val="32"/>
        </w:rPr>
        <w:t>。</w:t>
      </w:r>
    </w:p>
    <w:p w14:paraId="36A19F83">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已经按照本章规定履行相关义务的，不再纳入累计计算范围。</w:t>
      </w:r>
    </w:p>
    <w:p w14:paraId="47791337">
      <w:pPr>
        <w:pStyle w:val="34"/>
        <w:numPr>
          <w:ilvl w:val="0"/>
          <w:numId w:val="32"/>
        </w:numPr>
        <w:spacing w:line="560" w:lineRule="exact"/>
        <w:ind w:left="0" w:firstLine="640"/>
        <w:rPr>
          <w:rFonts w:hint="eastAsia" w:ascii="仿宋_GB2312" w:hAnsi="宋体"/>
          <w:kern w:val="28"/>
          <w:sz w:val="32"/>
          <w:szCs w:val="32"/>
        </w:rPr>
      </w:pPr>
      <w:r>
        <w:rPr>
          <w:rFonts w:hint="eastAsia" w:ascii="仿宋_GB2312" w:hAnsi="宋体"/>
          <w:kern w:val="28"/>
          <w:sz w:val="32"/>
          <w:szCs w:val="32"/>
        </w:rPr>
        <w:t>上市公司与关联人进行日常关联交易时，按照下列规定披露和履行审议程序：</w:t>
      </w:r>
    </w:p>
    <w:p w14:paraId="045F2F9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（一）上市公司可以按类别合理预计日常关联交易年度金额，履行审议程序并披露；实际执行超出预计金额的，应当按照超出金额重新履行审议程序并披露；</w:t>
      </w:r>
    </w:p>
    <w:p w14:paraId="20AEFA6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（二）上市公司年度报告和半年度报告应当分类汇总披露日常关联交易；</w:t>
      </w:r>
    </w:p>
    <w:p w14:paraId="01C6FD0C">
      <w:pPr>
        <w:spacing w:line="560" w:lineRule="exact"/>
        <w:ind w:firstLine="640" w:firstLineChars="200"/>
        <w:rPr>
          <w:rFonts w:ascii="仿宋_GB2312" w:eastAsia="仿宋_GB2312"/>
          <w:sz w:val="32"/>
          <w:szCs w:val="32"/>
        </w:rPr>
      </w:pPr>
      <w:r>
        <w:rPr>
          <w:rFonts w:hint="eastAsia" w:ascii="仿宋_GB2312" w:hAnsi="宋体" w:eastAsia="仿宋_GB2312"/>
          <w:kern w:val="28"/>
          <w:sz w:val="32"/>
          <w:szCs w:val="32"/>
        </w:rPr>
        <w:t>（三）上市公司与关联人签订的日常关联交易协议期限超过3年的，应当每3年重新履行相关审议程序和披露义务。</w:t>
      </w:r>
    </w:p>
    <w:p w14:paraId="11A4F325">
      <w:pPr>
        <w:pStyle w:val="34"/>
        <w:numPr>
          <w:ilvl w:val="0"/>
          <w:numId w:val="32"/>
        </w:numPr>
        <w:spacing w:line="560" w:lineRule="exact"/>
        <w:ind w:left="0" w:firstLine="640"/>
        <w:rPr>
          <w:rFonts w:hint="eastAsia" w:ascii="仿宋_GB2312" w:hAnsi="宋体"/>
          <w:sz w:val="32"/>
          <w:szCs w:val="32"/>
        </w:rPr>
      </w:pPr>
      <w:r>
        <w:rPr>
          <w:rFonts w:hint="eastAsia" w:ascii="仿宋_GB2312" w:hAnsi="宋体"/>
          <w:sz w:val="32"/>
          <w:szCs w:val="32"/>
        </w:rPr>
        <w:t>上市公司达到披露标准的关联交易，应当经全体独立董事过半数同意后，提交董事会审议并及时披露。</w:t>
      </w:r>
    </w:p>
    <w:p w14:paraId="384B54DA">
      <w:pPr>
        <w:pStyle w:val="34"/>
        <w:numPr>
          <w:ilvl w:val="0"/>
          <w:numId w:val="32"/>
        </w:numPr>
        <w:spacing w:line="560" w:lineRule="exact"/>
        <w:ind w:left="0" w:firstLine="640"/>
        <w:rPr>
          <w:rFonts w:hint="eastAsia" w:ascii="仿宋_GB2312" w:hAnsi="宋体"/>
          <w:sz w:val="32"/>
          <w:szCs w:val="32"/>
        </w:rPr>
      </w:pPr>
      <w:r>
        <w:rPr>
          <w:rFonts w:hint="eastAsia" w:ascii="仿宋_GB2312" w:hAnsi="宋体"/>
          <w:sz w:val="32"/>
          <w:szCs w:val="32"/>
        </w:rPr>
        <w:t>上市公司董事会审议关联交易事项的，关联董事应当回避表决，并不得代理其他董事行使表决权，其表决权不计入表决权总数。</w:t>
      </w:r>
    </w:p>
    <w:p w14:paraId="3F742C1C">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董事会会议应当由过半数的非关联董事出席，所作决议须经非关联董事过半数通过。出席董事会会议的非关联董事人数不足3人的，公司应当将交易事项提交股东会审议。</w:t>
      </w:r>
    </w:p>
    <w:p w14:paraId="5902263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上市公司股东会审议关联交易事项时，关联股东应当回避表决，并不得代理其他股东行使表决权。</w:t>
      </w:r>
    </w:p>
    <w:p w14:paraId="25A0DA6E">
      <w:pPr>
        <w:pStyle w:val="34"/>
        <w:numPr>
          <w:ilvl w:val="0"/>
          <w:numId w:val="32"/>
        </w:numPr>
        <w:spacing w:line="560" w:lineRule="exact"/>
        <w:ind w:left="0" w:firstLine="640"/>
        <w:rPr>
          <w:rFonts w:hint="eastAsia" w:ascii="仿宋_GB2312" w:hAnsi="宋体"/>
          <w:sz w:val="32"/>
          <w:szCs w:val="32"/>
        </w:rPr>
      </w:pPr>
      <w:r>
        <w:rPr>
          <w:rFonts w:hint="eastAsia" w:ascii="仿宋_GB2312" w:hAnsi="宋体"/>
          <w:sz w:val="32"/>
          <w:szCs w:val="32"/>
        </w:rPr>
        <w:t>上市公司与关联人发生的下列交易，可以免予按照关联交易的方式审议和披露：</w:t>
      </w:r>
    </w:p>
    <w:p w14:paraId="55500BFE">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（一）一方以现金方式认购另一方向不特定对象发行的股票、可转换公司债券或者其他衍生品种、公开发行公司债券（含企业债券）；</w:t>
      </w:r>
    </w:p>
    <w:p w14:paraId="50526E5B">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（二）一方作为承销团成员承销另一方向不特定对象发行的股票、可转换公司债券或者其他衍生品种、公开发行公司债券（含企业债券）；</w:t>
      </w:r>
    </w:p>
    <w:p w14:paraId="7046AD26">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（三）一方依据另一方股东会决议领取股息、红利或者薪酬；</w:t>
      </w:r>
    </w:p>
    <w:p w14:paraId="2426DCEA">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（四）一方参与另一方公开招标或者拍卖，但是招标或者拍卖难以形成公允价格的除外；</w:t>
      </w:r>
    </w:p>
    <w:p w14:paraId="645BA5BD">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（五）上市公司单方面获得利益的交易，包括受赠现金资产、获得债务减免、接受担保和财务资助等；</w:t>
      </w:r>
    </w:p>
    <w:p w14:paraId="12EF972E">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（六）关联交易定价为国家规定；</w:t>
      </w:r>
    </w:p>
    <w:p w14:paraId="1E434A44">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（七）关联人向上市公司提供资金，利率水平不高于中国人民银行规定的贷款市场报价利率，且上市公司对该项财务资助无相应担保；</w:t>
      </w:r>
    </w:p>
    <w:p w14:paraId="1212E057">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（八）上市公司按与非关联人同等交易条件，向董事、高级管理人员提供产品和服务；</w:t>
      </w:r>
    </w:p>
    <w:p w14:paraId="4D4E750A">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（九）本所认定的其他交易。</w:t>
      </w:r>
    </w:p>
    <w:p w14:paraId="2C66967A">
      <w:pPr>
        <w:pStyle w:val="34"/>
        <w:numPr>
          <w:ilvl w:val="0"/>
          <w:numId w:val="32"/>
        </w:numPr>
        <w:spacing w:line="560" w:lineRule="exact"/>
        <w:ind w:left="0" w:firstLine="640"/>
        <w:rPr>
          <w:rFonts w:hint="eastAsia" w:ascii="仿宋_GB2312" w:hAnsi="宋体"/>
          <w:sz w:val="32"/>
          <w:szCs w:val="32"/>
        </w:rPr>
      </w:pPr>
      <w:r>
        <w:rPr>
          <w:rFonts w:hint="eastAsia" w:ascii="仿宋_GB2312" w:hAnsi="宋体"/>
          <w:sz w:val="32"/>
          <w:szCs w:val="32"/>
        </w:rPr>
        <w:t>本所可以根据实质重于形式的原则，将上市公司与相关方的交易认定为关联交易。上市公司应当按照第</w:t>
      </w:r>
      <w:r>
        <w:rPr>
          <w:rFonts w:ascii="仿宋_GB2312" w:hAnsi="宋体"/>
          <w:sz w:val="32"/>
          <w:szCs w:val="32"/>
        </w:rPr>
        <w:t>7.2.3</w:t>
      </w:r>
      <w:r>
        <w:rPr>
          <w:rFonts w:hint="eastAsia" w:ascii="仿宋_GB2312" w:hAnsi="宋体"/>
          <w:sz w:val="32"/>
          <w:szCs w:val="32"/>
        </w:rPr>
        <w:t>条或者第</w:t>
      </w:r>
      <w:r>
        <w:rPr>
          <w:rFonts w:ascii="仿宋_GB2312" w:hAnsi="宋体"/>
          <w:sz w:val="32"/>
          <w:szCs w:val="32"/>
        </w:rPr>
        <w:t>7.2.4</w:t>
      </w:r>
      <w:r>
        <w:rPr>
          <w:rFonts w:hint="eastAsia" w:ascii="仿宋_GB2312" w:hAnsi="宋体"/>
          <w:sz w:val="32"/>
          <w:szCs w:val="32"/>
        </w:rPr>
        <w:t>条的规定履行披露义务和审议程序。</w:t>
      </w:r>
    </w:p>
    <w:p w14:paraId="6E8AA780">
      <w:pPr>
        <w:pStyle w:val="34"/>
        <w:numPr>
          <w:ilvl w:val="0"/>
          <w:numId w:val="32"/>
        </w:numPr>
        <w:spacing w:line="560" w:lineRule="exact"/>
        <w:ind w:left="0" w:firstLine="640"/>
        <w:rPr>
          <w:rFonts w:hint="eastAsia" w:ascii="仿宋_GB2312" w:hAnsi="宋体"/>
          <w:sz w:val="32"/>
          <w:szCs w:val="32"/>
        </w:rPr>
      </w:pPr>
      <w:r>
        <w:rPr>
          <w:rFonts w:hint="eastAsia" w:ascii="仿宋_GB2312" w:hAnsi="宋体"/>
          <w:sz w:val="32"/>
          <w:szCs w:val="32"/>
        </w:rPr>
        <w:t>上市公司计算披露或审议关联交易的相关金额，本节没有规定的，适用本章第一节的规定。</w:t>
      </w:r>
    </w:p>
    <w:p w14:paraId="2B42AFB8">
      <w:pPr>
        <w:tabs>
          <w:tab w:val="left" w:pos="1560"/>
        </w:tabs>
        <w:snapToGrid w:val="0"/>
        <w:spacing w:line="560" w:lineRule="exact"/>
        <w:rPr>
          <w:rFonts w:ascii="仿宋_GB2312" w:eastAsia="仿宋_GB2312"/>
          <w:sz w:val="32"/>
          <w:szCs w:val="32"/>
        </w:rPr>
      </w:pPr>
    </w:p>
    <w:p w14:paraId="46BB558E">
      <w:pPr>
        <w:pStyle w:val="81"/>
        <w:tabs>
          <w:tab w:val="left" w:pos="142"/>
          <w:tab w:val="clear" w:pos="992"/>
        </w:tabs>
        <w:ind w:firstLine="643"/>
        <w:rPr>
          <w:rFonts w:hint="eastAsia"/>
          <w:b/>
          <w:bCs/>
        </w:rPr>
      </w:pPr>
      <w:bookmarkStart w:id="645" w:name="_Toc28582"/>
      <w:bookmarkStart w:id="646" w:name="_Toc21300"/>
      <w:bookmarkStart w:id="647" w:name="_Toc170284241"/>
      <w:r>
        <w:rPr>
          <w:rFonts w:hint="eastAsia"/>
          <w:b/>
          <w:bCs/>
        </w:rPr>
        <w:t>应当披露的行业信息和经营风险</w:t>
      </w:r>
      <w:bookmarkEnd w:id="645"/>
      <w:bookmarkEnd w:id="646"/>
      <w:bookmarkEnd w:id="647"/>
    </w:p>
    <w:p w14:paraId="7C5B6865">
      <w:pPr>
        <w:pStyle w:val="36"/>
        <w:numPr>
          <w:ilvl w:val="1"/>
          <w:numId w:val="1"/>
        </w:numPr>
        <w:ind w:left="0" w:firstLine="643"/>
        <w:rPr>
          <w:rFonts w:hint="eastAsia"/>
        </w:rPr>
      </w:pPr>
      <w:bookmarkStart w:id="648" w:name="_Toc21884"/>
      <w:bookmarkStart w:id="649" w:name="_Toc170284242"/>
      <w:bookmarkStart w:id="650" w:name="_Toc7644"/>
      <w:r>
        <w:rPr>
          <w:rFonts w:hint="eastAsia"/>
        </w:rPr>
        <w:t>行业信息</w:t>
      </w:r>
      <w:bookmarkEnd w:id="648"/>
      <w:bookmarkEnd w:id="649"/>
      <w:bookmarkEnd w:id="650"/>
    </w:p>
    <w:p w14:paraId="6DCD44B9">
      <w:pPr>
        <w:numPr>
          <w:ilvl w:val="2"/>
          <w:numId w:val="33"/>
        </w:numPr>
        <w:tabs>
          <w:tab w:val="left" w:pos="0"/>
          <w:tab w:val="left" w:pos="1418"/>
          <w:tab w:val="clear" w:pos="1107"/>
        </w:tabs>
        <w:autoSpaceDE w:val="0"/>
        <w:autoSpaceDN w:val="0"/>
        <w:adjustRightInd w:val="0"/>
        <w:snapToGrid w:val="0"/>
        <w:spacing w:line="560" w:lineRule="exact"/>
        <w:ind w:left="0" w:firstLine="640" w:firstLineChars="200"/>
        <w:rPr>
          <w:rFonts w:hint="eastAsia" w:ascii="仿宋_GB2312" w:hAnsi="宋体" w:eastAsia="仿宋_GB2312" w:cs="宋体"/>
          <w:kern w:val="0"/>
          <w:sz w:val="32"/>
          <w:szCs w:val="32"/>
        </w:rPr>
      </w:pPr>
      <w:r>
        <w:rPr>
          <w:rFonts w:hint="eastAsia" w:eastAsia="仿宋_GB2312"/>
          <w:kern w:val="0"/>
          <w:sz w:val="32"/>
          <w:szCs w:val="32"/>
        </w:rPr>
        <w:t>上市公司应当主动披露对股票交易价格或者投资者决策有重大影响的行业信息</w:t>
      </w:r>
      <w:r>
        <w:rPr>
          <w:rFonts w:hint="eastAsia" w:ascii="仿宋_GB2312" w:hAnsi="宋体" w:eastAsia="仿宋_GB2312"/>
          <w:sz w:val="32"/>
          <w:szCs w:val="32"/>
        </w:rPr>
        <w:t>。</w:t>
      </w:r>
    </w:p>
    <w:p w14:paraId="7B004918">
      <w:pPr>
        <w:pStyle w:val="34"/>
        <w:spacing w:line="560" w:lineRule="exact"/>
        <w:ind w:firstLine="640"/>
        <w:rPr>
          <w:sz w:val="32"/>
          <w:szCs w:val="32"/>
        </w:rPr>
      </w:pPr>
      <w:r>
        <w:rPr>
          <w:rFonts w:hint="eastAsia"/>
          <w:sz w:val="32"/>
          <w:szCs w:val="32"/>
        </w:rPr>
        <w:t>上市公司根据行业分类归属，参照适用本所制定的行业信息披露指引。</w:t>
      </w:r>
    </w:p>
    <w:p w14:paraId="2DE42197">
      <w:pPr>
        <w:numPr>
          <w:ilvl w:val="2"/>
          <w:numId w:val="33"/>
        </w:numPr>
        <w:tabs>
          <w:tab w:val="left" w:pos="0"/>
          <w:tab w:val="left" w:pos="1418"/>
          <w:tab w:val="clear" w:pos="1107"/>
        </w:tabs>
        <w:autoSpaceDE w:val="0"/>
        <w:autoSpaceDN w:val="0"/>
        <w:adjustRightInd w:val="0"/>
        <w:snapToGrid w:val="0"/>
        <w:spacing w:line="560" w:lineRule="exact"/>
        <w:ind w:left="0"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上市公司应当在年度报告中，结合其所属行业的政策环境和发展状况，披露下列行业信息： </w:t>
      </w:r>
    </w:p>
    <w:p w14:paraId="1213B69B">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（一）所处行业的基本特点、主要技术门槛，报告期内新技术、新产业、新业态、新模式的发展情况和未来发展趋势；</w:t>
      </w:r>
    </w:p>
    <w:p w14:paraId="79E553C0">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（二）核心竞争优势，核心经营团队和技术团队的竞争力分析，以及报告期内获得相关权利证书或者批准文件的核心技术储备；</w:t>
      </w:r>
    </w:p>
    <w:p w14:paraId="5FDD8815">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（三）当期研发支出金额及占销售收入的比例、研发支出的构成项目、费用化及资本化的金额及比重；</w:t>
      </w:r>
    </w:p>
    <w:p w14:paraId="66E3B6EA">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（四）在研产品或项目的进展或阶段性成果；研发项目预计总投资规模、应用前景以及可能存在的重大风险；</w:t>
      </w:r>
    </w:p>
    <w:p w14:paraId="308289F2">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（五）其他有助于投资者决策的行业信息。</w:t>
      </w:r>
    </w:p>
    <w:p w14:paraId="11552EB9">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上市公司可以在《企业会计准则》规定范围外，披露息税前利润、自由现金流等反映公司价值和行业核心竞争力的参考指标。</w:t>
      </w:r>
    </w:p>
    <w:p w14:paraId="67778C74">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本条第一款规定事项发生重大变化的，上市公司应当及时披露。</w:t>
      </w:r>
    </w:p>
    <w:p w14:paraId="6B90E17D">
      <w:pPr>
        <w:numPr>
          <w:ilvl w:val="2"/>
          <w:numId w:val="33"/>
        </w:numPr>
        <w:tabs>
          <w:tab w:val="left" w:pos="0"/>
          <w:tab w:val="left" w:pos="1418"/>
          <w:tab w:val="clear" w:pos="1107"/>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上市公司开展与主营业务行业不同的新业务，或者</w:t>
      </w:r>
      <w:r>
        <w:rPr>
          <w:rFonts w:hint="eastAsia" w:ascii="仿宋_GB2312" w:hAnsi="宋体" w:eastAsia="仿宋_GB2312" w:cs="宋体"/>
          <w:kern w:val="0"/>
          <w:sz w:val="32"/>
          <w:szCs w:val="32"/>
        </w:rPr>
        <w:t>进行可能导致公司业务发生重大变化的收购或资产处置等交易</w:t>
      </w:r>
      <w:r>
        <w:rPr>
          <w:rFonts w:hint="eastAsia" w:ascii="仿宋_GB2312" w:hAnsi="宋体" w:eastAsia="仿宋_GB2312"/>
          <w:sz w:val="32"/>
          <w:szCs w:val="32"/>
        </w:rPr>
        <w:t>，应当及时披露下列信息：</w:t>
      </w:r>
    </w:p>
    <w:p w14:paraId="6D36A288">
      <w:pPr>
        <w:pStyle w:val="34"/>
        <w:numPr>
          <w:ilvl w:val="0"/>
          <w:numId w:val="34"/>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原因及合理性，包括现有业务基本情况及重大风险，新业务与上市公司主营业务是否具备协同性等；</w:t>
      </w:r>
    </w:p>
    <w:p w14:paraId="5F7AA059">
      <w:pPr>
        <w:pStyle w:val="34"/>
        <w:numPr>
          <w:ilvl w:val="0"/>
          <w:numId w:val="34"/>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公司准备情况，包括在业务、资金、技术、人才等方面的储备，以及开展新业务对公司财务状况、现有业务的影响；</w:t>
      </w:r>
    </w:p>
    <w:p w14:paraId="63728951">
      <w:pPr>
        <w:pStyle w:val="34"/>
        <w:numPr>
          <w:ilvl w:val="0"/>
          <w:numId w:val="34"/>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新业务的行业情况，包括所依赖的技术水平、</w:t>
      </w:r>
      <w:r>
        <w:rPr>
          <w:rFonts w:hint="eastAsia" w:ascii="仿宋_GB2312" w:hAnsi="宋体" w:cs="宋体"/>
          <w:sz w:val="32"/>
          <w:szCs w:val="32"/>
        </w:rPr>
        <w:t>研发进展、商业化情况、</w:t>
      </w:r>
      <w:r>
        <w:rPr>
          <w:rFonts w:hint="eastAsia" w:ascii="仿宋_GB2312" w:hAnsi="宋体"/>
          <w:sz w:val="32"/>
          <w:szCs w:val="32"/>
        </w:rPr>
        <w:t>市场成熟度、政策环境及市场竞争等；</w:t>
      </w:r>
    </w:p>
    <w:p w14:paraId="32831068">
      <w:pPr>
        <w:pStyle w:val="34"/>
        <w:numPr>
          <w:ilvl w:val="0"/>
          <w:numId w:val="34"/>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新业务的管理情况，包括开展新业务后，公司实际控制人对公司的控制情况是否发生变化，公司能否控制新业务；</w:t>
      </w:r>
    </w:p>
    <w:p w14:paraId="44F4E02E">
      <w:pPr>
        <w:pStyle w:val="34"/>
        <w:numPr>
          <w:ilvl w:val="0"/>
          <w:numId w:val="34"/>
        </w:numPr>
        <w:tabs>
          <w:tab w:val="left" w:pos="1418"/>
        </w:tabs>
        <w:spacing w:line="560" w:lineRule="exact"/>
        <w:ind w:left="0" w:firstLine="640"/>
        <w:rPr>
          <w:rFonts w:hint="eastAsia" w:ascii="仿宋_GB2312" w:hAnsi="宋体"/>
          <w:sz w:val="32"/>
          <w:szCs w:val="32"/>
        </w:rPr>
      </w:pPr>
      <w:r>
        <w:rPr>
          <w:rFonts w:hint="eastAsia" w:ascii="仿宋_GB2312" w:hAnsi="宋体" w:cs="宋体"/>
          <w:sz w:val="32"/>
          <w:szCs w:val="32"/>
        </w:rPr>
        <w:t>新业务审批情况，包括已经取得或者尚待有关部门审批的说明（如适用）；</w:t>
      </w:r>
    </w:p>
    <w:p w14:paraId="605AB1CD">
      <w:pPr>
        <w:pStyle w:val="34"/>
        <w:numPr>
          <w:ilvl w:val="0"/>
          <w:numId w:val="34"/>
        </w:numPr>
        <w:tabs>
          <w:tab w:val="left" w:pos="1418"/>
        </w:tabs>
        <w:spacing w:line="560" w:lineRule="exact"/>
        <w:ind w:left="0" w:firstLine="640"/>
        <w:rPr>
          <w:rFonts w:hint="eastAsia" w:ascii="仿宋_GB2312" w:hAnsi="宋体"/>
          <w:sz w:val="32"/>
          <w:szCs w:val="32"/>
        </w:rPr>
      </w:pPr>
      <w:r>
        <w:rPr>
          <w:rFonts w:ascii="仿宋_GB2312" w:hAnsi="宋体"/>
          <w:sz w:val="32"/>
          <w:szCs w:val="32"/>
        </w:rPr>
        <w:t>新业务的风险提示</w:t>
      </w:r>
      <w:r>
        <w:rPr>
          <w:rFonts w:hint="eastAsia" w:ascii="仿宋_GB2312" w:hAnsi="宋体"/>
          <w:sz w:val="32"/>
          <w:szCs w:val="32"/>
        </w:rPr>
        <w:t>，包括上市公司经营风险、财务风险、新业务风险等；</w:t>
      </w:r>
    </w:p>
    <w:p w14:paraId="1D5E6E7C">
      <w:pPr>
        <w:pStyle w:val="34"/>
        <w:numPr>
          <w:ilvl w:val="0"/>
          <w:numId w:val="34"/>
        </w:numPr>
        <w:tabs>
          <w:tab w:val="left" w:pos="1418"/>
        </w:tabs>
        <w:spacing w:line="560" w:lineRule="exact"/>
        <w:ind w:left="0" w:firstLine="640"/>
        <w:rPr>
          <w:rFonts w:hint="eastAsia" w:ascii="仿宋_GB2312" w:hAnsi="宋体"/>
          <w:sz w:val="32"/>
          <w:szCs w:val="32"/>
        </w:rPr>
      </w:pPr>
      <w:r>
        <w:rPr>
          <w:rFonts w:hint="eastAsia" w:ascii="仿宋_GB2312" w:hAnsi="宋体"/>
          <w:sz w:val="32"/>
          <w:szCs w:val="32"/>
        </w:rPr>
        <w:t>本所或公司认为应当披露的其他重要内容。</w:t>
      </w:r>
    </w:p>
    <w:p w14:paraId="544233AC">
      <w:pPr>
        <w:numPr>
          <w:ilvl w:val="2"/>
          <w:numId w:val="33"/>
        </w:numPr>
        <w:tabs>
          <w:tab w:val="left" w:pos="0"/>
          <w:tab w:val="left" w:pos="1418"/>
          <w:tab w:val="clear" w:pos="1107"/>
        </w:tabs>
        <w:autoSpaceDE w:val="0"/>
        <w:autoSpaceDN w:val="0"/>
        <w:adjustRightInd w:val="0"/>
        <w:snapToGrid w:val="0"/>
        <w:spacing w:line="560" w:lineRule="exact"/>
        <w:ind w:left="0"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上市公司采用具体指标披露行业信息的，应当对其含义作出详细解释，说明计算依据和假定条件，保证指标的一致性。相关指标的计算依据、假定条件等发生变化的，应当予以说明。</w:t>
      </w:r>
    </w:p>
    <w:p w14:paraId="6F4CE332">
      <w:pPr>
        <w:pStyle w:val="34"/>
        <w:spacing w:line="560" w:lineRule="exact"/>
        <w:ind w:firstLine="640"/>
        <w:rPr>
          <w:sz w:val="32"/>
          <w:szCs w:val="32"/>
        </w:rPr>
      </w:pPr>
      <w:r>
        <w:rPr>
          <w:rFonts w:hint="eastAsia"/>
          <w:sz w:val="32"/>
          <w:szCs w:val="32"/>
        </w:rPr>
        <w:t>引用相关数据、资料，应当保证充分可靠、客观权威，并注明来源。</w:t>
      </w:r>
    </w:p>
    <w:p w14:paraId="191844E3">
      <w:pPr>
        <w:pStyle w:val="36"/>
        <w:numPr>
          <w:ilvl w:val="1"/>
          <w:numId w:val="1"/>
        </w:numPr>
        <w:ind w:left="0" w:firstLine="643"/>
        <w:rPr>
          <w:rFonts w:hint="eastAsia"/>
        </w:rPr>
      </w:pPr>
      <w:bookmarkStart w:id="651" w:name="_Toc9691"/>
      <w:bookmarkStart w:id="652" w:name="_Toc18021"/>
      <w:bookmarkStart w:id="653" w:name="_Toc170284243"/>
      <w:r>
        <w:rPr>
          <w:rFonts w:hint="eastAsia"/>
        </w:rPr>
        <w:t>经营风险</w:t>
      </w:r>
      <w:bookmarkEnd w:id="651"/>
      <w:bookmarkEnd w:id="652"/>
      <w:bookmarkEnd w:id="653"/>
    </w:p>
    <w:p w14:paraId="6159B0C5">
      <w:pPr>
        <w:numPr>
          <w:ilvl w:val="2"/>
          <w:numId w:val="35"/>
        </w:numPr>
        <w:tabs>
          <w:tab w:val="left" w:pos="1418"/>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上市公司尚未盈利的，应当在年度报告显著位置披露公司核心竞争力和经营活动面临的重大风险。</w:t>
      </w:r>
    </w:p>
    <w:p w14:paraId="13261B07">
      <w:pPr>
        <w:tabs>
          <w:tab w:val="left" w:pos="1418"/>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上市公司应当结合行业特点，充分披露尚未盈利的原因，以及对公司现金流、业务拓展、人才吸引、团队稳定性、研发投入、战略性投入、生产经营可持续性等方面的影响。</w:t>
      </w:r>
    </w:p>
    <w:p w14:paraId="0328DA0E">
      <w:pPr>
        <w:numPr>
          <w:ilvl w:val="2"/>
          <w:numId w:val="35"/>
        </w:numPr>
        <w:tabs>
          <w:tab w:val="left" w:pos="0"/>
          <w:tab w:val="left" w:pos="1418"/>
          <w:tab w:val="clear" w:pos="1107"/>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上市公司年度净利润或营业收入与上年同期相比下降50%以上，或者净利润为负值的，应当在年度报告中披露下列信息：</w:t>
      </w:r>
    </w:p>
    <w:p w14:paraId="6A10DCE4">
      <w:pPr>
        <w:pStyle w:val="34"/>
        <w:numPr>
          <w:ilvl w:val="3"/>
          <w:numId w:val="1"/>
        </w:numPr>
        <w:tabs>
          <w:tab w:val="left" w:pos="0"/>
          <w:tab w:val="left" w:pos="1276"/>
          <w:tab w:val="left" w:pos="1418"/>
          <w:tab w:val="clear" w:pos="1980"/>
        </w:tabs>
        <w:autoSpaceDE w:val="0"/>
        <w:autoSpaceDN w:val="0"/>
        <w:adjustRightInd w:val="0"/>
        <w:snapToGrid w:val="0"/>
        <w:spacing w:line="560" w:lineRule="exact"/>
        <w:ind w:left="0" w:firstLine="640"/>
        <w:rPr>
          <w:rFonts w:ascii="仿宋_GB2312"/>
          <w:sz w:val="32"/>
          <w:szCs w:val="32"/>
        </w:rPr>
      </w:pPr>
      <w:r>
        <w:rPr>
          <w:rFonts w:hint="eastAsia" w:ascii="仿宋_GB2312" w:hAnsi="宋体" w:cs="宋体"/>
          <w:sz w:val="32"/>
          <w:szCs w:val="32"/>
        </w:rPr>
        <w:t>业绩大幅下滑或者亏损的具体原因；</w:t>
      </w:r>
    </w:p>
    <w:p w14:paraId="6E30B5FB">
      <w:pPr>
        <w:pStyle w:val="34"/>
        <w:numPr>
          <w:ilvl w:val="3"/>
          <w:numId w:val="1"/>
        </w:numPr>
        <w:tabs>
          <w:tab w:val="left" w:pos="0"/>
          <w:tab w:val="left" w:pos="1276"/>
          <w:tab w:val="left" w:pos="1418"/>
          <w:tab w:val="clear" w:pos="1980"/>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主营业务、核心竞争力、主要财务指标是否发生重大不利变化，是否与行业趋势一致；</w:t>
      </w:r>
    </w:p>
    <w:p w14:paraId="7CB0E1F7">
      <w:pPr>
        <w:pStyle w:val="34"/>
        <w:numPr>
          <w:ilvl w:val="3"/>
          <w:numId w:val="1"/>
        </w:numPr>
        <w:tabs>
          <w:tab w:val="left" w:pos="0"/>
          <w:tab w:val="left" w:pos="1276"/>
          <w:tab w:val="left" w:pos="1418"/>
          <w:tab w:val="clear" w:pos="1980"/>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所处行业景气情况，是否存在产能过剩、持续衰退或者技术替代等情形；</w:t>
      </w:r>
    </w:p>
    <w:p w14:paraId="51B22C65">
      <w:pPr>
        <w:pStyle w:val="34"/>
        <w:numPr>
          <w:ilvl w:val="3"/>
          <w:numId w:val="1"/>
        </w:numPr>
        <w:tabs>
          <w:tab w:val="left" w:pos="0"/>
          <w:tab w:val="left" w:pos="1276"/>
          <w:tab w:val="left" w:pos="1418"/>
          <w:tab w:val="clear" w:pos="1980"/>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持续经营能力是否存在重大风险；</w:t>
      </w:r>
    </w:p>
    <w:p w14:paraId="16292353">
      <w:pPr>
        <w:pStyle w:val="34"/>
        <w:numPr>
          <w:ilvl w:val="3"/>
          <w:numId w:val="1"/>
        </w:numPr>
        <w:tabs>
          <w:tab w:val="left" w:pos="0"/>
          <w:tab w:val="left" w:pos="1276"/>
          <w:tab w:val="left" w:pos="1418"/>
          <w:tab w:val="clear" w:pos="1980"/>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对公司具有重大影响的其他信息。</w:t>
      </w:r>
    </w:p>
    <w:p w14:paraId="4A65BE61">
      <w:pPr>
        <w:numPr>
          <w:ilvl w:val="2"/>
          <w:numId w:val="35"/>
        </w:numPr>
        <w:tabs>
          <w:tab w:val="left" w:pos="0"/>
          <w:tab w:val="left" w:pos="1418"/>
          <w:tab w:val="clear" w:pos="1107"/>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上市公司应当在年度报告中，遵循关联性和重要性原则，识别并披露下列可能对公司核心竞争力、经营活动和未来发展产生重大不利影响的风险因素：</w:t>
      </w:r>
    </w:p>
    <w:p w14:paraId="2C177957">
      <w:pPr>
        <w:pStyle w:val="34"/>
        <w:numPr>
          <w:ilvl w:val="0"/>
          <w:numId w:val="36"/>
        </w:numPr>
        <w:tabs>
          <w:tab w:val="left" w:pos="1418"/>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核心竞争力风险，包括技术更迭、产品更新换代或竞争加剧导致市场占有率和用户规模下降，研发投入超出预期或进程未达预期，关键设备被淘汰等；</w:t>
      </w:r>
    </w:p>
    <w:p w14:paraId="523692AC">
      <w:pPr>
        <w:pStyle w:val="34"/>
        <w:numPr>
          <w:ilvl w:val="0"/>
          <w:numId w:val="36"/>
        </w:numPr>
        <w:tabs>
          <w:tab w:val="left" w:pos="1418"/>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经营风险，包括单一客户依赖、原材料价格上涨、产品或服务价格下降等；</w:t>
      </w:r>
    </w:p>
    <w:p w14:paraId="1FDB6699">
      <w:pPr>
        <w:pStyle w:val="34"/>
        <w:numPr>
          <w:ilvl w:val="0"/>
          <w:numId w:val="36"/>
        </w:numPr>
        <w:tabs>
          <w:tab w:val="left" w:pos="1418"/>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行业风险，包括行业出现周期性衰退、产能过剩、市场容量下滑或增长停滞、行业上下游供求关系发生重大不利变化等；</w:t>
      </w:r>
    </w:p>
    <w:p w14:paraId="482D062D">
      <w:pPr>
        <w:pStyle w:val="34"/>
        <w:numPr>
          <w:ilvl w:val="0"/>
          <w:numId w:val="36"/>
        </w:numPr>
        <w:tabs>
          <w:tab w:val="left" w:pos="1418"/>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宏观环境风险，包括相关法律、税收、外汇、贸易等政策发生重大不利变化；</w:t>
      </w:r>
    </w:p>
    <w:p w14:paraId="651D9815">
      <w:pPr>
        <w:pStyle w:val="34"/>
        <w:numPr>
          <w:ilvl w:val="0"/>
          <w:numId w:val="36"/>
        </w:numPr>
        <w:tabs>
          <w:tab w:val="left" w:pos="1418"/>
        </w:tabs>
        <w:autoSpaceDE w:val="0"/>
        <w:autoSpaceDN w:val="0"/>
        <w:adjustRightInd w:val="0"/>
        <w:snapToGrid w:val="0"/>
        <w:spacing w:line="560" w:lineRule="exact"/>
        <w:ind w:left="0" w:firstLine="640"/>
        <w:rPr>
          <w:rFonts w:ascii="仿宋_GB2312"/>
          <w:sz w:val="32"/>
          <w:szCs w:val="32"/>
        </w:rPr>
      </w:pPr>
      <w:r>
        <w:rPr>
          <w:rFonts w:hint="eastAsia" w:ascii="仿宋_GB2312"/>
          <w:sz w:val="32"/>
          <w:szCs w:val="32"/>
        </w:rPr>
        <w:t>其他重大风险。</w:t>
      </w:r>
    </w:p>
    <w:p w14:paraId="7359CA79">
      <w:pPr>
        <w:numPr>
          <w:ilvl w:val="2"/>
          <w:numId w:val="35"/>
        </w:numPr>
        <w:tabs>
          <w:tab w:val="left" w:pos="1418"/>
        </w:tabs>
        <w:autoSpaceDE w:val="0"/>
        <w:autoSpaceDN w:val="0"/>
        <w:adjustRightInd w:val="0"/>
        <w:snapToGrid w:val="0"/>
        <w:spacing w:line="560" w:lineRule="exact"/>
        <w:ind w:left="0" w:firstLine="640" w:firstLineChars="200"/>
        <w:rPr>
          <w:rFonts w:hint="eastAsia" w:ascii="仿宋_GB2312" w:hAnsi="仿宋" w:eastAsia="仿宋_GB2312"/>
          <w:sz w:val="32"/>
          <w:szCs w:val="32"/>
        </w:rPr>
      </w:pPr>
      <w:r>
        <w:rPr>
          <w:rFonts w:hint="eastAsia" w:ascii="仿宋_GB2312" w:hAnsi="仿宋" w:eastAsia="仿宋_GB2312"/>
          <w:sz w:val="32"/>
          <w:szCs w:val="32"/>
        </w:rPr>
        <w:t>上市公司发生下列重大风险事项的，应当及时披露其对公司核心竞争力和持续经营能力的具体影响：</w:t>
      </w:r>
    </w:p>
    <w:p w14:paraId="26785070">
      <w:pPr>
        <w:pStyle w:val="34"/>
        <w:numPr>
          <w:ilvl w:val="0"/>
          <w:numId w:val="37"/>
        </w:numPr>
        <w:spacing w:line="560" w:lineRule="exact"/>
        <w:ind w:left="0" w:firstLine="709" w:firstLineChars="0"/>
        <w:rPr>
          <w:rFonts w:ascii="仿宋_GB2312" w:hAnsi="Times New Roman"/>
          <w:sz w:val="32"/>
          <w:szCs w:val="32"/>
        </w:rPr>
      </w:pPr>
      <w:r>
        <w:rPr>
          <w:rFonts w:hint="eastAsia" w:ascii="仿宋_GB2312" w:hAnsi="Times New Roman"/>
          <w:sz w:val="32"/>
          <w:szCs w:val="32"/>
        </w:rPr>
        <w:t>国家政策、市场环境、贸易条件等外部宏观环境发生重大不利变化；</w:t>
      </w:r>
    </w:p>
    <w:p w14:paraId="4D738F2D">
      <w:pPr>
        <w:pStyle w:val="34"/>
        <w:numPr>
          <w:ilvl w:val="0"/>
          <w:numId w:val="37"/>
        </w:numPr>
        <w:spacing w:line="560" w:lineRule="exact"/>
        <w:ind w:left="0" w:firstLine="640"/>
        <w:rPr>
          <w:rFonts w:ascii="仿宋_GB2312" w:hAnsi="Times New Roman"/>
          <w:sz w:val="32"/>
          <w:szCs w:val="32"/>
        </w:rPr>
      </w:pPr>
      <w:r>
        <w:rPr>
          <w:rFonts w:hint="eastAsia" w:ascii="仿宋_GB2312" w:hAnsi="Times New Roman"/>
          <w:sz w:val="32"/>
          <w:szCs w:val="32"/>
        </w:rPr>
        <w:t>原材料采购价格、产品售价或市场容量出现重大不利变化，或者供销渠道、重要供应商或客户发生重大不利变化；</w:t>
      </w:r>
    </w:p>
    <w:p w14:paraId="233F589F">
      <w:pPr>
        <w:pStyle w:val="34"/>
        <w:numPr>
          <w:ilvl w:val="0"/>
          <w:numId w:val="37"/>
        </w:numPr>
        <w:spacing w:line="560" w:lineRule="exact"/>
        <w:ind w:left="0" w:firstLine="640"/>
        <w:rPr>
          <w:rFonts w:ascii="仿宋_GB2312" w:hAnsi="Times New Roman"/>
          <w:sz w:val="32"/>
          <w:szCs w:val="32"/>
        </w:rPr>
      </w:pPr>
      <w:r>
        <w:rPr>
          <w:rFonts w:hint="eastAsia" w:ascii="仿宋_GB2312"/>
          <w:sz w:val="32"/>
          <w:szCs w:val="32"/>
        </w:rPr>
        <w:t>核心技术人员离职；</w:t>
      </w:r>
    </w:p>
    <w:p w14:paraId="2DD13D59">
      <w:pPr>
        <w:pStyle w:val="34"/>
        <w:numPr>
          <w:ilvl w:val="0"/>
          <w:numId w:val="37"/>
        </w:numPr>
        <w:spacing w:line="560" w:lineRule="exact"/>
        <w:ind w:left="0" w:firstLine="640"/>
        <w:rPr>
          <w:rFonts w:ascii="仿宋_GB2312" w:hAnsi="Times New Roman"/>
          <w:sz w:val="32"/>
          <w:szCs w:val="32"/>
        </w:rPr>
      </w:pPr>
      <w:r>
        <w:rPr>
          <w:rFonts w:hint="eastAsia" w:ascii="仿宋_GB2312"/>
          <w:sz w:val="32"/>
          <w:szCs w:val="32"/>
        </w:rPr>
        <w:t>核心商标、专利、专有技术、</w:t>
      </w:r>
      <w:r>
        <w:rPr>
          <w:rFonts w:hint="eastAsia" w:ascii="仿宋_GB2312" w:hAnsi="Times New Roman"/>
          <w:sz w:val="32"/>
          <w:szCs w:val="32"/>
        </w:rPr>
        <w:t>特许经营权或者核心技术许可丧失、到期或者出现重大纠纷；</w:t>
      </w:r>
    </w:p>
    <w:p w14:paraId="673B66DD">
      <w:pPr>
        <w:pStyle w:val="34"/>
        <w:numPr>
          <w:ilvl w:val="0"/>
          <w:numId w:val="37"/>
        </w:numPr>
        <w:spacing w:line="560" w:lineRule="exact"/>
        <w:ind w:left="0" w:firstLine="640"/>
        <w:rPr>
          <w:rFonts w:ascii="仿宋_GB2312" w:hAnsi="Times New Roman"/>
          <w:sz w:val="32"/>
          <w:szCs w:val="32"/>
        </w:rPr>
      </w:pPr>
      <w:r>
        <w:rPr>
          <w:rFonts w:hint="eastAsia" w:ascii="仿宋_GB2312" w:hAnsi="Times New Roman"/>
          <w:sz w:val="32"/>
          <w:szCs w:val="32"/>
        </w:rPr>
        <w:t>主要产品、业务或者所依赖的基础技术研发失败或者被禁止使用；</w:t>
      </w:r>
    </w:p>
    <w:p w14:paraId="641BEBBD">
      <w:pPr>
        <w:pStyle w:val="34"/>
        <w:numPr>
          <w:ilvl w:val="0"/>
          <w:numId w:val="37"/>
        </w:numPr>
        <w:spacing w:line="560" w:lineRule="exact"/>
        <w:ind w:left="0" w:firstLine="640"/>
        <w:rPr>
          <w:rFonts w:ascii="仿宋_GB2312" w:hAnsi="Times New Roman"/>
          <w:sz w:val="32"/>
          <w:szCs w:val="32"/>
        </w:rPr>
      </w:pPr>
      <w:r>
        <w:rPr>
          <w:rFonts w:hint="eastAsia" w:ascii="仿宋_GB2312" w:hAnsi="Times New Roman"/>
          <w:sz w:val="32"/>
          <w:szCs w:val="32"/>
        </w:rPr>
        <w:t>主要产品或核心技术丧失竞争优势；</w:t>
      </w:r>
    </w:p>
    <w:p w14:paraId="6D05876F">
      <w:pPr>
        <w:pStyle w:val="34"/>
        <w:numPr>
          <w:ilvl w:val="0"/>
          <w:numId w:val="37"/>
        </w:numPr>
        <w:spacing w:line="560" w:lineRule="exact"/>
        <w:ind w:left="0" w:firstLine="640"/>
        <w:rPr>
          <w:rFonts w:hint="eastAsia" w:ascii="仿宋_GB2312" w:hAnsi="仿宋"/>
          <w:sz w:val="32"/>
          <w:szCs w:val="32"/>
        </w:rPr>
      </w:pPr>
      <w:r>
        <w:rPr>
          <w:rFonts w:hint="eastAsia" w:ascii="仿宋_GB2312" w:hAnsi="Times New Roman"/>
          <w:sz w:val="32"/>
          <w:szCs w:val="32"/>
        </w:rPr>
        <w:t>其他重大风险事项。</w:t>
      </w:r>
    </w:p>
    <w:p w14:paraId="311A13C6">
      <w:pPr>
        <w:numPr>
          <w:ilvl w:val="2"/>
          <w:numId w:val="35"/>
        </w:numPr>
        <w:tabs>
          <w:tab w:val="left" w:pos="1418"/>
        </w:tabs>
        <w:autoSpaceDE w:val="0"/>
        <w:autoSpaceDN w:val="0"/>
        <w:adjustRightInd w:val="0"/>
        <w:snapToGrid w:val="0"/>
        <w:spacing w:line="560" w:lineRule="exact"/>
        <w:ind w:left="0" w:firstLine="640" w:firstLineChars="200"/>
        <w:rPr>
          <w:rFonts w:hint="eastAsia" w:ascii="仿宋_GB2312" w:hAnsi="仿宋" w:eastAsia="仿宋_GB2312"/>
          <w:sz w:val="32"/>
          <w:szCs w:val="32"/>
        </w:rPr>
      </w:pPr>
      <w:r>
        <w:rPr>
          <w:rFonts w:hint="eastAsia" w:ascii="仿宋_GB2312" w:hAnsi="仿宋" w:eastAsia="仿宋_GB2312"/>
          <w:sz w:val="32"/>
          <w:szCs w:val="32"/>
        </w:rPr>
        <w:t>出现下列重大事故或负面事件的，应当及时披露具体情况及其影响：</w:t>
      </w:r>
    </w:p>
    <w:p w14:paraId="0A84ED12">
      <w:pPr>
        <w:pStyle w:val="7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（一）发生重大环境、生产及产品安全事故；</w:t>
      </w:r>
    </w:p>
    <w:p w14:paraId="49F34949">
      <w:pPr>
        <w:pStyle w:val="7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（二）收到政府部门限期治理、停产、搬迁、关闭的决定通知</w:t>
      </w:r>
      <w:r>
        <w:rPr>
          <w:rFonts w:ascii="仿宋_GB2312" w:hAnsi="仿宋" w:eastAsia="仿宋_GB2312"/>
          <w:sz w:val="32"/>
          <w:szCs w:val="32"/>
        </w:rPr>
        <w:t>；</w:t>
      </w:r>
    </w:p>
    <w:p w14:paraId="57A9209A">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（三）不当使用科学技术或违反科学伦理；</w:t>
      </w:r>
    </w:p>
    <w:p w14:paraId="464E6852">
      <w:pPr>
        <w:spacing w:line="560" w:lineRule="exact"/>
        <w:ind w:firstLine="640" w:firstLineChars="200"/>
        <w:rPr>
          <w:rFonts w:hint="eastAsia" w:ascii="仿宋_GB2312" w:hAnsi="宋体" w:eastAsia="仿宋_GB2312"/>
          <w:sz w:val="32"/>
          <w:szCs w:val="32"/>
        </w:rPr>
      </w:pPr>
      <w:r>
        <w:rPr>
          <w:rFonts w:hint="eastAsia" w:ascii="仿宋_GB2312" w:hAnsi="仿宋" w:eastAsia="仿宋_GB2312"/>
          <w:sz w:val="32"/>
          <w:szCs w:val="32"/>
        </w:rPr>
        <w:t>（四）其他不当履行社会责任的重大事故或负面事件。</w:t>
      </w:r>
    </w:p>
    <w:p w14:paraId="65723258">
      <w:pPr>
        <w:numPr>
          <w:ilvl w:val="2"/>
          <w:numId w:val="35"/>
        </w:numPr>
        <w:tabs>
          <w:tab w:val="left" w:pos="1418"/>
        </w:tabs>
        <w:autoSpaceDE w:val="0"/>
        <w:autoSpaceDN w:val="0"/>
        <w:adjustRightInd w:val="0"/>
        <w:snapToGrid w:val="0"/>
        <w:spacing w:line="560" w:lineRule="exact"/>
        <w:ind w:left="0" w:firstLine="640" w:firstLineChars="200"/>
        <w:rPr>
          <w:rFonts w:ascii="仿宋_GB2312" w:eastAsia="仿宋_GB2312"/>
          <w:sz w:val="32"/>
          <w:szCs w:val="32"/>
        </w:rPr>
      </w:pPr>
      <w:r>
        <w:rPr>
          <w:rFonts w:hint="eastAsia" w:ascii="仿宋_GB2312" w:hAnsi="宋体" w:eastAsia="仿宋_GB2312"/>
          <w:sz w:val="32"/>
          <w:szCs w:val="32"/>
        </w:rPr>
        <w:t>上市公司出现下列重大风险事项之一，</w:t>
      </w:r>
      <w:r>
        <w:rPr>
          <w:rFonts w:hint="eastAsia" w:ascii="仿宋_GB2312" w:eastAsia="仿宋_GB2312"/>
          <w:sz w:val="32"/>
          <w:szCs w:val="32"/>
        </w:rPr>
        <w:t>应当及时披露具体情况及其影响：</w:t>
      </w:r>
    </w:p>
    <w:p w14:paraId="111E5BC2">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（一）可能</w:t>
      </w:r>
      <w:r>
        <w:rPr>
          <w:rFonts w:hint="eastAsia" w:ascii="仿宋_GB2312" w:hAnsi="宋体" w:eastAsia="仿宋_GB2312"/>
          <w:sz w:val="32"/>
          <w:szCs w:val="32"/>
        </w:rPr>
        <w:t>发生重大亏损或者遭受重大损失</w:t>
      </w:r>
      <w:r>
        <w:rPr>
          <w:rFonts w:hint="eastAsia" w:ascii="仿宋_GB2312" w:eastAsia="仿宋_GB2312"/>
          <w:sz w:val="32"/>
          <w:szCs w:val="32"/>
        </w:rPr>
        <w:t>；</w:t>
      </w:r>
    </w:p>
    <w:p w14:paraId="3605FD97">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sz w:val="32"/>
          <w:szCs w:val="32"/>
        </w:rPr>
        <w:t>发生重大债务或者未能清偿到期重大债务的违约情况</w:t>
      </w:r>
      <w:r>
        <w:rPr>
          <w:rFonts w:hint="eastAsia" w:ascii="仿宋_GB2312" w:eastAsia="仿宋_GB2312"/>
          <w:sz w:val="32"/>
          <w:szCs w:val="32"/>
        </w:rPr>
        <w:t>；</w:t>
      </w:r>
    </w:p>
    <w:p w14:paraId="67349379">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（三）可能依法承担重大违约责任或者大额赔偿责任；</w:t>
      </w:r>
    </w:p>
    <w:p w14:paraId="11811915">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（四）计提大额资产减值准备；</w:t>
      </w:r>
    </w:p>
    <w:p w14:paraId="71344A02">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（五）公司决定解散或者被有权机关依法吊销营业执照、责令关闭或者被撤销；</w:t>
      </w:r>
    </w:p>
    <w:p w14:paraId="5B21EC08">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（六）预计出现股东权益为负值；</w:t>
      </w:r>
    </w:p>
    <w:p w14:paraId="68165ADC">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（七）重大债权到期未获清偿，或者主要债务人出现资不抵债</w:t>
      </w:r>
      <w:r>
        <w:rPr>
          <w:rFonts w:hint="eastAsia" w:ascii="仿宋_GB2312" w:eastAsia="仿宋_GB2312"/>
          <w:bCs/>
          <w:sz w:val="32"/>
          <w:szCs w:val="32"/>
        </w:rPr>
        <w:t>或者进入破产程序</w:t>
      </w:r>
      <w:r>
        <w:rPr>
          <w:rFonts w:hint="eastAsia" w:ascii="仿宋_GB2312" w:eastAsia="仿宋_GB2312"/>
          <w:sz w:val="32"/>
          <w:szCs w:val="32"/>
        </w:rPr>
        <w:t>；</w:t>
      </w:r>
    </w:p>
    <w:p w14:paraId="15F82A33">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w:t>
      </w:r>
      <w:r>
        <w:rPr>
          <w:rFonts w:hint="eastAsia" w:ascii="仿宋_GB2312" w:hAnsi="宋体" w:eastAsia="仿宋_GB2312"/>
          <w:sz w:val="32"/>
          <w:szCs w:val="32"/>
        </w:rPr>
        <w:t>公司营业用主要资产被查封、扣押、冻结、抵押、质押或者报废超过总资产的</w:t>
      </w:r>
      <w:r>
        <w:rPr>
          <w:rFonts w:ascii="仿宋_GB2312" w:hAnsi="宋体" w:eastAsia="仿宋_GB2312"/>
          <w:sz w:val="32"/>
          <w:szCs w:val="32"/>
        </w:rPr>
        <w:t>30%</w:t>
      </w:r>
      <w:r>
        <w:rPr>
          <w:rFonts w:hint="eastAsia" w:ascii="仿宋_GB2312" w:eastAsia="仿宋_GB2312"/>
          <w:sz w:val="32"/>
          <w:szCs w:val="32"/>
        </w:rPr>
        <w:t>；</w:t>
      </w:r>
    </w:p>
    <w:p w14:paraId="3B7CB044">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（九）主要银行账户被查封、冻结；</w:t>
      </w:r>
    </w:p>
    <w:p w14:paraId="01D16BE3">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（十）主要业务陷入停顿；</w:t>
      </w:r>
    </w:p>
    <w:p w14:paraId="56452C2B">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（十一）董事会、股东会会议无法正常召开并形成决议；</w:t>
      </w:r>
    </w:p>
    <w:p w14:paraId="7445C06E">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（十二）被控股股东及其关联方非经营性占用资金或违规对外担保；</w:t>
      </w:r>
    </w:p>
    <w:p w14:paraId="227C0B11">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（十三）公司涉嫌犯罪被依法立案调查，公司的控股股东、实际控制人、董事、高级管理人员、核心技术人员涉嫌犯罪被依法采取强制措施；</w:t>
      </w:r>
    </w:p>
    <w:p w14:paraId="3C9D4A02">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（十四）公司或者其控股股东、实际控制人、董事、高级管理人员、核心技术人员受到刑事处罚，涉嫌违法违规被中国证监会立案调查或者受到中国证监会行政处罚，或者受到其他有权机关重大行政处罚；</w:t>
      </w:r>
    </w:p>
    <w:p w14:paraId="0C13D731">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（十五）公司的控股股东、实际控制人、董事、高级管理人员、核心技术人员涉嫌严重违纪违法或者职务犯罪被纪检监察机关采取留置措施且影响其履行职责；</w:t>
      </w:r>
    </w:p>
    <w:p w14:paraId="64D3DA46">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（十六）公司董事长或者总经理无法履行职责。除董事长、总经理外的其他董事、高级管理人员因身体、工作安排等原因无法正常履行职责达到或者预计达到</w:t>
      </w:r>
      <w:r>
        <w:rPr>
          <w:rFonts w:ascii="仿宋_GB2312" w:eastAsia="仿宋_GB2312"/>
          <w:sz w:val="32"/>
          <w:szCs w:val="32"/>
        </w:rPr>
        <w:t>3个月以上，或者因涉嫌违法违规被有权机关采取强制措施且影响其履行职责</w:t>
      </w:r>
      <w:r>
        <w:rPr>
          <w:rFonts w:hint="eastAsia" w:ascii="仿宋_GB2312" w:eastAsia="仿宋_GB2312"/>
          <w:sz w:val="32"/>
          <w:szCs w:val="32"/>
        </w:rPr>
        <w:t>；</w:t>
      </w:r>
    </w:p>
    <w:p w14:paraId="2CF23A20">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（十七）本所或者公司认定的其他重大风险情况。</w:t>
      </w:r>
    </w:p>
    <w:p w14:paraId="40B7C84B">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上述事项涉及具体金额的，比照适用第7.1.2条的规定。</w:t>
      </w:r>
    </w:p>
    <w:p w14:paraId="69308D27">
      <w:pPr>
        <w:numPr>
          <w:ilvl w:val="2"/>
          <w:numId w:val="35"/>
        </w:numPr>
        <w:tabs>
          <w:tab w:val="left" w:pos="1418"/>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上市公司申请或者被债权人申请破产重整、和解或破产清算的，应当及时披露下列进展事项：</w:t>
      </w:r>
    </w:p>
    <w:p w14:paraId="44B40312">
      <w:pPr>
        <w:pStyle w:val="17"/>
        <w:autoSpaceDE/>
        <w:autoSpaceDN/>
        <w:adjustRightInd/>
        <w:snapToGrid w:val="0"/>
        <w:spacing w:line="560" w:lineRule="exact"/>
        <w:ind w:firstLine="640" w:firstLineChars="200"/>
        <w:rPr>
          <w:rFonts w:hint="eastAsia"/>
          <w:sz w:val="32"/>
          <w:szCs w:val="32"/>
        </w:rPr>
      </w:pPr>
      <w:r>
        <w:rPr>
          <w:rFonts w:hint="eastAsia"/>
          <w:sz w:val="32"/>
          <w:szCs w:val="32"/>
        </w:rPr>
        <w:t>（一）法院裁定受理重整、和解或破产清算申请；</w:t>
      </w:r>
    </w:p>
    <w:p w14:paraId="245FDD44">
      <w:pPr>
        <w:pStyle w:val="17"/>
        <w:autoSpaceDE/>
        <w:autoSpaceDN/>
        <w:adjustRightInd/>
        <w:snapToGrid w:val="0"/>
        <w:spacing w:line="560" w:lineRule="exact"/>
        <w:ind w:firstLine="640" w:firstLineChars="200"/>
        <w:rPr>
          <w:rFonts w:hint="eastAsia"/>
          <w:sz w:val="32"/>
          <w:szCs w:val="32"/>
        </w:rPr>
      </w:pPr>
      <w:r>
        <w:rPr>
          <w:rFonts w:hint="eastAsia"/>
          <w:sz w:val="32"/>
          <w:szCs w:val="32"/>
        </w:rPr>
        <w:t>（二）重整、和解或破产清算程序的重大进展或法院审理裁定；</w:t>
      </w:r>
    </w:p>
    <w:p w14:paraId="28C01E64">
      <w:pPr>
        <w:pStyle w:val="17"/>
        <w:autoSpaceDE/>
        <w:autoSpaceDN/>
        <w:adjustRightInd/>
        <w:snapToGrid w:val="0"/>
        <w:spacing w:line="560" w:lineRule="exact"/>
        <w:ind w:firstLine="640" w:firstLineChars="200"/>
        <w:rPr>
          <w:rFonts w:hint="eastAsia"/>
          <w:kern w:val="0"/>
          <w:sz w:val="32"/>
          <w:szCs w:val="32"/>
        </w:rPr>
      </w:pPr>
      <w:r>
        <w:rPr>
          <w:rFonts w:hint="eastAsia"/>
          <w:kern w:val="0"/>
          <w:sz w:val="32"/>
          <w:szCs w:val="32"/>
        </w:rPr>
        <w:t>（三）法院裁定批准公司破产</w:t>
      </w:r>
      <w:r>
        <w:rPr>
          <w:kern w:val="0"/>
          <w:sz w:val="32"/>
          <w:szCs w:val="32"/>
        </w:rPr>
        <w:t>重整</w:t>
      </w:r>
      <w:r>
        <w:rPr>
          <w:rFonts w:hint="eastAsia"/>
          <w:kern w:val="0"/>
          <w:sz w:val="32"/>
          <w:szCs w:val="32"/>
        </w:rPr>
        <w:t>计划、和解协议或者清算；</w:t>
      </w:r>
    </w:p>
    <w:p w14:paraId="7BA462E0">
      <w:pPr>
        <w:pStyle w:val="17"/>
        <w:autoSpaceDE/>
        <w:autoSpaceDN/>
        <w:adjustRightInd/>
        <w:snapToGrid w:val="0"/>
        <w:spacing w:line="560" w:lineRule="exact"/>
        <w:ind w:firstLine="640" w:firstLineChars="200"/>
        <w:rPr>
          <w:rFonts w:hint="eastAsia"/>
          <w:kern w:val="0"/>
          <w:sz w:val="32"/>
          <w:szCs w:val="32"/>
        </w:rPr>
      </w:pPr>
      <w:r>
        <w:rPr>
          <w:rFonts w:hint="eastAsia"/>
          <w:kern w:val="0"/>
          <w:sz w:val="32"/>
          <w:szCs w:val="32"/>
        </w:rPr>
        <w:t>（四）破产</w:t>
      </w:r>
      <w:r>
        <w:rPr>
          <w:kern w:val="0"/>
          <w:sz w:val="32"/>
          <w:szCs w:val="32"/>
        </w:rPr>
        <w:t>重整</w:t>
      </w:r>
      <w:r>
        <w:rPr>
          <w:rFonts w:hint="eastAsia"/>
          <w:kern w:val="0"/>
          <w:sz w:val="32"/>
          <w:szCs w:val="32"/>
        </w:rPr>
        <w:t>计划、和解协议的执行情况。</w:t>
      </w:r>
    </w:p>
    <w:p w14:paraId="599886E8">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进入破产程序的上市公司，除应当及时披露上述信息外，还应当及时披露定期报告和临时公告。</w:t>
      </w:r>
    </w:p>
    <w:p w14:paraId="78E62CCE">
      <w:pPr>
        <w:numPr>
          <w:ilvl w:val="2"/>
          <w:numId w:val="35"/>
        </w:numPr>
        <w:tabs>
          <w:tab w:val="left" w:pos="1418"/>
        </w:tabs>
        <w:autoSpaceDE w:val="0"/>
        <w:autoSpaceDN w:val="0"/>
        <w:adjustRightInd w:val="0"/>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破产采取破产管理人管理或者监督运作模式的，破产管理人及其成员、董事、高级管理人员应当按照《证券法》、最高人民法院、中国证监会和本所有关规定，及时、公平地向所有债权人和股东披露信息，并保证信息披露内容的真实、准确、完整。</w:t>
      </w:r>
    </w:p>
    <w:p w14:paraId="426EC2BD">
      <w:pPr>
        <w:pStyle w:val="34"/>
        <w:spacing w:line="560" w:lineRule="exact"/>
        <w:ind w:firstLine="640"/>
        <w:rPr>
          <w:sz w:val="32"/>
          <w:szCs w:val="32"/>
        </w:rPr>
      </w:pPr>
    </w:p>
    <w:p w14:paraId="4770B90F">
      <w:pPr>
        <w:pStyle w:val="81"/>
        <w:tabs>
          <w:tab w:val="left" w:pos="142"/>
          <w:tab w:val="clear" w:pos="992"/>
        </w:tabs>
        <w:ind w:firstLine="643"/>
        <w:rPr>
          <w:rFonts w:hint="eastAsia"/>
          <w:b/>
          <w:bCs/>
        </w:rPr>
      </w:pPr>
      <w:bookmarkStart w:id="654" w:name="_Toc170284244"/>
      <w:bookmarkStart w:id="655" w:name="_Toc1806"/>
      <w:bookmarkStart w:id="656" w:name="_Toc32760"/>
      <w:r>
        <w:rPr>
          <w:rFonts w:hint="eastAsia"/>
          <w:b/>
          <w:bCs/>
        </w:rPr>
        <w:t>应当披露的其他重大事项</w:t>
      </w:r>
      <w:bookmarkEnd w:id="654"/>
      <w:bookmarkEnd w:id="655"/>
      <w:bookmarkEnd w:id="656"/>
    </w:p>
    <w:p w14:paraId="453C76E2">
      <w:pPr>
        <w:pStyle w:val="36"/>
        <w:numPr>
          <w:ilvl w:val="1"/>
          <w:numId w:val="1"/>
        </w:numPr>
        <w:ind w:left="0" w:firstLine="643"/>
        <w:rPr>
          <w:rFonts w:hint="eastAsia"/>
        </w:rPr>
      </w:pPr>
      <w:bookmarkStart w:id="657" w:name="_Toc170284245"/>
      <w:bookmarkStart w:id="658" w:name="_Toc9394"/>
      <w:bookmarkStart w:id="659" w:name="_Toc5031"/>
      <w:r>
        <w:rPr>
          <w:rFonts w:hint="eastAsia"/>
        </w:rPr>
        <w:t>异常波动和传闻澄清</w:t>
      </w:r>
      <w:bookmarkEnd w:id="657"/>
      <w:bookmarkEnd w:id="658"/>
      <w:bookmarkEnd w:id="659"/>
    </w:p>
    <w:p w14:paraId="2E1EE36D">
      <w:pPr>
        <w:numPr>
          <w:ilvl w:val="2"/>
          <w:numId w:val="38"/>
        </w:numPr>
        <w:tabs>
          <w:tab w:val="left" w:pos="0"/>
          <w:tab w:val="clear" w:pos="709"/>
        </w:tabs>
        <w:snapToGrid w:val="0"/>
        <w:spacing w:line="560" w:lineRule="exact"/>
        <w:ind w:left="0" w:firstLine="640" w:firstLineChars="200"/>
        <w:rPr>
          <w:rFonts w:hint="eastAsia" w:ascii="仿宋_GB2312" w:hAnsi="仿宋_GB2312" w:eastAsia="仿宋_GB2312" w:cs="仿宋_GB2312"/>
          <w:sz w:val="32"/>
          <w:szCs w:val="32"/>
        </w:rPr>
      </w:pPr>
      <w:r>
        <w:rPr>
          <w:rFonts w:hint="eastAsia" w:ascii="仿宋_GB2312" w:eastAsia="仿宋_GB2312"/>
          <w:sz w:val="32"/>
          <w:szCs w:val="32"/>
        </w:rPr>
        <w:t>上市公司股票交易出现本所业务规则规定或者本所认定的异常波动的，</w:t>
      </w:r>
      <w:r>
        <w:rPr>
          <w:rFonts w:hint="eastAsia" w:ascii="仿宋_GB2312" w:hAnsi="仿宋_GB2312" w:eastAsia="仿宋_GB2312" w:cs="仿宋_GB2312"/>
          <w:sz w:val="32"/>
          <w:szCs w:val="32"/>
        </w:rPr>
        <w:t>本所可以根据异常波动程度和监管需要，采取下列措施：</w:t>
      </w:r>
    </w:p>
    <w:p w14:paraId="73EB7E7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（一）要求上市公司披露股票交易异常波动公告；</w:t>
      </w:r>
    </w:p>
    <w:p w14:paraId="7DFD515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（二）要求上市公司停牌核查并披露核查公告；</w:t>
      </w:r>
    </w:p>
    <w:p w14:paraId="583AED5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（三）向市场提示异常波动股票投资风险；</w:t>
      </w:r>
    </w:p>
    <w:p w14:paraId="2C0AC439">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（四）本所认为必要的其他措施。</w:t>
      </w:r>
    </w:p>
    <w:p w14:paraId="79BC8E52">
      <w:pPr>
        <w:numPr>
          <w:ilvl w:val="2"/>
          <w:numId w:val="38"/>
        </w:numPr>
        <w:tabs>
          <w:tab w:val="left" w:pos="0"/>
          <w:tab w:val="clear" w:pos="709"/>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上市公司股票交易出现本所业务规则规定的异常波动的，公司应当于次一交易日披露股票交易异常波动公告。</w:t>
      </w:r>
      <w:r>
        <w:rPr>
          <w:rFonts w:hint="eastAsia" w:ascii="仿宋_GB2312" w:hAnsi="宋体" w:eastAsia="仿宋_GB2312"/>
          <w:color w:val="000000"/>
          <w:sz w:val="32"/>
          <w:szCs w:val="32"/>
        </w:rPr>
        <w:t>本所可以根据需要安排公司在非交易日公告。</w:t>
      </w:r>
    </w:p>
    <w:p w14:paraId="47A01BB4">
      <w:pPr>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股票交易异常波动的计算从披露之日起重新起算。</w:t>
      </w:r>
    </w:p>
    <w:p w14:paraId="004E2931">
      <w:pPr>
        <w:numPr>
          <w:ilvl w:val="2"/>
          <w:numId w:val="38"/>
        </w:numPr>
        <w:tabs>
          <w:tab w:val="left" w:pos="0"/>
          <w:tab w:val="clear" w:pos="709"/>
        </w:tabs>
        <w:snapToGri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黑体" w:eastAsia="仿宋_GB2312"/>
          <w:sz w:val="32"/>
          <w:szCs w:val="32"/>
        </w:rPr>
        <w:t>上市公司股票交易出现本所业务规则规定的严重异常波动的，</w:t>
      </w:r>
      <w:r>
        <w:rPr>
          <w:rFonts w:hint="eastAsia" w:ascii="仿宋_GB2312" w:hAnsi="仿宋_GB2312" w:eastAsia="仿宋_GB2312" w:cs="仿宋_GB2312"/>
          <w:sz w:val="32"/>
          <w:szCs w:val="32"/>
        </w:rPr>
        <w:t>应当按照第9.1.4条的规定于次一交易日披露核查公告；无法披露的，应当申请其股票自次一交易日起停牌核查，直至披露核查公告后复牌。</w:t>
      </w:r>
    </w:p>
    <w:p w14:paraId="59984E58">
      <w:pPr>
        <w:numPr>
          <w:ilvl w:val="2"/>
          <w:numId w:val="38"/>
        </w:numPr>
        <w:snapToGrid w:val="0"/>
        <w:spacing w:line="560" w:lineRule="exact"/>
        <w:ind w:left="0" w:firstLine="640" w:firstLineChars="200"/>
        <w:rPr>
          <w:rFonts w:hint="eastAsia" w:ascii="仿宋_GB2312" w:hAnsi="仿宋_GB2312" w:eastAsia="仿宋_GB2312" w:cs="仿宋_GB2312"/>
          <w:sz w:val="32"/>
          <w:szCs w:val="32"/>
        </w:rPr>
      </w:pPr>
      <w:r>
        <w:rPr>
          <w:rFonts w:hint="eastAsia" w:ascii="仿宋_GB2312" w:hAnsi="黑体" w:eastAsia="仿宋_GB2312"/>
          <w:sz w:val="32"/>
          <w:szCs w:val="32"/>
        </w:rPr>
        <w:t>上市</w:t>
      </w:r>
      <w:r>
        <w:rPr>
          <w:rFonts w:hint="eastAsia" w:ascii="仿宋_GB2312" w:hAnsi="仿宋_GB2312" w:eastAsia="仿宋_GB2312" w:cs="仿宋_GB2312"/>
          <w:sz w:val="32"/>
          <w:szCs w:val="32"/>
        </w:rPr>
        <w:t>公司股票出现前条规定情形的，公司或相关信息披露义务人应当核查下列事项：</w:t>
      </w:r>
    </w:p>
    <w:p w14:paraId="03E6943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（一）是否存在导致股价严重异常波动的未披露事项；</w:t>
      </w:r>
    </w:p>
    <w:p w14:paraId="28DB6068">
      <w:pPr>
        <w:spacing w:line="560" w:lineRule="exact"/>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（二）</w:t>
      </w:r>
      <w:r>
        <w:rPr>
          <w:rFonts w:hint="eastAsia" w:ascii="仿宋_GB2312" w:hAnsi="宋体" w:eastAsia="仿宋_GB2312"/>
          <w:sz w:val="32"/>
          <w:szCs w:val="32"/>
        </w:rPr>
        <w:t>股价是否严重偏离同行业上市公司合理估值；</w:t>
      </w:r>
    </w:p>
    <w:p w14:paraId="1BE532F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（三）是否存在重大风险事项；</w:t>
      </w:r>
    </w:p>
    <w:p w14:paraId="3AFE4946">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（四）其他可能导致股价严重异常波动的事项。</w:t>
      </w:r>
    </w:p>
    <w:p w14:paraId="4CB24B9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上市公司应当及时披露核查结果公告，充分提示公司股价严重异常波动的交易风险；</w:t>
      </w:r>
      <w:r>
        <w:rPr>
          <w:rFonts w:hint="eastAsia" w:ascii="仿宋_GB2312" w:eastAsia="仿宋_GB2312"/>
          <w:sz w:val="32"/>
          <w:szCs w:val="32"/>
        </w:rPr>
        <w:t>存在未披露重大事项的，应当召开投资者说明会。</w:t>
      </w:r>
    </w:p>
    <w:p w14:paraId="4A3170E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上市公司股票应当自披露核查结果公告、投资者说明会公告（如有）之日起复牌。披露日为非交易日的，自次一交易日起复牌。</w:t>
      </w:r>
    </w:p>
    <w:p w14:paraId="4074F0D9">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保荐机构和保荐代表人应当督促上市公司按照本节规定及时进行核查，履行相应信息披露义务。</w:t>
      </w:r>
    </w:p>
    <w:p w14:paraId="4263AEBB">
      <w:pPr>
        <w:numPr>
          <w:ilvl w:val="2"/>
          <w:numId w:val="38"/>
        </w:numPr>
        <w:snapToGrid w:val="0"/>
        <w:spacing w:line="560" w:lineRule="exact"/>
        <w:ind w:left="0" w:firstLine="640" w:firstLineChars="200"/>
        <w:rPr>
          <w:rFonts w:hint="eastAsia" w:ascii="仿宋_GB2312" w:hAnsi="仿宋_GB2312" w:eastAsia="仿宋_GB2312" w:cs="仿宋_GB2312"/>
          <w:sz w:val="32"/>
          <w:szCs w:val="32"/>
        </w:rPr>
      </w:pPr>
      <w:r>
        <w:rPr>
          <w:rFonts w:hint="eastAsia" w:ascii="仿宋_GB2312" w:eastAsia="仿宋_GB2312"/>
          <w:sz w:val="32"/>
          <w:szCs w:val="32"/>
        </w:rPr>
        <w:t>上市公司股票交易出现严重异常波动，经公司核查后无应披露未披露重大事项，也无法对异常波动原因作出合理解释的，本所可以向市场公告，提示股票交易风险，并视情况实施特别停牌。</w:t>
      </w:r>
    </w:p>
    <w:p w14:paraId="53A41EA3">
      <w:pPr>
        <w:numPr>
          <w:ilvl w:val="2"/>
          <w:numId w:val="38"/>
        </w:numPr>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出现下列可能或者已经对上市公司股票交易价格或者对投资者投资决策产生较大影响的传闻时，公司应当及时核实相关情况，并根据实际情况披露情况说明公告或者澄清公告：</w:t>
      </w:r>
    </w:p>
    <w:p w14:paraId="79C7D227">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（一）涉及上市公司持续经营能力、上市地位、重大经营活动、重大交易、重要财务数据、并购重组、控制权变更等重要事项的；</w:t>
      </w:r>
    </w:p>
    <w:p w14:paraId="792B8FC1">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（二）涉及上市公司控股股东、实际控制人、董事、高级管理人员出现异常情况且影响其履行职责的；</w:t>
      </w:r>
    </w:p>
    <w:p w14:paraId="75D84055">
      <w:pPr>
        <w:numPr>
          <w:ilvl w:val="255"/>
          <w:numId w:val="0"/>
        </w:num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（三）其他可能对上市公司股票交易价格或者对投资者决策产生较大影响的。</w:t>
      </w:r>
    </w:p>
    <w:p w14:paraId="0D6A451F">
      <w:pPr>
        <w:pStyle w:val="36"/>
        <w:numPr>
          <w:ilvl w:val="1"/>
          <w:numId w:val="1"/>
        </w:numPr>
        <w:ind w:left="0" w:firstLine="643"/>
        <w:rPr>
          <w:rFonts w:hint="eastAsia"/>
        </w:rPr>
      </w:pPr>
      <w:bookmarkStart w:id="660" w:name="_Toc170284246"/>
      <w:bookmarkStart w:id="661" w:name="_Toc18837"/>
      <w:bookmarkStart w:id="662" w:name="_Toc8057"/>
      <w:r>
        <w:rPr>
          <w:rFonts w:hint="eastAsia"/>
        </w:rPr>
        <w:t>股份质押</w:t>
      </w:r>
      <w:bookmarkEnd w:id="660"/>
      <w:bookmarkEnd w:id="661"/>
      <w:bookmarkEnd w:id="662"/>
    </w:p>
    <w:p w14:paraId="2A9897CE">
      <w:pPr>
        <w:numPr>
          <w:ilvl w:val="2"/>
          <w:numId w:val="39"/>
        </w:numPr>
        <w:tabs>
          <w:tab w:val="left" w:pos="0"/>
          <w:tab w:val="clear" w:pos="709"/>
        </w:tabs>
        <w:snapToGrid w:val="0"/>
        <w:spacing w:line="560" w:lineRule="exact"/>
        <w:ind w:left="0" w:firstLine="640" w:firstLineChars="200"/>
        <w:rPr>
          <w:rFonts w:ascii="仿宋_GB2312" w:eastAsia="仿宋_GB2312"/>
          <w:kern w:val="28"/>
          <w:sz w:val="32"/>
          <w:szCs w:val="32"/>
        </w:rPr>
      </w:pPr>
      <w:r>
        <w:rPr>
          <w:rFonts w:hint="eastAsia" w:ascii="仿宋_GB2312" w:eastAsia="仿宋_GB2312"/>
          <w:kern w:val="28"/>
          <w:sz w:val="32"/>
          <w:szCs w:val="32"/>
        </w:rPr>
        <w:t>上市公司控股股东应当审慎质押所持公司股份，合理使用融入资金，维持上市公司控制权和生产经营稳定。</w:t>
      </w:r>
    </w:p>
    <w:p w14:paraId="0791DF49">
      <w:pPr>
        <w:numPr>
          <w:ilvl w:val="2"/>
          <w:numId w:val="39"/>
        </w:numPr>
        <w:tabs>
          <w:tab w:val="left" w:pos="0"/>
          <w:tab w:val="clear" w:pos="709"/>
        </w:tabs>
        <w:snapToGrid w:val="0"/>
        <w:spacing w:line="560" w:lineRule="exact"/>
        <w:ind w:left="0" w:firstLine="640" w:firstLineChars="200"/>
        <w:rPr>
          <w:rFonts w:ascii="仿宋_GB2312" w:eastAsia="仿宋_GB2312"/>
          <w:kern w:val="28"/>
          <w:sz w:val="32"/>
          <w:szCs w:val="32"/>
        </w:rPr>
      </w:pPr>
      <w:r>
        <w:rPr>
          <w:rFonts w:hint="eastAsia" w:ascii="仿宋_GB2312" w:eastAsia="仿宋_GB2312"/>
          <w:kern w:val="28"/>
          <w:sz w:val="32"/>
          <w:szCs w:val="32"/>
        </w:rPr>
        <w:t>上市公司控股股东及其一致行动人质押股份占其所持股份的比例达到50%以上，以及之后质押股份的，应当及时通知公司，并披露下列信息：</w:t>
      </w:r>
    </w:p>
    <w:p w14:paraId="5BC75A76">
      <w:pPr>
        <w:pStyle w:val="34"/>
        <w:numPr>
          <w:ilvl w:val="3"/>
          <w:numId w:val="1"/>
        </w:numPr>
        <w:tabs>
          <w:tab w:val="left" w:pos="1701"/>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本次质押股份数量、累计质押股份数量以及占其所持公司股份的比例；</w:t>
      </w:r>
    </w:p>
    <w:p w14:paraId="26BA6C0A">
      <w:pPr>
        <w:pStyle w:val="34"/>
        <w:numPr>
          <w:ilvl w:val="3"/>
          <w:numId w:val="1"/>
        </w:numPr>
        <w:tabs>
          <w:tab w:val="left" w:pos="0"/>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本次质押期限、质押融资款项的最终用途及资金偿还安排；</w:t>
      </w:r>
    </w:p>
    <w:p w14:paraId="450EF977">
      <w:pPr>
        <w:pStyle w:val="34"/>
        <w:numPr>
          <w:ilvl w:val="3"/>
          <w:numId w:val="1"/>
        </w:numPr>
        <w:tabs>
          <w:tab w:val="left" w:pos="0"/>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控股股东及实际控制人的经营状况、财务状况、偿债能力、近一年对外投资情况，以及是否存在债务逾期或其他资信恶化的情形；</w:t>
      </w:r>
    </w:p>
    <w:p w14:paraId="2039578D">
      <w:pPr>
        <w:pStyle w:val="34"/>
        <w:numPr>
          <w:ilvl w:val="3"/>
          <w:numId w:val="1"/>
        </w:numPr>
        <w:tabs>
          <w:tab w:val="left" w:pos="0"/>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控股股东及其关联方与上市公司之间的关联交易、资金往来、担保、共同投资，以及控股股东、实际控制人是否占用上市公司资源；</w:t>
      </w:r>
    </w:p>
    <w:p w14:paraId="2910161F">
      <w:pPr>
        <w:pStyle w:val="34"/>
        <w:numPr>
          <w:ilvl w:val="3"/>
          <w:numId w:val="1"/>
        </w:numPr>
        <w:tabs>
          <w:tab w:val="left" w:pos="0"/>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股份质押对上市公司控制权的影响；</w:t>
      </w:r>
    </w:p>
    <w:p w14:paraId="5EE0AD5D">
      <w:pPr>
        <w:pStyle w:val="34"/>
        <w:numPr>
          <w:ilvl w:val="3"/>
          <w:numId w:val="1"/>
        </w:numPr>
        <w:tabs>
          <w:tab w:val="left" w:pos="0"/>
          <w:tab w:val="clear" w:pos="1980"/>
        </w:tabs>
        <w:snapToGrid w:val="0"/>
        <w:spacing w:line="560" w:lineRule="exact"/>
        <w:ind w:left="0" w:firstLine="640"/>
        <w:rPr>
          <w:rFonts w:ascii="仿宋_GB2312"/>
          <w:kern w:val="28"/>
          <w:sz w:val="32"/>
          <w:szCs w:val="32"/>
        </w:rPr>
      </w:pPr>
      <w:r>
        <w:rPr>
          <w:rFonts w:hint="eastAsia" w:ascii="仿宋_GB2312"/>
          <w:kern w:val="28"/>
          <w:sz w:val="32"/>
          <w:szCs w:val="32"/>
        </w:rPr>
        <w:t>本所要求披露的其他信息。</w:t>
      </w:r>
    </w:p>
    <w:p w14:paraId="3A352101">
      <w:pPr>
        <w:numPr>
          <w:ilvl w:val="2"/>
          <w:numId w:val="39"/>
        </w:numPr>
        <w:tabs>
          <w:tab w:val="left" w:pos="0"/>
          <w:tab w:val="clear" w:pos="709"/>
        </w:tabs>
        <w:snapToGrid w:val="0"/>
        <w:spacing w:line="560" w:lineRule="exact"/>
        <w:ind w:left="0" w:firstLine="640" w:firstLineChars="200"/>
        <w:rPr>
          <w:rFonts w:ascii="仿宋_GB2312" w:eastAsia="仿宋_GB2312"/>
          <w:kern w:val="28"/>
          <w:sz w:val="32"/>
          <w:szCs w:val="32"/>
        </w:rPr>
      </w:pPr>
      <w:r>
        <w:rPr>
          <w:rFonts w:hint="eastAsia" w:ascii="仿宋_GB2312" w:eastAsia="仿宋_GB2312"/>
          <w:kern w:val="28"/>
          <w:sz w:val="32"/>
          <w:szCs w:val="32"/>
        </w:rPr>
        <w:t>上市公司控股股东及其一致行动人质押股份占其所持股份的比例达到50%以上，且出现债务逾期或其他资信恶化情形的，应当及时通知公司并披露下列信息：</w:t>
      </w:r>
    </w:p>
    <w:p w14:paraId="66852F91">
      <w:pPr>
        <w:pStyle w:val="34"/>
        <w:numPr>
          <w:ilvl w:val="0"/>
          <w:numId w:val="40"/>
        </w:numPr>
        <w:tabs>
          <w:tab w:val="left" w:pos="1134"/>
          <w:tab w:val="left" w:pos="1276"/>
          <w:tab w:val="left" w:pos="1418"/>
          <w:tab w:val="left" w:pos="1701"/>
        </w:tabs>
        <w:snapToGrid w:val="0"/>
        <w:spacing w:line="560" w:lineRule="exact"/>
        <w:ind w:left="0" w:firstLine="640"/>
        <w:rPr>
          <w:rFonts w:ascii="仿宋_GB2312"/>
          <w:kern w:val="28"/>
          <w:sz w:val="32"/>
          <w:szCs w:val="32"/>
        </w:rPr>
      </w:pPr>
      <w:r>
        <w:rPr>
          <w:rFonts w:hint="eastAsia" w:ascii="仿宋_GB2312"/>
          <w:kern w:val="28"/>
          <w:sz w:val="32"/>
          <w:szCs w:val="32"/>
        </w:rPr>
        <w:t>债务逾期金额、原因及应对措施；</w:t>
      </w:r>
    </w:p>
    <w:p w14:paraId="129D9BBB">
      <w:pPr>
        <w:pStyle w:val="34"/>
        <w:numPr>
          <w:ilvl w:val="0"/>
          <w:numId w:val="40"/>
        </w:numPr>
        <w:tabs>
          <w:tab w:val="left" w:pos="1134"/>
          <w:tab w:val="left" w:pos="1418"/>
          <w:tab w:val="left" w:pos="1560"/>
        </w:tabs>
        <w:snapToGrid w:val="0"/>
        <w:spacing w:line="560" w:lineRule="exact"/>
        <w:ind w:left="0" w:firstLine="640"/>
        <w:rPr>
          <w:rFonts w:ascii="仿宋_GB2312"/>
          <w:kern w:val="28"/>
          <w:sz w:val="32"/>
          <w:szCs w:val="32"/>
        </w:rPr>
      </w:pPr>
      <w:r>
        <w:rPr>
          <w:rFonts w:hint="eastAsia" w:ascii="仿宋_GB2312"/>
          <w:kern w:val="28"/>
          <w:sz w:val="32"/>
          <w:szCs w:val="32"/>
        </w:rPr>
        <w:t>是否存在平仓风险以及可能被平仓的股份数量和比例；</w:t>
      </w:r>
    </w:p>
    <w:p w14:paraId="43344742">
      <w:pPr>
        <w:pStyle w:val="34"/>
        <w:numPr>
          <w:ilvl w:val="0"/>
          <w:numId w:val="40"/>
        </w:numPr>
        <w:tabs>
          <w:tab w:val="left" w:pos="1134"/>
          <w:tab w:val="left" w:pos="1418"/>
          <w:tab w:val="left" w:pos="1560"/>
        </w:tabs>
        <w:snapToGrid w:val="0"/>
        <w:spacing w:line="560" w:lineRule="exact"/>
        <w:ind w:left="0" w:firstLine="640"/>
        <w:rPr>
          <w:rFonts w:ascii="仿宋_GB2312"/>
          <w:kern w:val="28"/>
          <w:sz w:val="32"/>
          <w:szCs w:val="32"/>
        </w:rPr>
      </w:pPr>
      <w:r>
        <w:rPr>
          <w:rFonts w:hint="eastAsia" w:ascii="仿宋_GB2312"/>
          <w:kern w:val="28"/>
          <w:sz w:val="32"/>
          <w:szCs w:val="32"/>
        </w:rPr>
        <w:t>第9.2.2条第三项至第五项规定的内容；</w:t>
      </w:r>
    </w:p>
    <w:p w14:paraId="163D7652">
      <w:pPr>
        <w:pStyle w:val="34"/>
        <w:numPr>
          <w:ilvl w:val="0"/>
          <w:numId w:val="40"/>
        </w:numPr>
        <w:tabs>
          <w:tab w:val="left" w:pos="1134"/>
          <w:tab w:val="left" w:pos="1418"/>
          <w:tab w:val="left" w:pos="1560"/>
        </w:tabs>
        <w:snapToGrid w:val="0"/>
        <w:spacing w:line="560" w:lineRule="exact"/>
        <w:ind w:left="0" w:firstLine="640"/>
        <w:rPr>
          <w:rFonts w:ascii="仿宋_GB2312"/>
          <w:kern w:val="28"/>
          <w:sz w:val="32"/>
          <w:szCs w:val="32"/>
        </w:rPr>
      </w:pPr>
      <w:r>
        <w:rPr>
          <w:rFonts w:hint="eastAsia" w:ascii="仿宋_GB2312"/>
          <w:kern w:val="28"/>
          <w:sz w:val="32"/>
          <w:szCs w:val="32"/>
        </w:rPr>
        <w:t>本所要求披露的其他信息。</w:t>
      </w:r>
    </w:p>
    <w:p w14:paraId="308712F1">
      <w:pPr>
        <w:numPr>
          <w:ilvl w:val="2"/>
          <w:numId w:val="39"/>
        </w:numPr>
        <w:tabs>
          <w:tab w:val="left" w:pos="0"/>
          <w:tab w:val="clear" w:pos="709"/>
        </w:tabs>
        <w:snapToGrid w:val="0"/>
        <w:spacing w:line="560" w:lineRule="exact"/>
        <w:ind w:left="0" w:firstLine="640" w:firstLineChars="200"/>
        <w:rPr>
          <w:rFonts w:ascii="仿宋_GB2312" w:eastAsia="仿宋_GB2312"/>
          <w:kern w:val="28"/>
          <w:sz w:val="32"/>
          <w:szCs w:val="32"/>
        </w:rPr>
      </w:pPr>
      <w:r>
        <w:rPr>
          <w:rFonts w:hint="eastAsia" w:ascii="仿宋_GB2312" w:eastAsia="仿宋_GB2312"/>
          <w:kern w:val="28"/>
          <w:sz w:val="32"/>
          <w:szCs w:val="32"/>
        </w:rPr>
        <w:t>控股股东及其一致行动人出现质押平仓风险的，应当及时通知上市公司，披露是否可能导致公司控制权发生变更、拟采取的措施，并充分提示风险。</w:t>
      </w:r>
    </w:p>
    <w:p w14:paraId="7AE9029F">
      <w:pPr>
        <w:snapToGrid w:val="0"/>
        <w:spacing w:line="560" w:lineRule="exact"/>
        <w:ind w:firstLine="640" w:firstLineChars="200"/>
        <w:rPr>
          <w:rFonts w:ascii="仿宋_GB2312" w:eastAsia="仿宋_GB2312"/>
          <w:kern w:val="28"/>
          <w:sz w:val="32"/>
          <w:szCs w:val="32"/>
        </w:rPr>
      </w:pPr>
      <w:r>
        <w:rPr>
          <w:rFonts w:hint="eastAsia" w:ascii="仿宋_GB2312" w:eastAsia="仿宋_GB2312"/>
          <w:kern w:val="28"/>
          <w:sz w:val="32"/>
          <w:szCs w:val="32"/>
        </w:rPr>
        <w:t>控股股东及其一致行动人质押股份被强制平仓或平仓风险解除的，应当持续披露进展。</w:t>
      </w:r>
    </w:p>
    <w:p w14:paraId="64114FCE">
      <w:pPr>
        <w:numPr>
          <w:ilvl w:val="2"/>
          <w:numId w:val="39"/>
        </w:numPr>
        <w:tabs>
          <w:tab w:val="left" w:pos="0"/>
          <w:tab w:val="clear" w:pos="709"/>
        </w:tabs>
        <w:snapToGrid w:val="0"/>
        <w:spacing w:line="560" w:lineRule="exact"/>
        <w:ind w:left="0" w:firstLine="640" w:firstLineChars="200"/>
        <w:rPr>
          <w:rFonts w:ascii="仿宋_GB2312" w:eastAsia="仿宋_GB2312"/>
          <w:kern w:val="28"/>
          <w:sz w:val="32"/>
          <w:szCs w:val="32"/>
        </w:rPr>
      </w:pPr>
      <w:r>
        <w:rPr>
          <w:rFonts w:hint="eastAsia" w:ascii="仿宋_GB2312" w:eastAsia="仿宋_GB2312"/>
          <w:kern w:val="28"/>
          <w:sz w:val="32"/>
          <w:szCs w:val="32"/>
        </w:rPr>
        <w:t>上市公司持股5%以上股东质押股份，应当在2个交易日内通知上市公司，并披露本次质押股份数量、累计质押股份数量以及占公司总股本比例。</w:t>
      </w:r>
    </w:p>
    <w:p w14:paraId="40A58EB8">
      <w:pPr>
        <w:pStyle w:val="36"/>
        <w:numPr>
          <w:ilvl w:val="1"/>
          <w:numId w:val="1"/>
        </w:numPr>
        <w:ind w:left="0" w:firstLine="643"/>
        <w:rPr>
          <w:rFonts w:hint="eastAsia"/>
        </w:rPr>
      </w:pPr>
      <w:bookmarkStart w:id="663" w:name="_Toc170284247"/>
      <w:bookmarkStart w:id="664" w:name="_Toc11709"/>
      <w:bookmarkStart w:id="665" w:name="_Toc32330"/>
      <w:r>
        <w:rPr>
          <w:rFonts w:hint="eastAsia"/>
        </w:rPr>
        <w:t>会计政策、会计估计变更及资产减值</w:t>
      </w:r>
      <w:bookmarkEnd w:id="663"/>
      <w:bookmarkEnd w:id="664"/>
      <w:bookmarkEnd w:id="665"/>
    </w:p>
    <w:p w14:paraId="0886834B">
      <w:pPr>
        <w:numPr>
          <w:ilvl w:val="2"/>
          <w:numId w:val="41"/>
        </w:numPr>
        <w:tabs>
          <w:tab w:val="left" w:pos="1560"/>
        </w:tabs>
        <w:snapToGrid w:val="0"/>
        <w:spacing w:line="560" w:lineRule="exact"/>
        <w:ind w:left="0" w:firstLine="640" w:firstLineChars="200"/>
        <w:rPr>
          <w:rFonts w:hint="eastAsia" w:ascii="仿宋_GB2312" w:hAnsi="宋体" w:eastAsia="仿宋_GB2312"/>
          <w:sz w:val="32"/>
          <w:szCs w:val="32"/>
        </w:rPr>
      </w:pPr>
      <w:r>
        <w:rPr>
          <w:rFonts w:ascii="仿宋_GB2312" w:hAnsi="宋体" w:eastAsia="仿宋_GB2312"/>
          <w:sz w:val="32"/>
          <w:szCs w:val="32"/>
        </w:rPr>
        <w:t>上市公司不得利用会计政策变更和会计估计变更操纵营业收入、净利润、净资产等财务指标</w:t>
      </w:r>
      <w:r>
        <w:rPr>
          <w:rFonts w:hint="eastAsia" w:ascii="仿宋_GB2312" w:hAnsi="宋体" w:eastAsia="仿宋_GB2312"/>
          <w:sz w:val="32"/>
          <w:szCs w:val="32"/>
        </w:rPr>
        <w:t>。</w:t>
      </w:r>
    </w:p>
    <w:p w14:paraId="1032CA9C">
      <w:pPr>
        <w:numPr>
          <w:ilvl w:val="2"/>
          <w:numId w:val="41"/>
        </w:numPr>
        <w:tabs>
          <w:tab w:val="left" w:pos="1560"/>
        </w:tabs>
        <w:snapToGrid w:val="0"/>
        <w:spacing w:line="560" w:lineRule="exact"/>
        <w:ind w:left="0" w:firstLine="640" w:firstLineChars="200"/>
        <w:rPr>
          <w:rFonts w:ascii="仿宋_GB2312" w:eastAsia="仿宋_GB2312"/>
          <w:sz w:val="32"/>
          <w:szCs w:val="32"/>
        </w:rPr>
      </w:pPr>
      <w:r>
        <w:rPr>
          <w:rFonts w:ascii="仿宋_GB2312" w:eastAsia="仿宋_GB2312"/>
          <w:sz w:val="32"/>
          <w:szCs w:val="32"/>
        </w:rPr>
        <w:t>上市公司会计政策变更公告应当包含本次会计政策变更情况概述、会计政策变更对公司的影响、因会计政策变更对公司最近2年已披露的年度财务报告进行追溯调整导致已披露的报告年度出现盈亏性质改变的说明（如有）等。</w:t>
      </w:r>
    </w:p>
    <w:p w14:paraId="7BC51F99">
      <w:p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公司自主变更会计政策的，除应当在董事会审议通过后及时按照前款规定披露外，还应当披露董事会和审计委员会对会计政策变更是否符合相关规定的意见。需股东会审议的，还应当披露会计师事务所出具的专项意见。</w:t>
      </w:r>
    </w:p>
    <w:p w14:paraId="3BAF02F0">
      <w:pPr>
        <w:numPr>
          <w:ilvl w:val="2"/>
          <w:numId w:val="41"/>
        </w:numPr>
        <w:tabs>
          <w:tab w:val="left" w:pos="1560"/>
        </w:tabs>
        <w:snapToGrid w:val="0"/>
        <w:spacing w:line="560" w:lineRule="exact"/>
        <w:ind w:left="0" w:firstLine="640" w:firstLineChars="200"/>
        <w:rPr>
          <w:rFonts w:ascii="仿宋_GB2312" w:eastAsia="仿宋_GB2312"/>
          <w:sz w:val="32"/>
          <w:szCs w:val="32"/>
        </w:rPr>
      </w:pPr>
      <w:r>
        <w:rPr>
          <w:rFonts w:ascii="仿宋_GB2312" w:eastAsia="仿宋_GB2312"/>
          <w:sz w:val="32"/>
          <w:szCs w:val="32"/>
        </w:rPr>
        <w:t>上市公司变更会计估计的，应当在变更生效当期的定期报告披露前将变更事项提交董事会审议，并在董事会审议通过后比照自主变更会计政策履行披露义务</w:t>
      </w:r>
      <w:r>
        <w:rPr>
          <w:rFonts w:hint="eastAsia" w:ascii="仿宋_GB2312" w:eastAsia="仿宋_GB2312"/>
          <w:sz w:val="32"/>
          <w:szCs w:val="32"/>
        </w:rPr>
        <w:t>。</w:t>
      </w:r>
    </w:p>
    <w:p w14:paraId="3C6D9B61">
      <w:pPr>
        <w:numPr>
          <w:ilvl w:val="2"/>
          <w:numId w:val="41"/>
        </w:numPr>
        <w:tabs>
          <w:tab w:val="left" w:pos="1560"/>
        </w:tabs>
        <w:snapToGrid w:val="0"/>
        <w:spacing w:line="560" w:lineRule="exact"/>
        <w:ind w:left="0" w:firstLine="640" w:firstLineChars="200"/>
        <w:rPr>
          <w:rFonts w:ascii="仿宋_GB2312" w:eastAsia="仿宋_GB2312"/>
          <w:sz w:val="32"/>
          <w:szCs w:val="32"/>
        </w:rPr>
      </w:pPr>
      <w:r>
        <w:rPr>
          <w:rFonts w:ascii="仿宋_GB2312" w:eastAsia="仿宋_GB2312"/>
          <w:sz w:val="32"/>
          <w:szCs w:val="32"/>
        </w:rPr>
        <w:t>上市公司计提资产减值准备或者核销资产，对公司当期损益的影响占公司最近一个会计年度经审计净利润绝对值的比例在10%以上且绝对金额超过100万元的，应当及时披露</w:t>
      </w:r>
      <w:r>
        <w:rPr>
          <w:rFonts w:hint="eastAsia" w:ascii="仿宋_GB2312" w:eastAsia="仿宋_GB2312"/>
          <w:sz w:val="32"/>
          <w:szCs w:val="32"/>
        </w:rPr>
        <w:t>。</w:t>
      </w:r>
    </w:p>
    <w:p w14:paraId="1423FD41">
      <w:pPr>
        <w:pStyle w:val="36"/>
        <w:numPr>
          <w:ilvl w:val="1"/>
          <w:numId w:val="1"/>
        </w:numPr>
        <w:ind w:left="0" w:firstLine="643"/>
        <w:rPr>
          <w:rFonts w:hint="eastAsia"/>
        </w:rPr>
      </w:pPr>
      <w:bookmarkStart w:id="666" w:name="_Toc170284248"/>
      <w:bookmarkStart w:id="667" w:name="_Toc8290"/>
      <w:bookmarkStart w:id="668" w:name="_Toc23063"/>
      <w:r>
        <w:rPr>
          <w:rFonts w:hint="eastAsia"/>
        </w:rPr>
        <w:t>其他</w:t>
      </w:r>
      <w:bookmarkEnd w:id="666"/>
      <w:bookmarkEnd w:id="667"/>
      <w:bookmarkEnd w:id="668"/>
    </w:p>
    <w:p w14:paraId="64C95D1C">
      <w:pPr>
        <w:tabs>
          <w:tab w:val="left" w:pos="425"/>
          <w:tab w:val="left" w:pos="1418"/>
          <w:tab w:val="left" w:pos="1560"/>
        </w:tabs>
        <w:snapToGrid w:val="0"/>
        <w:spacing w:line="560" w:lineRule="exact"/>
        <w:ind w:left="640"/>
        <w:rPr>
          <w:rFonts w:hint="eastAsia" w:ascii="仿宋_GB2312" w:hAnsi="宋体" w:eastAsia="仿宋_GB2312"/>
          <w:sz w:val="32"/>
          <w:szCs w:val="32"/>
        </w:rPr>
      </w:pPr>
      <w:r>
        <w:rPr>
          <w:rFonts w:hint="eastAsia" w:ascii="仿宋_GB2312" w:hAnsi="宋体" w:eastAsia="仿宋_GB2312"/>
          <w:sz w:val="32"/>
          <w:szCs w:val="32"/>
        </w:rPr>
        <w:t>9.4.1 上市公司应当及时披露下列重大诉讼、仲裁：</w:t>
      </w:r>
    </w:p>
    <w:p w14:paraId="62251C1A">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（一）涉案金额超过</w:t>
      </w:r>
      <w:r>
        <w:rPr>
          <w:rFonts w:ascii="仿宋_GB2312" w:hAnsi="宋体" w:eastAsia="仿宋_GB2312"/>
          <w:sz w:val="32"/>
          <w:szCs w:val="32"/>
        </w:rPr>
        <w:t>1000万元，且占公司最近一期经审计总资产</w:t>
      </w:r>
      <w:r>
        <w:rPr>
          <w:rFonts w:hint="eastAsia" w:ascii="仿宋_GB2312" w:hAnsi="宋体" w:eastAsia="仿宋_GB2312"/>
          <w:sz w:val="32"/>
          <w:szCs w:val="32"/>
        </w:rPr>
        <w:t>或者</w:t>
      </w:r>
      <w:r>
        <w:rPr>
          <w:rFonts w:ascii="仿宋_GB2312" w:hAnsi="宋体" w:eastAsia="仿宋_GB2312"/>
          <w:sz w:val="32"/>
          <w:szCs w:val="32"/>
        </w:rPr>
        <w:t>市值</w:t>
      </w:r>
      <w:r>
        <w:rPr>
          <w:rFonts w:hint="eastAsia" w:ascii="仿宋_GB2312" w:hAnsi="宋体" w:eastAsia="仿宋_GB2312"/>
          <w:sz w:val="32"/>
          <w:szCs w:val="32"/>
        </w:rPr>
        <w:t>（按照第7.1.5条规定计算）</w:t>
      </w:r>
      <w:r>
        <w:rPr>
          <w:rFonts w:ascii="仿宋_GB2312" w:hAnsi="宋体" w:eastAsia="仿宋_GB2312"/>
          <w:sz w:val="32"/>
          <w:szCs w:val="32"/>
        </w:rPr>
        <w:t>1%以上</w:t>
      </w:r>
      <w:r>
        <w:rPr>
          <w:rFonts w:hint="eastAsia" w:ascii="仿宋_GB2312" w:hAnsi="宋体" w:eastAsia="仿宋_GB2312"/>
          <w:sz w:val="32"/>
          <w:szCs w:val="32"/>
        </w:rPr>
        <w:t>；</w:t>
      </w:r>
    </w:p>
    <w:p w14:paraId="18C4C77C">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（二）股东会、董事会决议被申请撤销、确认不成立或者宣告无效；</w:t>
      </w:r>
    </w:p>
    <w:p w14:paraId="356289E1">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（三）证券纠纷代表人诉讼；</w:t>
      </w:r>
    </w:p>
    <w:p w14:paraId="5C76C148">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（四）可能对公司控制权稳定、生产经营或股票交易价格产生较大影响的其他诉讼、仲裁。</w:t>
      </w:r>
    </w:p>
    <w:p w14:paraId="48F74082">
      <w:pPr>
        <w:tabs>
          <w:tab w:val="left" w:pos="425"/>
          <w:tab w:val="left" w:pos="1418"/>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9.4.2 上市公司应当履行承诺。未履行承诺的，应当及时披露原因及解决措施。  </w:t>
      </w:r>
    </w:p>
    <w:p w14:paraId="3CBBD886">
      <w:p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上市公司应当督促相关方履行承诺。相关方未履行承诺的，上市公司应当及时披露董事会拟采取的措施。</w:t>
      </w:r>
    </w:p>
    <w:p w14:paraId="7432EAC7">
      <w:pPr>
        <w:tabs>
          <w:tab w:val="left" w:pos="425"/>
          <w:tab w:val="left" w:pos="1418"/>
          <w:tab w:val="left" w:pos="1560"/>
        </w:tabs>
        <w:snapToGrid w:val="0"/>
        <w:spacing w:line="560" w:lineRule="exact"/>
        <w:ind w:firstLine="640" w:firstLineChars="200"/>
        <w:rPr>
          <w:rFonts w:ascii="仿宋_GB2312" w:eastAsia="仿宋_GB2312"/>
          <w:sz w:val="32"/>
          <w:szCs w:val="32"/>
        </w:rPr>
      </w:pPr>
      <w:r>
        <w:rPr>
          <w:rFonts w:ascii="仿宋_GB2312" w:eastAsia="仿宋_GB2312"/>
          <w:sz w:val="32"/>
          <w:szCs w:val="32"/>
        </w:rPr>
        <w:t xml:space="preserve">9.4.3 </w:t>
      </w:r>
      <w:r>
        <w:rPr>
          <w:rFonts w:hint="eastAsia" w:ascii="仿宋_GB2312" w:eastAsia="仿宋_GB2312"/>
          <w:sz w:val="32"/>
          <w:szCs w:val="32"/>
        </w:rPr>
        <w:t>上市公司应当建立完善募集资金的存储、使用、变更、决策、监督和责任追究等制度，披露募集资金重点投向科技创新领域的具体安排，并持续披露募集资金使用情况。</w:t>
      </w:r>
    </w:p>
    <w:p w14:paraId="3364B4F3">
      <w:pPr>
        <w:tabs>
          <w:tab w:val="left" w:pos="425"/>
          <w:tab w:val="left" w:pos="1418"/>
          <w:tab w:val="left" w:pos="1560"/>
        </w:tabs>
        <w:snapToGrid w:val="0"/>
        <w:spacing w:line="560" w:lineRule="exact"/>
        <w:ind w:left="640"/>
        <w:rPr>
          <w:rFonts w:ascii="仿宋_GB2312" w:eastAsia="仿宋_GB2312"/>
          <w:sz w:val="32"/>
          <w:szCs w:val="32"/>
        </w:rPr>
      </w:pPr>
      <w:r>
        <w:rPr>
          <w:rFonts w:hint="eastAsia" w:ascii="仿宋_GB2312" w:eastAsia="仿宋_GB2312"/>
          <w:sz w:val="32"/>
          <w:szCs w:val="32"/>
        </w:rPr>
        <w:t>9.4.4 上市公司出现下列情形之一的，应当及时披露：</w:t>
      </w:r>
    </w:p>
    <w:p w14:paraId="779FE8B4">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（一）变更公司名称、股票简称、公司章程、注册资本、注册地址、主要办公地址和联系电话等；</w:t>
      </w:r>
    </w:p>
    <w:p w14:paraId="69E98F70">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经营方针和经营范围</w:t>
      </w:r>
      <w:r>
        <w:rPr>
          <w:rFonts w:hint="eastAsia" w:ascii="仿宋_GB2312" w:eastAsia="仿宋_GB2312"/>
          <w:sz w:val="32"/>
          <w:szCs w:val="32"/>
        </w:rPr>
        <w:t>发生</w:t>
      </w:r>
      <w:r>
        <w:rPr>
          <w:rFonts w:ascii="仿宋_GB2312" w:eastAsia="仿宋_GB2312"/>
          <w:sz w:val="32"/>
          <w:szCs w:val="32"/>
        </w:rPr>
        <w:t>重大变化；</w:t>
      </w:r>
    </w:p>
    <w:p w14:paraId="3CB42C16">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w:t>
      </w:r>
      <w:r>
        <w:rPr>
          <w:rFonts w:ascii="仿宋_GB2312" w:hAnsi="宋体" w:eastAsia="仿宋_GB2312"/>
          <w:sz w:val="32"/>
          <w:szCs w:val="32"/>
        </w:rPr>
        <w:t>董事会就公司发行新股、可转换公司债券、优先股、公司债券等境内外融资方案形成相关决议</w:t>
      </w:r>
      <w:r>
        <w:rPr>
          <w:rFonts w:hint="eastAsia" w:ascii="仿宋_GB2312" w:eastAsia="仿宋_GB2312"/>
          <w:sz w:val="32"/>
          <w:szCs w:val="32"/>
        </w:rPr>
        <w:t>；</w:t>
      </w:r>
    </w:p>
    <w:p w14:paraId="68D71215">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（四）公司发行新股或者其他境内外发行融资申请、重大资产重组事项等收到相应的审核意见；</w:t>
      </w:r>
    </w:p>
    <w:p w14:paraId="09BF66C0">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（五）公司的董事、总经理、董事会秘书或者财务负责人辞任、被公司解聘；</w:t>
      </w:r>
    </w:p>
    <w:p w14:paraId="63DA3315">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（六）聘任或者解聘为公司定期报告出具审计意见的会计师事务所；</w:t>
      </w:r>
    </w:p>
    <w:p w14:paraId="5D1BB425">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（七）法院裁定禁止公司控股股东转让其所持本公司股份；</w:t>
      </w:r>
    </w:p>
    <w:p w14:paraId="6BC6D4D4">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（八）持股5%以上股东的</w:t>
      </w:r>
      <w:r>
        <w:rPr>
          <w:rFonts w:ascii="仿宋_GB2312" w:eastAsia="仿宋_GB2312"/>
          <w:sz w:val="32"/>
          <w:szCs w:val="32"/>
        </w:rPr>
        <w:t>股份被</w:t>
      </w:r>
      <w:r>
        <w:rPr>
          <w:rFonts w:hint="eastAsia" w:ascii="仿宋_GB2312" w:eastAsia="仿宋_GB2312"/>
          <w:sz w:val="32"/>
          <w:szCs w:val="32"/>
        </w:rPr>
        <w:t>冻结、司法拍卖、托管、设定信托或者被依法限制表决权</w:t>
      </w:r>
      <w:r>
        <w:rPr>
          <w:rFonts w:ascii="仿宋_GB2312" w:eastAsia="仿宋_GB2312"/>
          <w:sz w:val="32"/>
          <w:szCs w:val="32"/>
        </w:rPr>
        <w:t>；</w:t>
      </w:r>
    </w:p>
    <w:p w14:paraId="6C054B63">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（九）发生可能对公司资产、负债、权益或者经营成果产生重大影响的其他事项；</w:t>
      </w:r>
    </w:p>
    <w:p w14:paraId="4E201F93">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（十）本所或者公司认定的其他情形。</w:t>
      </w:r>
    </w:p>
    <w:p w14:paraId="23C9DF27">
      <w:p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上述事项涉及具体金额的，比照适用第7.1.2条的规定或本所其他规定。</w:t>
      </w:r>
    </w:p>
    <w:p w14:paraId="2870D326">
      <w:pPr>
        <w:snapToGrid w:val="0"/>
        <w:spacing w:line="560" w:lineRule="exact"/>
        <w:ind w:firstLine="640" w:firstLineChars="200"/>
        <w:rPr>
          <w:rFonts w:hint="eastAsia" w:ascii="仿宋_GB2312" w:hAnsi="Arial Unicode MS" w:eastAsia="仿宋_GB2312" w:cs="Arial Unicode MS"/>
          <w:sz w:val="32"/>
          <w:szCs w:val="32"/>
        </w:rPr>
      </w:pPr>
    </w:p>
    <w:p w14:paraId="180B8B0E">
      <w:pPr>
        <w:pStyle w:val="81"/>
        <w:tabs>
          <w:tab w:val="left" w:pos="142"/>
          <w:tab w:val="clear" w:pos="992"/>
        </w:tabs>
        <w:ind w:firstLine="643"/>
        <w:rPr>
          <w:rFonts w:hint="eastAsia"/>
          <w:b/>
          <w:bCs/>
        </w:rPr>
      </w:pPr>
      <w:bookmarkStart w:id="669" w:name="_Toc530127402"/>
      <w:bookmarkEnd w:id="669"/>
      <w:bookmarkStart w:id="670" w:name="_Toc530127407"/>
      <w:bookmarkEnd w:id="670"/>
      <w:bookmarkStart w:id="671" w:name="_Toc530127408"/>
      <w:bookmarkEnd w:id="671"/>
      <w:bookmarkStart w:id="672" w:name="_Toc530127399"/>
      <w:bookmarkEnd w:id="672"/>
      <w:bookmarkStart w:id="673" w:name="_Toc530127400"/>
      <w:bookmarkEnd w:id="673"/>
      <w:bookmarkStart w:id="674" w:name="_Toc530127401"/>
      <w:bookmarkEnd w:id="674"/>
      <w:bookmarkStart w:id="675" w:name="_Toc530127397"/>
      <w:bookmarkEnd w:id="675"/>
      <w:bookmarkStart w:id="676" w:name="_Toc530127406"/>
      <w:bookmarkEnd w:id="676"/>
      <w:bookmarkStart w:id="677" w:name="_Toc530127403"/>
      <w:bookmarkEnd w:id="677"/>
      <w:bookmarkStart w:id="678" w:name="_Toc530127405"/>
      <w:bookmarkEnd w:id="678"/>
      <w:bookmarkStart w:id="679" w:name="_Toc530127398"/>
      <w:bookmarkEnd w:id="679"/>
      <w:bookmarkStart w:id="680" w:name="_Toc530127404"/>
      <w:bookmarkEnd w:id="680"/>
      <w:bookmarkStart w:id="681" w:name="_Toc28256"/>
      <w:bookmarkStart w:id="682" w:name="_Toc170284249"/>
      <w:bookmarkStart w:id="683" w:name="_Toc5825"/>
      <w:r>
        <w:rPr>
          <w:rFonts w:hint="eastAsia"/>
          <w:b/>
          <w:bCs/>
        </w:rPr>
        <w:t>股权激励</w:t>
      </w:r>
      <w:bookmarkEnd w:id="681"/>
      <w:bookmarkEnd w:id="682"/>
      <w:bookmarkEnd w:id="683"/>
    </w:p>
    <w:p w14:paraId="5C206D11">
      <w:pPr>
        <w:numPr>
          <w:ilvl w:val="2"/>
          <w:numId w:val="42"/>
        </w:numPr>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上市公司以本公司股票为标的，采用限制性股票、股票期权或者本所认可的其他方式，对董事、高级管理人员及其他员工进行长期性激励的，应当遵守本章规定，履行相应审议程序和信息披露义务。</w:t>
      </w:r>
    </w:p>
    <w:p w14:paraId="069975ED">
      <w:pPr>
        <w:numPr>
          <w:ilvl w:val="2"/>
          <w:numId w:val="42"/>
        </w:numPr>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上市公司实行股权激励计划，应当设置合理的公司业绩和个人绩效等考核指标，有利于公司持续发展，不得损害公司利益。</w:t>
      </w:r>
    </w:p>
    <w:p w14:paraId="17ACC524">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董事、高级管理人员在实行股权激励计划中，应当诚实守信、勤勉尽责，维护公司和全体股东的利益。</w:t>
      </w:r>
    </w:p>
    <w:p w14:paraId="52FCF6E9">
      <w:pPr>
        <w:numPr>
          <w:ilvl w:val="2"/>
          <w:numId w:val="42"/>
        </w:numPr>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上市公司实行股权激励计划的，应当按照有关规定履行信息披露义务。</w:t>
      </w:r>
    </w:p>
    <w:p w14:paraId="15CCF391">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上市公司应当在年度报告中披露报告期内股权激励计划的实施情况。</w:t>
      </w:r>
    </w:p>
    <w:p w14:paraId="27FF4412">
      <w:pPr>
        <w:numPr>
          <w:ilvl w:val="2"/>
          <w:numId w:val="42"/>
        </w:numPr>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激励对象可以包括上市公司的董事、高级管理人员、核心技术人员或者核心业务人员，以及公司认为应当激励的对公司经营业绩和未来发展有直接影响的其他员工，独立董事除外。</w:t>
      </w:r>
    </w:p>
    <w:p w14:paraId="358CF6F2">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单独或合计持有上市公司</w:t>
      </w:r>
      <w:r>
        <w:rPr>
          <w:rFonts w:hint="eastAsia" w:ascii="仿宋_GB2312" w:hAnsi="Calibri" w:eastAsia="仿宋_GB2312" w:cs="TimesNewRomanPSMT"/>
          <w:kern w:val="0"/>
          <w:sz w:val="32"/>
          <w:szCs w:val="32"/>
        </w:rPr>
        <w:t>5%</w:t>
      </w:r>
      <w:r>
        <w:rPr>
          <w:rFonts w:hint="eastAsia" w:ascii="仿宋_GB2312" w:hAnsi="Calibri" w:eastAsia="仿宋_GB2312" w:cs="仿宋_GB2312"/>
          <w:kern w:val="0"/>
          <w:sz w:val="32"/>
          <w:szCs w:val="32"/>
        </w:rPr>
        <w:t>以上股份的股东、上市公司实际控制人及其配偶、父母、子女以及上市公司外籍员工，在上市公司担任董事、高级管理人员、核心技术人员或者核心业务人员的，可以成为激励对象。科创公司应当充分说明前述人员成为激励对象的必要性、合理性。</w:t>
      </w:r>
    </w:p>
    <w:p w14:paraId="6A194ADD">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激励对象不得具有《上市公司股权激励管理办法》第八条第二款第一项至第六项规定的情形。</w:t>
      </w:r>
    </w:p>
    <w:p w14:paraId="6741A2EB">
      <w:pPr>
        <w:numPr>
          <w:ilvl w:val="2"/>
          <w:numId w:val="42"/>
        </w:numPr>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上市公司授予激励对象限制性股票，包括下列类型：</w:t>
      </w:r>
    </w:p>
    <w:p w14:paraId="5CE1C2CE">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（一）激励对象按照股权激励计划规定的条件，获得的转让等部分权利受到限制的本公司股票；</w:t>
      </w:r>
    </w:p>
    <w:p w14:paraId="316FD1A8">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（二）符合股权激励计划授予条件的激励对象，在满足相应获益条件后分次获得并登记的本公司股票。</w:t>
      </w:r>
    </w:p>
    <w:p w14:paraId="074254A5">
      <w:pPr>
        <w:numPr>
          <w:ilvl w:val="2"/>
          <w:numId w:val="42"/>
        </w:numPr>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上市公司授予激励对象限制性股票的价格，低于股权激励计划草案公布前</w:t>
      </w:r>
      <w:r>
        <w:rPr>
          <w:rFonts w:hint="eastAsia" w:ascii="仿宋_GB2312" w:hAnsi="Calibri" w:eastAsia="仿宋_GB2312" w:cs="TimesNewRomanPSMT"/>
          <w:kern w:val="0"/>
          <w:sz w:val="32"/>
          <w:szCs w:val="32"/>
        </w:rPr>
        <w:t>1</w:t>
      </w:r>
      <w:r>
        <w:rPr>
          <w:rFonts w:hint="eastAsia" w:ascii="仿宋_GB2312" w:hAnsi="Calibri" w:eastAsia="仿宋_GB2312" w:cs="仿宋_GB2312"/>
          <w:kern w:val="0"/>
          <w:sz w:val="32"/>
          <w:szCs w:val="32"/>
        </w:rPr>
        <w:t>个交易日、</w:t>
      </w:r>
      <w:r>
        <w:rPr>
          <w:rFonts w:hint="eastAsia" w:ascii="仿宋_GB2312" w:hAnsi="Calibri" w:eastAsia="仿宋_GB2312" w:cs="TimesNewRomanPSMT"/>
          <w:kern w:val="0"/>
          <w:sz w:val="32"/>
          <w:szCs w:val="32"/>
        </w:rPr>
        <w:t>20</w:t>
      </w:r>
      <w:r>
        <w:rPr>
          <w:rFonts w:hint="eastAsia" w:ascii="仿宋_GB2312" w:hAnsi="Calibri" w:eastAsia="仿宋_GB2312" w:cs="仿宋_GB2312"/>
          <w:kern w:val="0"/>
          <w:sz w:val="32"/>
          <w:szCs w:val="32"/>
        </w:rPr>
        <w:t>个交易日、</w:t>
      </w:r>
      <w:r>
        <w:rPr>
          <w:rFonts w:hint="eastAsia" w:ascii="仿宋_GB2312" w:hAnsi="Calibri" w:eastAsia="仿宋_GB2312" w:cs="TimesNewRomanPSMT"/>
          <w:kern w:val="0"/>
          <w:sz w:val="32"/>
          <w:szCs w:val="32"/>
        </w:rPr>
        <w:t>60</w:t>
      </w:r>
      <w:r>
        <w:rPr>
          <w:rFonts w:hint="eastAsia" w:ascii="仿宋_GB2312" w:hAnsi="Calibri" w:eastAsia="仿宋_GB2312" w:cs="仿宋_GB2312"/>
          <w:kern w:val="0"/>
          <w:sz w:val="32"/>
          <w:szCs w:val="32"/>
        </w:rPr>
        <w:t>个交易日或者</w:t>
      </w:r>
      <w:r>
        <w:rPr>
          <w:rFonts w:hint="eastAsia" w:ascii="仿宋_GB2312" w:hAnsi="Calibri" w:eastAsia="仿宋_GB2312" w:cs="TimesNewRomanPSMT"/>
          <w:kern w:val="0"/>
          <w:sz w:val="32"/>
          <w:szCs w:val="32"/>
        </w:rPr>
        <w:t>120</w:t>
      </w:r>
      <w:r>
        <w:rPr>
          <w:rFonts w:hint="eastAsia" w:ascii="仿宋_GB2312" w:hAnsi="Calibri" w:eastAsia="仿宋_GB2312" w:cs="仿宋_GB2312"/>
          <w:kern w:val="0"/>
          <w:sz w:val="32"/>
          <w:szCs w:val="32"/>
        </w:rPr>
        <w:t>个交易日公司股票交易均价的</w:t>
      </w:r>
      <w:r>
        <w:rPr>
          <w:rFonts w:hint="eastAsia" w:ascii="仿宋_GB2312" w:hAnsi="Calibri" w:eastAsia="仿宋_GB2312" w:cs="TimesNewRomanPSMT"/>
          <w:kern w:val="0"/>
          <w:sz w:val="32"/>
          <w:szCs w:val="32"/>
        </w:rPr>
        <w:t>50%</w:t>
      </w:r>
      <w:r>
        <w:rPr>
          <w:rFonts w:hint="eastAsia" w:ascii="仿宋_GB2312" w:hAnsi="Calibri" w:eastAsia="仿宋_GB2312" w:cs="仿宋_GB2312"/>
          <w:kern w:val="0"/>
          <w:sz w:val="32"/>
          <w:szCs w:val="32"/>
        </w:rPr>
        <w:t>的，应当说明定价依据及定价方式。</w:t>
      </w:r>
    </w:p>
    <w:p w14:paraId="2B1F3E53">
      <w:pPr>
        <w:autoSpaceDE w:val="0"/>
        <w:autoSpaceDN w:val="0"/>
        <w:adjustRightIn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出现前款规定情形的，上市公司应当聘请独立财务顾问，对股权激励计划的可行性、相关定价依据和定价方法的合理性、是否有利于公司持续发展、是否损害股东利益等发表意见。</w:t>
      </w:r>
    </w:p>
    <w:p w14:paraId="0C75206E">
      <w:pPr>
        <w:numPr>
          <w:ilvl w:val="2"/>
          <w:numId w:val="42"/>
        </w:numPr>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上市公司授予激励对象第10.5条第二项所述限制性股票，应当就激励对象分次获益设立条件，并在满足各次获益条件时分批进行股份登记。当次获益条件不满足的，不得进行股份登记。</w:t>
      </w:r>
    </w:p>
    <w:p w14:paraId="2BA2B2D4">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公司应当在股权激励计划中明确披露分次授予权益的数量、获益条件、股份授予或者登记时间及相关限售安排。</w:t>
      </w:r>
    </w:p>
    <w:p w14:paraId="21233E9A">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获益条件包含12个月以上的任职期限的，实际授予的权益进行登记后，可不再设置限售期。</w:t>
      </w:r>
    </w:p>
    <w:p w14:paraId="4AE93845">
      <w:pPr>
        <w:numPr>
          <w:ilvl w:val="2"/>
          <w:numId w:val="42"/>
        </w:numPr>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上市公司可以同时实施多项股权激励计划。上市公司全部在有效期内的股权激励计划所涉及的标的股票总数，累计不得超过公司股本总额的</w:t>
      </w:r>
      <w:r>
        <w:rPr>
          <w:rFonts w:hint="eastAsia" w:ascii="仿宋_GB2312" w:hAnsi="Calibri" w:eastAsia="仿宋_GB2312" w:cs="TimesNewRomanPSMT"/>
          <w:kern w:val="0"/>
          <w:sz w:val="32"/>
          <w:szCs w:val="32"/>
        </w:rPr>
        <w:t>20%</w:t>
      </w:r>
      <w:r>
        <w:rPr>
          <w:rFonts w:hint="eastAsia" w:ascii="仿宋_GB2312" w:hAnsi="Calibri" w:eastAsia="仿宋_GB2312" w:cs="仿宋_GB2312"/>
          <w:kern w:val="0"/>
          <w:sz w:val="32"/>
          <w:szCs w:val="32"/>
        </w:rPr>
        <w:t>。</w:t>
      </w:r>
    </w:p>
    <w:p w14:paraId="6418EECD">
      <w:pPr>
        <w:spacing w:line="560" w:lineRule="exact"/>
        <w:ind w:firstLine="640" w:firstLineChars="200"/>
        <w:rPr>
          <w:sz w:val="32"/>
          <w:szCs w:val="32"/>
        </w:rPr>
      </w:pPr>
    </w:p>
    <w:p w14:paraId="751ACE97">
      <w:pPr>
        <w:pStyle w:val="38"/>
        <w:numPr>
          <w:ilvl w:val="0"/>
          <w:numId w:val="1"/>
        </w:numPr>
        <w:tabs>
          <w:tab w:val="clear" w:pos="992"/>
        </w:tabs>
        <w:ind w:left="0" w:firstLine="643"/>
        <w:rPr>
          <w:rFonts w:hint="eastAsia"/>
          <w:b/>
        </w:rPr>
      </w:pPr>
      <w:bookmarkStart w:id="684" w:name="_Toc170284250"/>
      <w:bookmarkStart w:id="685" w:name="_Toc18628"/>
      <w:bookmarkStart w:id="686" w:name="_Toc1548"/>
      <w:r>
        <w:rPr>
          <w:rFonts w:hint="eastAsia"/>
          <w:b/>
        </w:rPr>
        <w:t>重大资产重组</w:t>
      </w:r>
      <w:bookmarkEnd w:id="684"/>
      <w:bookmarkEnd w:id="685"/>
      <w:bookmarkEnd w:id="686"/>
    </w:p>
    <w:p w14:paraId="4281C1F2">
      <w:pPr>
        <w:numPr>
          <w:ilvl w:val="2"/>
          <w:numId w:val="43"/>
        </w:numPr>
        <w:tabs>
          <w:tab w:val="left" w:pos="0"/>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上市公司应当依照《上市公司重大资产重组管理办法》（以下简称《重组办法》）及中国证监会其他相关规定、本规则及本所其他规定，实施重大资产重组。</w:t>
      </w:r>
    </w:p>
    <w:p w14:paraId="3839B215">
      <w:pPr>
        <w:numPr>
          <w:ilvl w:val="2"/>
          <w:numId w:val="43"/>
        </w:numPr>
        <w:tabs>
          <w:tab w:val="left" w:pos="0"/>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上市公司重大资产重组、发行股份购买资产（以下统称重大资产重组）的，标的资产应当与上市公司主营业务具有协同效应，有利于促进主营业务整合升级和提高上市公司持续经营能力。</w:t>
      </w:r>
    </w:p>
    <w:p w14:paraId="1D856052">
      <w:pPr>
        <w:numPr>
          <w:ilvl w:val="2"/>
          <w:numId w:val="43"/>
        </w:numPr>
        <w:tabs>
          <w:tab w:val="left" w:pos="0"/>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上市公司实施发行股份购买资产、合并、分立等涉及发行股票的并购重组，由本所审核，并经中国证监会注册后方可实施。</w:t>
      </w:r>
    </w:p>
    <w:p w14:paraId="0A9D42B0">
      <w:pPr>
        <w:numPr>
          <w:ilvl w:val="2"/>
          <w:numId w:val="43"/>
        </w:numPr>
        <w:tabs>
          <w:tab w:val="left" w:pos="0"/>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上市公司应当确保能够对购买的标的资产实施有效控制，保证标的资产合规运行，督促重大资产重组交易对方履行承诺。</w:t>
      </w:r>
    </w:p>
    <w:p w14:paraId="039A3DD0">
      <w:pPr>
        <w:numPr>
          <w:ilvl w:val="2"/>
          <w:numId w:val="43"/>
        </w:numPr>
        <w:tabs>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实施重大资产重组的，应当按照《企业会计准则》的有关规定确认商誉，并结合宏观环境、行业环境、实际经营状况及未来经营规划等因素，谨慎实施后续计量、列报和披露，及时进行减值测试，足额计提减值损失，并披露能够公允反映商誉价值的相关信息。</w:t>
      </w:r>
    </w:p>
    <w:p w14:paraId="6C0F3404">
      <w:pPr>
        <w:numPr>
          <w:ilvl w:val="2"/>
          <w:numId w:val="43"/>
        </w:numPr>
        <w:tabs>
          <w:tab w:val="left" w:pos="1701"/>
        </w:tabs>
        <w:snapToGrid w:val="0"/>
        <w:spacing w:line="560" w:lineRule="exact"/>
        <w:ind w:left="0"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上市公司应当聘请独立财务顾问就重大资产重组出具意见。</w:t>
      </w:r>
    </w:p>
    <w:p w14:paraId="3CD3053D">
      <w:pPr>
        <w:tabs>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独立财务顾问应当就重大资产重组的协同性和上市公司控制标的资产的能力发表明确意见，并在持续督导期间督促上市公司有效控制并整合标的资产。</w:t>
      </w:r>
    </w:p>
    <w:p w14:paraId="4033F7C0">
      <w:pPr>
        <w:tabs>
          <w:tab w:val="left" w:pos="1560"/>
        </w:tabs>
        <w:autoSpaceDE w:val="0"/>
        <w:autoSpaceDN w:val="0"/>
        <w:adjustRightInd w:val="0"/>
        <w:snapToGrid w:val="0"/>
        <w:spacing w:line="560" w:lineRule="exact"/>
        <w:ind w:firstLine="643" w:firstLineChars="200"/>
        <w:rPr>
          <w:rFonts w:hint="eastAsia" w:ascii="黑体" w:hAnsi="Arial Unicode MS" w:eastAsia="黑体" w:cs="Arial Unicode MS"/>
          <w:b/>
          <w:bCs/>
          <w:kern w:val="44"/>
          <w:sz w:val="32"/>
          <w:szCs w:val="32"/>
        </w:rPr>
      </w:pPr>
    </w:p>
    <w:p w14:paraId="509B47AC">
      <w:pPr>
        <w:pStyle w:val="38"/>
        <w:numPr>
          <w:ilvl w:val="0"/>
          <w:numId w:val="1"/>
        </w:numPr>
        <w:tabs>
          <w:tab w:val="clear" w:pos="992"/>
        </w:tabs>
        <w:ind w:left="0" w:firstLine="643"/>
        <w:rPr>
          <w:rFonts w:hint="eastAsia"/>
          <w:b/>
        </w:rPr>
      </w:pPr>
      <w:bookmarkStart w:id="687" w:name="_Toc170284251"/>
      <w:bookmarkStart w:id="688" w:name="_Toc2290"/>
      <w:bookmarkStart w:id="689" w:name="_Toc18691"/>
      <w:r>
        <w:rPr>
          <w:rFonts w:hint="eastAsia"/>
          <w:b/>
        </w:rPr>
        <w:t>退市与风险警示</w:t>
      </w:r>
      <w:bookmarkEnd w:id="687"/>
      <w:bookmarkEnd w:id="688"/>
      <w:bookmarkEnd w:id="689"/>
    </w:p>
    <w:p w14:paraId="4A2E2E83">
      <w:pPr>
        <w:pStyle w:val="36"/>
        <w:rPr>
          <w:rFonts w:hint="eastAsia"/>
        </w:rPr>
      </w:pPr>
      <w:bookmarkStart w:id="690" w:name="_Toc2953"/>
      <w:bookmarkStart w:id="691" w:name="_Toc170284252"/>
      <w:bookmarkStart w:id="692" w:name="_Toc17672"/>
      <w:r>
        <w:rPr>
          <w:rFonts w:hint="eastAsia"/>
        </w:rPr>
        <w:t>第一节 一般规定</w:t>
      </w:r>
      <w:bookmarkEnd w:id="690"/>
      <w:bookmarkEnd w:id="691"/>
      <w:bookmarkEnd w:id="692"/>
    </w:p>
    <w:p w14:paraId="759023E0">
      <w:pPr>
        <w:numPr>
          <w:ilvl w:val="2"/>
          <w:numId w:val="44"/>
        </w:numPr>
        <w:tabs>
          <w:tab w:val="left" w:pos="1560"/>
          <w:tab w:val="left" w:pos="1843"/>
          <w:tab w:val="left" w:pos="1985"/>
          <w:tab w:val="left" w:pos="2127"/>
        </w:tabs>
        <w:snapToGrid w:val="0"/>
        <w:spacing w:line="560" w:lineRule="exact"/>
        <w:ind w:left="0" w:firstLine="640" w:firstLineChars="200"/>
        <w:rPr>
          <w:rFonts w:ascii="仿宋_GB2312" w:eastAsia="仿宋_GB2312"/>
          <w:color w:val="000000"/>
          <w:sz w:val="30"/>
          <w:szCs w:val="30"/>
        </w:rPr>
      </w:pPr>
      <w:r>
        <w:rPr>
          <w:rFonts w:hint="eastAsia" w:ascii="仿宋_GB2312" w:hAnsi="黑体" w:eastAsia="仿宋_GB2312"/>
          <w:sz w:val="32"/>
          <w:szCs w:val="32"/>
        </w:rPr>
        <w:t>上市公司触及本规则规定的退市情形，导致其股票存在被终止上市风险的，本所对该公司股票启动退市程序。</w:t>
      </w:r>
    </w:p>
    <w:p w14:paraId="3AD1C105">
      <w:pPr>
        <w:numPr>
          <w:ilvl w:val="2"/>
          <w:numId w:val="44"/>
        </w:numPr>
        <w:tabs>
          <w:tab w:val="left" w:pos="1560"/>
          <w:tab w:val="left" w:pos="1843"/>
          <w:tab w:val="left" w:pos="1985"/>
          <w:tab w:val="left" w:pos="2127"/>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上市公司出现财务状况异常情况或者其他异常情况，导致其股票存在被强制终止上市的风险，或者投资者难以判断公司前景，投资者权益可能受到损害，存在其他重大风险的，本所对该公司股票实施风险警示。</w:t>
      </w:r>
    </w:p>
    <w:p w14:paraId="6D667601">
      <w:pPr>
        <w:numPr>
          <w:ilvl w:val="2"/>
          <w:numId w:val="44"/>
        </w:numPr>
        <w:tabs>
          <w:tab w:val="left" w:pos="1560"/>
          <w:tab w:val="left" w:pos="1843"/>
          <w:tab w:val="left" w:pos="1985"/>
          <w:tab w:val="left" w:pos="2127"/>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风险警示分为警示存在强制终止上市风险的风险警示（以下简称退市风险警示）和警示存在其他重大风险的其他风险警示。</w:t>
      </w:r>
    </w:p>
    <w:p w14:paraId="1B006D2B">
      <w:pPr>
        <w:numPr>
          <w:ilvl w:val="2"/>
          <w:numId w:val="44"/>
        </w:numPr>
        <w:tabs>
          <w:tab w:val="left" w:pos="1560"/>
          <w:tab w:val="left" w:pos="1843"/>
          <w:tab w:val="left" w:pos="1985"/>
          <w:tab w:val="left" w:pos="2127"/>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上市公司股票被实施退市风险警示的，在公司股票简称前冠以“</w:t>
      </w:r>
      <w:r>
        <w:rPr>
          <w:rFonts w:ascii="仿宋_GB2312" w:hAnsi="黑体" w:eastAsia="仿宋_GB2312"/>
          <w:sz w:val="32"/>
          <w:szCs w:val="32"/>
        </w:rPr>
        <w:t>*ST</w:t>
      </w:r>
      <w:r>
        <w:rPr>
          <w:rFonts w:hint="eastAsia" w:ascii="仿宋_GB2312" w:hAnsi="黑体" w:eastAsia="仿宋_GB2312"/>
          <w:sz w:val="32"/>
          <w:szCs w:val="32"/>
        </w:rPr>
        <w:t>”</w:t>
      </w:r>
      <w:r>
        <w:rPr>
          <w:rFonts w:ascii="仿宋_GB2312" w:hAnsi="黑体" w:eastAsia="仿宋_GB2312"/>
          <w:sz w:val="32"/>
          <w:szCs w:val="32"/>
        </w:rPr>
        <w:t>字样</w:t>
      </w:r>
      <w:r>
        <w:rPr>
          <w:rFonts w:hint="eastAsia" w:ascii="仿宋_GB2312" w:hAnsi="黑体" w:eastAsia="仿宋_GB2312"/>
          <w:sz w:val="32"/>
          <w:szCs w:val="32"/>
        </w:rPr>
        <w:t>；上市公司股票被实施其他风险警示的，在公司股票简称前冠以“ST”字样。</w:t>
      </w:r>
    </w:p>
    <w:p w14:paraId="7FB87818">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公司股票同时被实施退市风险警示和其他风险警示的，在公司股票简称前冠以“*ST”字样。</w:t>
      </w:r>
    </w:p>
    <w:p w14:paraId="313BBF46">
      <w:pPr>
        <w:tabs>
          <w:tab w:val="left" w:pos="1560"/>
          <w:tab w:val="left" w:pos="1843"/>
          <w:tab w:val="left" w:pos="1985"/>
          <w:tab w:val="left" w:pos="2127"/>
        </w:tabs>
        <w:snapToGrid w:val="0"/>
        <w:spacing w:line="560" w:lineRule="exact"/>
        <w:ind w:firstLine="64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股票被实施风险警示的，投资者当日通过竞价交易、大宗交易和盘后固定价格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持股5%以上股东根据已披露的增持计划增持股份可不受前述50万股买入限制。</w:t>
      </w:r>
    </w:p>
    <w:p w14:paraId="6C1FB9DC">
      <w:pPr>
        <w:tabs>
          <w:tab w:val="left" w:pos="1560"/>
          <w:tab w:val="left" w:pos="1843"/>
          <w:tab w:val="left" w:pos="1985"/>
          <w:tab w:val="left" w:pos="2127"/>
        </w:tabs>
        <w:snapToGrid w:val="0"/>
        <w:spacing w:line="560" w:lineRule="exact"/>
        <w:ind w:firstLine="64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红筹企业发行存托凭证的，前款规定的50万股调整为50万份。</w:t>
      </w:r>
    </w:p>
    <w:p w14:paraId="706AA0D8">
      <w:pPr>
        <w:numPr>
          <w:ilvl w:val="2"/>
          <w:numId w:val="44"/>
        </w:numPr>
        <w:tabs>
          <w:tab w:val="left" w:pos="1560"/>
          <w:tab w:val="left" w:pos="1843"/>
          <w:tab w:val="left" w:pos="1985"/>
          <w:tab w:val="left" w:pos="2127"/>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上市公司应当按照本章规定和要求履行信息披露和办理停复牌等义务。公司未按照本章规定履行信息披露义务的，本所知悉有关情况后可以对其股票实施停复牌、风险警示或终止上市等，并向市场公告。</w:t>
      </w:r>
    </w:p>
    <w:p w14:paraId="3311D875">
      <w:pPr>
        <w:numPr>
          <w:ilvl w:val="2"/>
          <w:numId w:val="44"/>
        </w:numPr>
        <w:tabs>
          <w:tab w:val="left" w:pos="1560"/>
          <w:tab w:val="left" w:pos="1843"/>
          <w:tab w:val="left" w:pos="1985"/>
          <w:tab w:val="left" w:pos="2127"/>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上市公司存在股票被实施风险警示或者股票终止上市风险的，应当按照本章相关规定披露风险提示公告。</w:t>
      </w:r>
    </w:p>
    <w:p w14:paraId="6B5C7FE2">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本所可以视情况要求公司增加风险提示公告的披露次数。</w:t>
      </w:r>
    </w:p>
    <w:p w14:paraId="3D896547">
      <w:pPr>
        <w:numPr>
          <w:ilvl w:val="2"/>
          <w:numId w:val="44"/>
        </w:numPr>
        <w:tabs>
          <w:tab w:val="left" w:pos="1560"/>
          <w:tab w:val="left" w:pos="1843"/>
          <w:tab w:val="left" w:pos="1985"/>
          <w:tab w:val="left" w:pos="2127"/>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出现股票被实施风险警示情形的，应当按照本章要求披露公司股票被实施风险警示的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14:paraId="020BC17C">
      <w:pPr>
        <w:numPr>
          <w:ilvl w:val="2"/>
          <w:numId w:val="44"/>
        </w:numPr>
        <w:tabs>
          <w:tab w:val="left" w:pos="1560"/>
          <w:tab w:val="left" w:pos="1843"/>
          <w:tab w:val="left" w:pos="1985"/>
          <w:tab w:val="left" w:pos="2127"/>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上市公司申请撤销风险警示的，应当向本所提交申请书、董事会决议、符合撤销风险警示条件的说明及相应证明材料等文件。</w:t>
      </w:r>
    </w:p>
    <w:p w14:paraId="674BBFC4">
      <w:pPr>
        <w:numPr>
          <w:ilvl w:val="2"/>
          <w:numId w:val="44"/>
        </w:numPr>
        <w:tabs>
          <w:tab w:val="left" w:pos="1560"/>
          <w:tab w:val="left" w:pos="1843"/>
          <w:tab w:val="left" w:pos="1985"/>
          <w:tab w:val="left" w:pos="2127"/>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本所在作出是否撤销风险警示、终止股票上市决定、撤销对公司股票终止上市的决定前，可以要求上市公司提供补充材料，公司应当在本所要求期限内提供补充材料，公司提供补充材料期间不计入本所作出相关决定的期限。</w:t>
      </w:r>
    </w:p>
    <w:p w14:paraId="5AB48BF3">
      <w:pPr>
        <w:tabs>
          <w:tab w:val="left" w:pos="108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公司未在本所要求期限内提交补充材料的，本所继续对相关事项进行审核，并按照本规则作出相关决定。</w:t>
      </w:r>
    </w:p>
    <w:p w14:paraId="2DCB0879">
      <w:pPr>
        <w:tabs>
          <w:tab w:val="left" w:pos="108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在作出是否撤销风险警示、终止股票上市决定、撤销对公司股票终止上市的决定前，可以自行或委托相关机构就公司有关情况进行调查核实，并将核查结果提交上市委员会审议。调查核实期间不计入本所作出有关决定的期限。</w:t>
      </w:r>
    </w:p>
    <w:p w14:paraId="0E641ED9">
      <w:pPr>
        <w:numPr>
          <w:ilvl w:val="2"/>
          <w:numId w:val="44"/>
        </w:numPr>
        <w:tabs>
          <w:tab w:val="left" w:pos="1560"/>
          <w:tab w:val="left" w:pos="1843"/>
          <w:tab w:val="left" w:pos="1985"/>
          <w:tab w:val="left" w:pos="2127"/>
        </w:tabs>
        <w:snapToGrid w:val="0"/>
        <w:spacing w:line="560" w:lineRule="exact"/>
        <w:ind w:left="0" w:firstLine="640" w:firstLineChars="200"/>
        <w:rPr>
          <w:rFonts w:ascii="仿宋_GB2312" w:eastAsia="仿宋_GB2312"/>
          <w:color w:val="000000"/>
          <w:sz w:val="30"/>
          <w:szCs w:val="30"/>
        </w:rPr>
      </w:pPr>
      <w:r>
        <w:rPr>
          <w:rFonts w:hint="eastAsia" w:ascii="仿宋_GB2312" w:hAnsi="黑体" w:eastAsia="仿宋_GB2312"/>
          <w:sz w:val="32"/>
          <w:szCs w:val="32"/>
        </w:rPr>
        <w:t xml:space="preserve"> 上市公司出现两项以上风险警示、终止上市情形的，其</w:t>
      </w:r>
      <w:r>
        <w:rPr>
          <w:rFonts w:ascii="仿宋_GB2312" w:hAnsi="黑体" w:eastAsia="仿宋_GB2312"/>
          <w:sz w:val="32"/>
          <w:szCs w:val="32"/>
        </w:rPr>
        <w:t>股票</w:t>
      </w:r>
      <w:r>
        <w:rPr>
          <w:rFonts w:hint="eastAsia" w:ascii="仿宋_GB2312" w:hAnsi="黑体" w:eastAsia="仿宋_GB2312"/>
          <w:sz w:val="32"/>
          <w:szCs w:val="32"/>
        </w:rPr>
        <w:t>按照先触及先适用的原则实施风险警示、终止上市。</w:t>
      </w:r>
    </w:p>
    <w:p w14:paraId="3E9A869F">
      <w:pPr>
        <w:tabs>
          <w:tab w:val="left" w:pos="1080"/>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上市公司同时存在两项以上退市风险警示情形的，</w:t>
      </w:r>
      <w:r>
        <w:rPr>
          <w:rFonts w:hint="eastAsia" w:ascii="仿宋_GB2312" w:hAnsi="黑体" w:eastAsia="仿宋_GB2312"/>
          <w:sz w:val="32"/>
          <w:szCs w:val="32"/>
        </w:rPr>
        <w:t>已满足其中一项退市风险警示撤销条件的，应当在规定期限内申请撤销相关情形对应的退市风险警示，经本所审核同意的，不再适用该情形对应的终止上市程序。</w:t>
      </w:r>
    </w:p>
    <w:p w14:paraId="58975827">
      <w:pPr>
        <w:tabs>
          <w:tab w:val="left" w:pos="108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公司同时存在两项以上风险警示情形的，须满足全部风险警示情形的撤销条件，方可撤销风险警示。</w:t>
      </w:r>
    </w:p>
    <w:p w14:paraId="56A78ACA">
      <w:pPr>
        <w:tabs>
          <w:tab w:val="left" w:pos="108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公司虽满足撤销退市风险警示条件，但还存在其他风险警示情形的，本所对公司股票实施其他风险警示。</w:t>
      </w:r>
    </w:p>
    <w:p w14:paraId="571D3131">
      <w:pPr>
        <w:numPr>
          <w:ilvl w:val="2"/>
          <w:numId w:val="44"/>
        </w:numPr>
        <w:tabs>
          <w:tab w:val="left" w:pos="1560"/>
          <w:tab w:val="left" w:pos="1843"/>
          <w:tab w:val="left" w:pos="1985"/>
          <w:tab w:val="left" w:pos="2127"/>
        </w:tabs>
        <w:snapToGrid w:val="0"/>
        <w:spacing w:line="560" w:lineRule="exact"/>
        <w:ind w:left="0" w:firstLine="640" w:firstLineChars="200"/>
        <w:rPr>
          <w:rFonts w:hint="eastAsia" w:ascii="仿宋_GB2312" w:hAnsi="黑体" w:eastAsia="仿宋_GB2312"/>
          <w:sz w:val="32"/>
          <w:szCs w:val="32"/>
        </w:rPr>
      </w:pPr>
      <w:r>
        <w:rPr>
          <w:rFonts w:ascii="仿宋_GB2312" w:hAnsi="黑体" w:eastAsia="仿宋_GB2312"/>
          <w:sz w:val="32"/>
          <w:szCs w:val="32"/>
        </w:rPr>
        <w:t xml:space="preserve"> </w:t>
      </w:r>
      <w:r>
        <w:rPr>
          <w:rFonts w:hint="eastAsia" w:ascii="仿宋_GB2312" w:hAnsi="黑体" w:eastAsia="仿宋_GB2312"/>
          <w:sz w:val="32"/>
          <w:szCs w:val="32"/>
        </w:rPr>
        <w:t>上市公司股票被终止上市的，其发行的可转换公司债券应当终止上市。</w:t>
      </w:r>
    </w:p>
    <w:p w14:paraId="3830F98F">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可转换公司债券终止上市事宜，参照股票终止上市的有关规定执行。</w:t>
      </w:r>
    </w:p>
    <w:p w14:paraId="44289C4B">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本所对可转换公司债券的终止上市事宜另有规定的，从其规定。</w:t>
      </w:r>
    </w:p>
    <w:p w14:paraId="28605792">
      <w:pPr>
        <w:pStyle w:val="36"/>
        <w:rPr>
          <w:rFonts w:hint="eastAsia"/>
        </w:rPr>
      </w:pPr>
      <w:bookmarkStart w:id="693" w:name="_Toc532393272"/>
      <w:bookmarkEnd w:id="693"/>
      <w:bookmarkStart w:id="694" w:name="_Toc532393467"/>
      <w:bookmarkEnd w:id="694"/>
      <w:bookmarkStart w:id="695" w:name="_Toc532393462"/>
      <w:bookmarkEnd w:id="695"/>
      <w:bookmarkStart w:id="696" w:name="_Toc532393273"/>
      <w:bookmarkEnd w:id="696"/>
      <w:bookmarkStart w:id="697" w:name="_Toc532393475"/>
      <w:bookmarkEnd w:id="697"/>
      <w:bookmarkStart w:id="698" w:name="_Toc532393263"/>
      <w:bookmarkEnd w:id="698"/>
      <w:bookmarkStart w:id="699" w:name="_Toc532393256"/>
      <w:bookmarkEnd w:id="699"/>
      <w:bookmarkStart w:id="700" w:name="_Toc532393262"/>
      <w:bookmarkEnd w:id="700"/>
      <w:bookmarkStart w:id="701" w:name="_Toc532393268"/>
      <w:bookmarkEnd w:id="701"/>
      <w:bookmarkStart w:id="702" w:name="_Toc532393260"/>
      <w:bookmarkEnd w:id="702"/>
      <w:bookmarkStart w:id="703" w:name="_Toc532393270"/>
      <w:bookmarkEnd w:id="703"/>
      <w:bookmarkStart w:id="704" w:name="_Toc532393479"/>
      <w:bookmarkEnd w:id="704"/>
      <w:bookmarkStart w:id="705" w:name="_Toc532393464"/>
      <w:bookmarkEnd w:id="705"/>
      <w:bookmarkStart w:id="706" w:name="_Toc532393460"/>
      <w:bookmarkEnd w:id="706"/>
      <w:bookmarkStart w:id="707" w:name="_Toc532393276"/>
      <w:bookmarkEnd w:id="707"/>
      <w:bookmarkStart w:id="708" w:name="_Toc532393470"/>
      <w:bookmarkEnd w:id="708"/>
      <w:bookmarkStart w:id="709" w:name="_Toc532393477"/>
      <w:bookmarkEnd w:id="709"/>
      <w:bookmarkStart w:id="710" w:name="_Toc532393275"/>
      <w:bookmarkEnd w:id="710"/>
      <w:bookmarkStart w:id="711" w:name="_Toc532393476"/>
      <w:bookmarkEnd w:id="711"/>
      <w:bookmarkStart w:id="712" w:name="_Toc532393472"/>
      <w:bookmarkEnd w:id="712"/>
      <w:bookmarkStart w:id="713" w:name="_Toc532393266"/>
      <w:bookmarkEnd w:id="713"/>
      <w:bookmarkStart w:id="714" w:name="_Toc532393483"/>
      <w:bookmarkEnd w:id="714"/>
      <w:bookmarkStart w:id="715" w:name="_Toc532393469"/>
      <w:bookmarkEnd w:id="715"/>
      <w:bookmarkStart w:id="716" w:name="_Toc532393471"/>
      <w:bookmarkEnd w:id="716"/>
      <w:bookmarkStart w:id="717" w:name="_Toc532393468"/>
      <w:bookmarkEnd w:id="717"/>
      <w:bookmarkStart w:id="718" w:name="_Toc532393264"/>
      <w:bookmarkEnd w:id="718"/>
      <w:bookmarkStart w:id="719" w:name="_Toc532393473"/>
      <w:bookmarkEnd w:id="719"/>
      <w:bookmarkStart w:id="720" w:name="_Toc532393480"/>
      <w:bookmarkEnd w:id="720"/>
      <w:bookmarkStart w:id="721" w:name="_Toc532393257"/>
      <w:bookmarkEnd w:id="721"/>
      <w:bookmarkStart w:id="722" w:name="_Toc532393269"/>
      <w:bookmarkEnd w:id="722"/>
      <w:bookmarkStart w:id="723" w:name="_Toc532393465"/>
      <w:bookmarkEnd w:id="723"/>
      <w:bookmarkStart w:id="724" w:name="_Toc532393261"/>
      <w:bookmarkEnd w:id="724"/>
      <w:bookmarkStart w:id="725" w:name="_Toc532393265"/>
      <w:bookmarkEnd w:id="725"/>
      <w:bookmarkStart w:id="726" w:name="_Toc532393461"/>
      <w:bookmarkEnd w:id="726"/>
      <w:bookmarkStart w:id="727" w:name="_Toc532393258"/>
      <w:bookmarkEnd w:id="727"/>
      <w:bookmarkStart w:id="728" w:name="_Toc532393267"/>
      <w:bookmarkEnd w:id="728"/>
      <w:bookmarkStart w:id="729" w:name="_Toc532393474"/>
      <w:bookmarkEnd w:id="729"/>
      <w:bookmarkStart w:id="730" w:name="_Toc532393478"/>
      <w:bookmarkEnd w:id="730"/>
      <w:bookmarkStart w:id="731" w:name="_Toc532393259"/>
      <w:bookmarkEnd w:id="731"/>
      <w:bookmarkStart w:id="732" w:name="_Toc532393466"/>
      <w:bookmarkEnd w:id="732"/>
      <w:bookmarkStart w:id="733" w:name="_Toc532393274"/>
      <w:bookmarkEnd w:id="733"/>
      <w:bookmarkStart w:id="734" w:name="_Toc532393463"/>
      <w:bookmarkEnd w:id="734"/>
      <w:bookmarkStart w:id="735" w:name="_Toc532393277"/>
      <w:bookmarkEnd w:id="735"/>
      <w:bookmarkStart w:id="736" w:name="_Toc532393255"/>
      <w:bookmarkEnd w:id="736"/>
      <w:bookmarkStart w:id="737" w:name="_Toc532393254"/>
      <w:bookmarkEnd w:id="737"/>
      <w:bookmarkStart w:id="738" w:name="_Toc532393481"/>
      <w:bookmarkEnd w:id="738"/>
      <w:bookmarkStart w:id="739" w:name="_Toc532393271"/>
      <w:bookmarkEnd w:id="739"/>
      <w:bookmarkStart w:id="740" w:name="_Toc532393482"/>
      <w:bookmarkEnd w:id="740"/>
      <w:bookmarkStart w:id="741" w:name="_Toc6872"/>
      <w:bookmarkStart w:id="742" w:name="_Toc10213"/>
      <w:bookmarkStart w:id="743" w:name="_Toc170284253"/>
      <w:r>
        <w:rPr>
          <w:rFonts w:hint="eastAsia"/>
        </w:rPr>
        <w:t>第二节 重大违法强制退市</w:t>
      </w:r>
      <w:bookmarkEnd w:id="741"/>
      <w:bookmarkEnd w:id="742"/>
      <w:bookmarkEnd w:id="743"/>
    </w:p>
    <w:p w14:paraId="21644018">
      <w:pPr>
        <w:numPr>
          <w:ilvl w:val="2"/>
          <w:numId w:val="45"/>
        </w:numPr>
        <w:tabs>
          <w:tab w:val="left" w:pos="1560"/>
          <w:tab w:val="left" w:pos="1843"/>
          <w:tab w:val="left" w:pos="1985"/>
          <w:tab w:val="left" w:pos="2127"/>
          <w:tab w:val="clear" w:pos="1844"/>
        </w:tabs>
        <w:snapToGrid w:val="0"/>
        <w:spacing w:line="560" w:lineRule="exact"/>
        <w:ind w:left="0" w:firstLine="640"/>
        <w:rPr>
          <w:rFonts w:hint="eastAsia" w:ascii="仿宋_GB2312" w:hAnsi="黑体" w:eastAsia="仿宋_GB2312"/>
          <w:sz w:val="32"/>
          <w:szCs w:val="32"/>
        </w:rPr>
      </w:pPr>
      <w:r>
        <w:rPr>
          <w:rFonts w:hint="eastAsia" w:ascii="仿宋_GB2312" w:hAnsi="黑体" w:eastAsia="仿宋_GB2312"/>
          <w:sz w:val="32"/>
          <w:szCs w:val="32"/>
        </w:rPr>
        <w:t>本规则所称重大违法强制退市，包括下列情形：</w:t>
      </w:r>
    </w:p>
    <w:p w14:paraId="2BD30ED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（一）上市公司存在欺诈发行、重大信息披露违法或者其他严重损害证券市场秩序的重大违法行为，且严重影响上市地位，其股票应当被终止上市的情形；</w:t>
      </w:r>
    </w:p>
    <w:p w14:paraId="3A62D749">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（二）上市公司存在涉及国家安全、公共安全、生态安全、生产安全和公众健康安全等领域的违法行为，情节恶劣，严重损害国家利益、社会公共利益，或者严重影响上市地位，其股票应当被终止上市的情形。</w:t>
      </w:r>
    </w:p>
    <w:p w14:paraId="678FFD43">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上市公司涉及第12.2.1条第一项规定的重大违法行为，存在下列情形之一的，其股票应当被终止上市：</w:t>
      </w:r>
    </w:p>
    <w:p w14:paraId="7B27403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首次公开发行股票，申请或者披露文件存在虚假记载、误导性陈述或重大遗漏，被中国证监会依据《证券法》第一百八十一条作出行政处罚决定，或者被人民法院依据《刑法》第一百六十条作出有罪生效判决。</w:t>
      </w:r>
    </w:p>
    <w:p w14:paraId="29C8DAC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上市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14:paraId="50BCE052">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上市公司披露的年度报告存在虚假记载、误导性陈述或者重大遗漏，根据中国证监会行政处罚决定载明的事实，导致2019年度至2024年度内的任意连续会计年度财务类指标已实际触及相应年度的终止上市情形；或者导致2024年度及以后年度的任意连续会计年度财务类指标已实际触及本章第四节规定的终止上市情形。</w:t>
      </w:r>
    </w:p>
    <w:p w14:paraId="5C425FE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根据中国证监会行政处罚决定载明的事实，公司披露的营业收入、利润总额或者净利润任一年度虚假记载金额达到2亿元以上，且超过该年度披露的相应科目金额绝对值的30%；或者资产负债表中资产和负债科目任一年度虚假记载金额合计达到2亿元以上，且超过该年度披露的年度期末净资产金额绝对值的30%（计算资产负债表中资产和负债科目虚假记载金额合计数时，虚增和虚减金额合计计算；本项情形适用于2024年度及以后年度的虚假记载行为）。</w:t>
      </w:r>
    </w:p>
    <w:p w14:paraId="6302054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根据中国证监会行政处罚决定载明的事实，公司披露的营业收入、利润总额或者净利润连续2年虚假记载金额合计达到3亿元以上，且超过该2年披露的相应科目合计金额的20%；或者公司披露的资产负债表中资产和负债科目连续2年虚假记载金额合计达到3亿元以上，且超过该2年披露的年度期末净资产合计金额的20%（计算前述合计数时，相关财务数据为负值的，先取其绝对值再合计计算；计算资产负债表中资产和负债科目虚假记载金额合计数时，虚增和虚减金额合计计算；本项情形适用于2024年度及以后年度的虚假记载行为）。</w:t>
      </w:r>
    </w:p>
    <w:p w14:paraId="02F82A4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六）根据中国证监会行政处罚决定载明的事实，公司披露的年度报告财务指标连续3年存在虚假记载，前述财务指标包括营业收入、利润总额、净利润、资产负债表中的资产或者负债科目（本项情形适用于2020年度及以后年度的虚假记载行为）。 </w:t>
      </w:r>
    </w:p>
    <w:p w14:paraId="144C904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根据中国证监会行政处罚决定载明的事实，公司披露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w:t>
      </w:r>
      <w:r>
        <w:rPr>
          <w:rFonts w:ascii="仿宋_GB2312" w:hAnsi="黑体" w:eastAsia="仿宋_GB2312"/>
          <w:sz w:val="32"/>
          <w:szCs w:val="32"/>
        </w:rPr>
        <w:t>本</w:t>
      </w:r>
      <w:r>
        <w:rPr>
          <w:rFonts w:hint="eastAsia" w:ascii="仿宋_GB2312" w:hAnsi="黑体" w:eastAsia="仿宋_GB2312"/>
          <w:sz w:val="32"/>
          <w:szCs w:val="32"/>
        </w:rPr>
        <w:t>项情形</w:t>
      </w:r>
      <w:r>
        <w:rPr>
          <w:rFonts w:ascii="仿宋_GB2312" w:hAnsi="黑体" w:eastAsia="仿宋_GB2312"/>
          <w:sz w:val="32"/>
          <w:szCs w:val="32"/>
        </w:rPr>
        <w:t>适用于</w:t>
      </w:r>
      <w:r>
        <w:rPr>
          <w:rFonts w:hint="eastAsia" w:ascii="仿宋_GB2312" w:hAnsi="黑体" w:eastAsia="仿宋_GB2312"/>
          <w:sz w:val="32"/>
          <w:szCs w:val="32"/>
        </w:rPr>
        <w:t>2020年度</w:t>
      </w:r>
      <w:r>
        <w:rPr>
          <w:rFonts w:ascii="仿宋_GB2312" w:hAnsi="黑体" w:eastAsia="仿宋_GB2312"/>
          <w:sz w:val="32"/>
          <w:szCs w:val="32"/>
        </w:rPr>
        <w:t>至</w:t>
      </w:r>
      <w:r>
        <w:rPr>
          <w:rFonts w:hint="eastAsia" w:ascii="仿宋_GB2312" w:hAnsi="黑体" w:eastAsia="仿宋_GB2312"/>
          <w:sz w:val="32"/>
          <w:szCs w:val="32"/>
        </w:rPr>
        <w:t>2024年度）。</w:t>
      </w:r>
    </w:p>
    <w:p w14:paraId="08C4232E">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（八）本所根据上市公司违法行为的事实、性质、情节及社会影响等因素认定的其他严重损害证券市场秩序的情形。</w:t>
      </w:r>
    </w:p>
    <w:p w14:paraId="0AF68A7C">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上市公司涉及第12.2.1条第二项规定的重大违法行为，存在下列情形之一的，其股票应当被终止上市：</w:t>
      </w:r>
    </w:p>
    <w:p w14:paraId="6894CA36">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（一）上市公司或其主要子公司被依法吊销营业执照、责令关闭或者被撤销；</w:t>
      </w:r>
    </w:p>
    <w:p w14:paraId="54A0BE3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（二）上市公司或其主要子公司被依法吊销主营业务生产经营许可证，或者存在丧失继续生产经营法律资格的其他情形；</w:t>
      </w:r>
    </w:p>
    <w:p w14:paraId="4157131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（三）本所根据上市公司重大违法行为损害国家利益、社会公共利益的严重程度，结合公司承担法律责任类型、对公司生产经营和上市地位的影响程度等情形，认为公司股票应当终止上市的。</w:t>
      </w:r>
    </w:p>
    <w:p w14:paraId="6CCE71EA">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上市公司可能触及本节规定的重大违法强制退市情形的，应当于知悉相关行政机关行政处罚事先告知书或者人民法院作出司法裁判当日向</w:t>
      </w:r>
      <w:r>
        <w:rPr>
          <w:rFonts w:ascii="仿宋_GB2312" w:hAnsi="黑体" w:eastAsia="仿宋_GB2312"/>
          <w:sz w:val="32"/>
          <w:szCs w:val="32"/>
        </w:rPr>
        <w:t>本所报告</w:t>
      </w:r>
      <w:r>
        <w:rPr>
          <w:rFonts w:hint="eastAsia" w:ascii="仿宋_GB2312" w:hAnsi="黑体" w:eastAsia="仿宋_GB2312"/>
          <w:sz w:val="32"/>
          <w:szCs w:val="32"/>
        </w:rPr>
        <w:t>，及时披露有关内容，就其股票可能被实施重大违法强制退市进行风险提示。公司股票于公告披露日起停牌，公告披露日为非交易日的，于次一交易日起停牌。</w:t>
      </w:r>
    </w:p>
    <w:p w14:paraId="7B2947DA">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在公司股票停牌之日后5个交易日内，根据实际情况，对公司股票实施退市风险警示。公司应当按照本所要求在其股票被实施退市风险警示之前一个交易日作出公告。公司股票自公告披露日后的次一交易日起复牌。自复牌之日起，本所对公司股票实施退市风险警示。</w:t>
      </w:r>
    </w:p>
    <w:p w14:paraId="2FF3EC2B">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上市公司未及时披露的，本所可以在获悉相关情况后对公司股票实施停牌，并向市场公告。</w:t>
      </w:r>
    </w:p>
    <w:p w14:paraId="046B52D1">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公司股票因第一款情形被实施退市风险警示期间，公司应当每5个交易日披露一次相关事项进展，并就公司股票可能被实施重大违法强制退市进行风险提示。</w:t>
      </w:r>
    </w:p>
    <w:p w14:paraId="71770160">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上市公司在股票被实施退市风险警示期间，收到相关行政机关相应行政处罚决定或者人民法院生效司法裁判，未触及本节规定的重大违法强制退市情形，应当及时披露。</w:t>
      </w:r>
      <w:r>
        <w:rPr>
          <w:rFonts w:hint="eastAsia" w:ascii="仿宋_GB2312" w:hAnsi="Arial Unicode MS" w:eastAsia="仿宋_GB2312" w:cs="Arial Unicode MS"/>
          <w:color w:val="000000"/>
          <w:sz w:val="32"/>
          <w:szCs w:val="32"/>
        </w:rPr>
        <w:t>公司股票在公告披露日停牌一天，公告披露日为非交易日的，于披露日次一交易日停牌一天。本所自复牌之日起撤销对公司股票实施的退市风险警示。</w:t>
      </w:r>
    </w:p>
    <w:p w14:paraId="3C326E08">
      <w:pPr>
        <w:tabs>
          <w:tab w:val="left" w:pos="1560"/>
          <w:tab w:val="left" w:pos="1985"/>
          <w:tab w:val="left" w:pos="2127"/>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上市公司虽满足本条规定的退市风险警示的撤销条件，但具有其他退市风险警示情形的，按其他退市风险警示的程序执行，不予撤销退市风险警示。</w:t>
      </w:r>
    </w:p>
    <w:p w14:paraId="601C5ED5">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股票被实施退市风险警示期间，收到相关行政机关相应行政处罚决定或者人民法院生效司法裁判，可能触及本节规定的重大违法强制退市情形的，应当及时披露有关内容，就其股票可能被实施重大违法强制退市进行风险提示。公司股票自公告披露日起停牌。披露日为非交易日的，自披露日次一交易日起停牌。</w:t>
      </w:r>
    </w:p>
    <w:p w14:paraId="210B5FF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上市公司未按本条规定及时披露的，</w:t>
      </w:r>
      <w:r>
        <w:rPr>
          <w:rFonts w:hint="eastAsia" w:ascii="仿宋_GB2312" w:hAnsi="Arial Unicode MS" w:eastAsia="仿宋_GB2312" w:cs="Arial Unicode MS"/>
          <w:color w:val="000000"/>
          <w:sz w:val="32"/>
          <w:szCs w:val="32"/>
        </w:rPr>
        <w:t>本所可以在获悉相关情况后对公司股票实施停牌，</w:t>
      </w:r>
      <w:r>
        <w:rPr>
          <w:rFonts w:hint="eastAsia" w:ascii="仿宋_GB2312" w:hAnsi="黑体" w:eastAsia="仿宋_GB2312"/>
          <w:sz w:val="32"/>
          <w:szCs w:val="32"/>
        </w:rPr>
        <w:t>并向市场公告。</w:t>
      </w:r>
    </w:p>
    <w:p w14:paraId="7DC1DE13">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本所根据第12.2.6条对</w:t>
      </w: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公司股票实施停牌的，自停牌之日起的5个交易日内，向公司发出拟终止其股票上市的事先告知书，公司应当及时披露。</w:t>
      </w:r>
    </w:p>
    <w:p w14:paraId="70887281">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上市公司收到终止上市事先告知书后，可以根据本章第六节的规定提出听证、陈述和申辩。</w:t>
      </w:r>
    </w:p>
    <w:p w14:paraId="4550A9B9">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本所上市委员会在前款规定的有关期限届满或者听证程序结束后15个交易日内，就是否触及重大违法强制退市情形并终止上市进行审议，作出独立的专业判断并形成审议意见。</w:t>
      </w:r>
    </w:p>
    <w:p w14:paraId="2D9531E8">
      <w:pPr>
        <w:tabs>
          <w:tab w:val="left" w:pos="1560"/>
          <w:tab w:val="left" w:pos="1843"/>
          <w:tab w:val="left" w:pos="1985"/>
          <w:tab w:val="left" w:pos="2127"/>
        </w:tabs>
        <w:snapToGrid w:val="0"/>
        <w:spacing w:line="560" w:lineRule="exact"/>
        <w:rPr>
          <w:rFonts w:hint="eastAsia" w:ascii="仿宋_GB2312" w:hAnsi="黑体" w:eastAsia="仿宋_GB2312"/>
          <w:sz w:val="32"/>
          <w:szCs w:val="32"/>
        </w:rPr>
      </w:pPr>
      <w:r>
        <w:rPr>
          <w:rFonts w:hint="eastAsia" w:ascii="仿宋_GB2312" w:hAnsi="黑体" w:eastAsia="仿宋_GB2312"/>
          <w:sz w:val="32"/>
          <w:szCs w:val="32"/>
        </w:rPr>
        <w:t xml:space="preserve">    本所根据上市委员会的审议意见，作出是否终止股票上市的决定。</w:t>
      </w:r>
    </w:p>
    <w:p w14:paraId="2C48290C">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14:paraId="7F8A032D">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 xml:space="preserve"> 本所在作出终止股票上市决定之日起2个交易日内，通知上市公司并披露相关公告，同时报中国证监会备案。</w:t>
      </w:r>
    </w:p>
    <w:p w14:paraId="2DEFBBBE">
      <w:pPr>
        <w:tabs>
          <w:tab w:val="left" w:pos="1560"/>
          <w:tab w:val="left" w:pos="1843"/>
          <w:tab w:val="left" w:pos="1985"/>
          <w:tab w:val="left" w:pos="2127"/>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公司应当在收到本所关于终止其股票上市决定后，及时披露股票终止上市公告。</w:t>
      </w:r>
    </w:p>
    <w:p w14:paraId="052AE629">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公司可以按照本章第六节的规定申请复核。</w:t>
      </w:r>
    </w:p>
    <w:p w14:paraId="3ABC515A">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上市公司因重大违法强制退市情形，其股票被终止上市后，作为上市公司重大违法强制退市认定依据的行政处罚决定、司法裁判被依法撤销、确认无效或者因对违法行为性质、违法事实等的认定发生重大变化被依法变更的，公司可以在知道相关行政机关决定或者人民法院生效司法裁判后的10个交易日内，向本所申请撤销对公司股票作出的终止上市决定。</w:t>
      </w:r>
    </w:p>
    <w:p w14:paraId="38D73CEC">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本所自收到上市公司按照前条规定提出的撤销申请之日起的15个交易日内，召开上市委员会会议，根据</w:t>
      </w:r>
      <w:r>
        <w:rPr>
          <w:rFonts w:hint="eastAsia" w:ascii="仿宋_GB2312" w:hAnsi="黑体" w:eastAsia="仿宋_GB2312"/>
          <w:sz w:val="32"/>
          <w:szCs w:val="32"/>
        </w:rPr>
        <w:t>相关行政机关</w:t>
      </w:r>
      <w:r>
        <w:rPr>
          <w:rFonts w:hint="eastAsia" w:ascii="仿宋_GB2312" w:hAnsi="仿宋" w:eastAsia="仿宋_GB2312" w:cs="Arial"/>
          <w:sz w:val="32"/>
          <w:szCs w:val="32"/>
        </w:rPr>
        <w:t>决定或者人民法院生效司法裁判，审议是否撤销对公司股票作出的终止上市决定，并形成审议意见。</w:t>
      </w:r>
    </w:p>
    <w:p w14:paraId="1A9778D8">
      <w:pPr>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本所根据上市委员会的审议意见，作出是否撤销对公司股票作出的终止上市决定的决定。</w:t>
      </w:r>
    </w:p>
    <w:p w14:paraId="5FE50461">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hint="eastAsia" w:ascii="仿宋_GB2312" w:hAnsi="黑体" w:eastAsia="仿宋_GB2312"/>
          <w:i/>
          <w:sz w:val="32"/>
          <w:szCs w:val="32"/>
        </w:rPr>
      </w:pPr>
      <w:r>
        <w:rPr>
          <w:rFonts w:hint="eastAsia" w:ascii="仿宋_GB2312" w:hAnsi="仿宋" w:eastAsia="仿宋_GB2312" w:cs="Arial"/>
          <w:sz w:val="32"/>
          <w:szCs w:val="32"/>
        </w:rPr>
        <w:t>本所作出撤销终止上市决定的，公司股票相应还原上市地位。公司股票同时具有其他的风险警示或者终止上市情形，本所对其股票实施相应风险警示或者终止上市。</w:t>
      </w:r>
    </w:p>
    <w:p w14:paraId="25B46CCF">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仿宋" w:eastAsia="仿宋_GB2312" w:cs="Arial"/>
          <w:sz w:val="32"/>
          <w:szCs w:val="32"/>
        </w:rPr>
        <w:t>本所在作出撤销决定之日起2个交易日内，通知公司并披露相关公告，同时报中国证监会备案。</w:t>
      </w:r>
    </w:p>
    <w:p w14:paraId="6904D617">
      <w:pPr>
        <w:numPr>
          <w:ilvl w:val="2"/>
          <w:numId w:val="45"/>
        </w:numPr>
        <w:tabs>
          <w:tab w:val="left" w:pos="1560"/>
          <w:tab w:val="left" w:pos="1843"/>
          <w:tab w:val="left" w:pos="1985"/>
          <w:tab w:val="left" w:pos="2127"/>
          <w:tab w:val="clear" w:pos="1844"/>
        </w:tabs>
        <w:snapToGrid w:val="0"/>
        <w:spacing w:line="560" w:lineRule="exact"/>
        <w:ind w:left="0" w:firstLine="640" w:firstLineChars="200"/>
        <w:rPr>
          <w:rFonts w:hint="eastAsia" w:ascii="仿宋_GB2312" w:hAnsi="仿宋" w:eastAsia="仿宋_GB2312" w:cs="Arial"/>
          <w:sz w:val="32"/>
          <w:szCs w:val="32"/>
        </w:rPr>
      </w:pPr>
      <w:r>
        <w:rPr>
          <w:rFonts w:hint="eastAsia" w:ascii="仿宋_GB2312" w:hAnsi="黑体" w:eastAsia="仿宋_GB2312"/>
          <w:sz w:val="32"/>
          <w:szCs w:val="32"/>
        </w:rPr>
        <w:t>公司可以在收到本所撤销决定之日起</w:t>
      </w:r>
      <w:r>
        <w:rPr>
          <w:rFonts w:ascii="仿宋_GB2312" w:hAnsi="黑体" w:eastAsia="仿宋_GB2312"/>
          <w:sz w:val="32"/>
          <w:szCs w:val="32"/>
        </w:rPr>
        <w:t>20个交易日内，向本所申请</w:t>
      </w:r>
      <w:r>
        <w:rPr>
          <w:rFonts w:hint="eastAsia" w:ascii="仿宋_GB2312" w:hAnsi="黑体" w:eastAsia="仿宋_GB2312"/>
          <w:sz w:val="32"/>
          <w:szCs w:val="32"/>
        </w:rPr>
        <w:t>还原</w:t>
      </w:r>
      <w:r>
        <w:rPr>
          <w:rFonts w:ascii="仿宋_GB2312" w:hAnsi="黑体" w:eastAsia="仿宋_GB2312"/>
          <w:sz w:val="32"/>
          <w:szCs w:val="32"/>
        </w:rPr>
        <w:t>上市地位。</w:t>
      </w:r>
      <w:r>
        <w:rPr>
          <w:rFonts w:hint="eastAsia" w:ascii="仿宋_GB2312" w:hAnsi="仿宋" w:eastAsia="仿宋_GB2312" w:cs="Arial"/>
          <w:sz w:val="32"/>
          <w:szCs w:val="32"/>
        </w:rPr>
        <w:t>公司股份已经转入</w:t>
      </w:r>
      <w:r>
        <w:rPr>
          <w:rFonts w:hint="eastAsia" w:ascii="仿宋_GB2312" w:hAnsi="黑体" w:eastAsia="仿宋_GB2312"/>
          <w:sz w:val="32"/>
          <w:szCs w:val="32"/>
        </w:rPr>
        <w:t>全国中小企业股份转让系统等</w:t>
      </w:r>
      <w:r>
        <w:rPr>
          <w:rFonts w:ascii="仿宋_GB2312" w:hAnsi="黑体" w:eastAsia="仿宋_GB2312"/>
          <w:sz w:val="32"/>
          <w:szCs w:val="32"/>
        </w:rPr>
        <w:t>证券交易场所</w:t>
      </w:r>
      <w:r>
        <w:rPr>
          <w:rFonts w:hint="eastAsia" w:ascii="仿宋_GB2312" w:hAnsi="仿宋" w:eastAsia="仿宋_GB2312" w:cs="Arial"/>
          <w:sz w:val="32"/>
          <w:szCs w:val="32"/>
        </w:rPr>
        <w:t>转让的，本所在公司办理完毕其股份的重新确认、登记、托管等相关手续后安排其股票上市交易。</w:t>
      </w:r>
    </w:p>
    <w:p w14:paraId="2D9CA2F9">
      <w:pPr>
        <w:tabs>
          <w:tab w:val="left" w:pos="1560"/>
          <w:tab w:val="left" w:pos="1843"/>
          <w:tab w:val="left" w:pos="1985"/>
          <w:tab w:val="left" w:pos="2127"/>
        </w:tabs>
        <w:snapToGrid w:val="0"/>
        <w:spacing w:line="560" w:lineRule="exact"/>
        <w:ind w:firstLine="640"/>
        <w:rPr>
          <w:rFonts w:hint="eastAsia" w:ascii="仿宋_GB2312" w:hAnsi="仿宋" w:eastAsia="仿宋_GB2312" w:cs="Arial"/>
          <w:sz w:val="32"/>
          <w:szCs w:val="32"/>
        </w:rPr>
      </w:pPr>
      <w:r>
        <w:rPr>
          <w:rFonts w:hint="eastAsia" w:ascii="仿宋_GB2312" w:hAnsi="仿宋" w:eastAsia="仿宋_GB2312" w:cs="Arial"/>
          <w:sz w:val="32"/>
          <w:szCs w:val="32"/>
        </w:rPr>
        <w:t>公司应当在其股票还原上市地位前与本所重新签订上市协议，明确双方的权利、义务及其他有关事项。公司控股股东、实际控制人、董事、高级管理人员等应当签署并提交相应声明与承诺，其所持股份在公司股票恢复正常交易时的流通或者限售安排，应当按照法律法规、本规则以及本所有关规定执行。</w:t>
      </w:r>
    </w:p>
    <w:p w14:paraId="54CE7ECA">
      <w:pPr>
        <w:tabs>
          <w:tab w:val="left" w:pos="1560"/>
          <w:tab w:val="left" w:pos="1843"/>
          <w:tab w:val="left" w:pos="1985"/>
          <w:tab w:val="left" w:pos="2127"/>
        </w:tabs>
        <w:snapToGrid w:val="0"/>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公司股票还原上市地位首日不设涨跌幅。</w:t>
      </w:r>
    </w:p>
    <w:p w14:paraId="57CF252B">
      <w:pPr>
        <w:pStyle w:val="36"/>
        <w:rPr>
          <w:rFonts w:hint="eastAsia"/>
        </w:rPr>
      </w:pPr>
      <w:bookmarkStart w:id="744" w:name="_Toc21627"/>
      <w:bookmarkStart w:id="745" w:name="_Toc170284254"/>
      <w:bookmarkStart w:id="746" w:name="_Toc15200"/>
      <w:r>
        <w:rPr>
          <w:rFonts w:hint="eastAsia"/>
        </w:rPr>
        <w:t>第三节 交易类强制退市</w:t>
      </w:r>
      <w:bookmarkEnd w:id="744"/>
      <w:bookmarkEnd w:id="745"/>
      <w:bookmarkEnd w:id="746"/>
    </w:p>
    <w:p w14:paraId="049269CA">
      <w:pPr>
        <w:numPr>
          <w:ilvl w:val="2"/>
          <w:numId w:val="46"/>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上市公司出现下列情形之一的，本所决定终止其股票上市：</w:t>
      </w:r>
    </w:p>
    <w:p w14:paraId="214F8FDC">
      <w:pPr>
        <w:pStyle w:val="20"/>
        <w:shd w:val="clear" w:color="auto" w:fill="FFFFFF"/>
        <w:spacing w:before="0" w:beforeAutospacing="0" w:after="0" w:afterAutospacing="0"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w:t>
      </w:r>
      <w:r>
        <w:rPr>
          <w:rFonts w:hint="eastAsia" w:ascii="仿宋_GB2312" w:hAnsi="Arial Unicode MS" w:eastAsia="仿宋_GB2312" w:cs="Arial Unicode MS"/>
          <w:color w:val="000000"/>
          <w:sz w:val="32"/>
          <w:szCs w:val="32"/>
        </w:rPr>
        <w:t>通过本所交易系统连续120个交易日实现的累计股票成交量低于200万股</w:t>
      </w:r>
      <w:r>
        <w:rPr>
          <w:rFonts w:hint="eastAsia" w:ascii="仿宋_GB2312" w:hAnsi="黑体" w:eastAsia="仿宋_GB2312"/>
          <w:sz w:val="32"/>
          <w:szCs w:val="32"/>
        </w:rPr>
        <w:t>；</w:t>
      </w:r>
    </w:p>
    <w:p w14:paraId="01911FA5">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（二）连续20个交易日每日股票收盘价均低于1元；</w:t>
      </w:r>
    </w:p>
    <w:p w14:paraId="6AFA4265">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（三）连续20个交易日在本所的每日股票收盘市值均低于</w:t>
      </w:r>
      <w:r>
        <w:rPr>
          <w:rFonts w:ascii="仿宋_GB2312" w:hAnsi="黑体" w:eastAsia="仿宋_GB2312"/>
          <w:sz w:val="32"/>
          <w:szCs w:val="32"/>
        </w:rPr>
        <w:t>3</w:t>
      </w:r>
      <w:r>
        <w:rPr>
          <w:rFonts w:hint="eastAsia" w:ascii="仿宋_GB2312" w:hAnsi="黑体" w:eastAsia="仿宋_GB2312"/>
          <w:sz w:val="32"/>
          <w:szCs w:val="32"/>
        </w:rPr>
        <w:t>亿元；</w:t>
      </w:r>
    </w:p>
    <w:p w14:paraId="34E8BB1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（四）连续20个交易日每日股东数量均低于4</w:t>
      </w:r>
      <w:r>
        <w:rPr>
          <w:rFonts w:ascii="仿宋_GB2312" w:hAnsi="黑体" w:eastAsia="仿宋_GB2312"/>
          <w:sz w:val="32"/>
          <w:szCs w:val="32"/>
        </w:rPr>
        <w:t>00</w:t>
      </w:r>
      <w:r>
        <w:rPr>
          <w:rFonts w:hint="eastAsia" w:ascii="仿宋_GB2312" w:hAnsi="黑体" w:eastAsia="仿宋_GB2312"/>
          <w:sz w:val="32"/>
          <w:szCs w:val="32"/>
        </w:rPr>
        <w:t>人；</w:t>
      </w:r>
    </w:p>
    <w:p w14:paraId="034D218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（五）本所认定的其他情形。</w:t>
      </w:r>
    </w:p>
    <w:p w14:paraId="460C691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前款规定的交易日，不包含公司股票停牌日和公司首次公开发行股票上市之日起的20个交易日。</w:t>
      </w:r>
    </w:p>
    <w:p w14:paraId="32C4A60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红筹企业发行存托凭证的，第一款第一项调整为通过本所交易系统连续120个交易日实现的累计存托凭证成交量低于200万份；第一款第二项调整为连续20个交易日每日存托凭证收盘价乘以存托凭证与基础股票转换比例后的数值均低于1元；第一款第三项调整为连续20个交易日每日存托凭证收盘市值均低于</w:t>
      </w:r>
      <w:r>
        <w:rPr>
          <w:rFonts w:ascii="仿宋_GB2312" w:hAnsi="黑体" w:eastAsia="仿宋_GB2312"/>
          <w:sz w:val="32"/>
          <w:szCs w:val="32"/>
        </w:rPr>
        <w:t>3</w:t>
      </w:r>
      <w:r>
        <w:rPr>
          <w:rFonts w:hint="eastAsia" w:ascii="仿宋_GB2312" w:hAnsi="黑体" w:eastAsia="仿宋_GB2312"/>
          <w:sz w:val="32"/>
          <w:szCs w:val="32"/>
        </w:rPr>
        <w:t>亿元；不适用第一款第四项的规定。</w:t>
      </w:r>
    </w:p>
    <w:p w14:paraId="7D3D3E8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证券市场出现重大异常波动等情形的，本所可以根据实际情况调整本条规定的交易指标。</w:t>
      </w:r>
    </w:p>
    <w:p w14:paraId="490320C9">
      <w:pPr>
        <w:numPr>
          <w:ilvl w:val="2"/>
          <w:numId w:val="46"/>
        </w:numPr>
        <w:tabs>
          <w:tab w:val="left" w:pos="0"/>
          <w:tab w:val="left" w:pos="1560"/>
          <w:tab w:val="clear" w:pos="1418"/>
        </w:tabs>
        <w:snapToGrid w:val="0"/>
        <w:spacing w:line="560" w:lineRule="exact"/>
        <w:ind w:left="0"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上市公司出现连续</w:t>
      </w:r>
      <w:r>
        <w:rPr>
          <w:rFonts w:ascii="仿宋_GB2312" w:hAnsi="Arial Unicode MS" w:eastAsia="仿宋_GB2312" w:cs="Arial Unicode MS"/>
          <w:color w:val="000000"/>
          <w:sz w:val="32"/>
          <w:szCs w:val="32"/>
        </w:rPr>
        <w:t>90个交易</w:t>
      </w:r>
      <w:r>
        <w:rPr>
          <w:rFonts w:hint="eastAsia" w:ascii="仿宋_GB2312" w:hAnsi="Arial Unicode MS" w:eastAsia="仿宋_GB2312" w:cs="Arial Unicode MS"/>
          <w:color w:val="000000"/>
          <w:sz w:val="32"/>
          <w:szCs w:val="32"/>
        </w:rPr>
        <w:t>日通过本所交易系统实现的累计股票成交量低于150</w:t>
      </w:r>
      <w:r>
        <w:rPr>
          <w:rFonts w:ascii="仿宋_GB2312" w:hAnsi="Arial Unicode MS" w:eastAsia="仿宋_GB2312" w:cs="Arial Unicode MS"/>
          <w:color w:val="000000"/>
          <w:sz w:val="32"/>
          <w:szCs w:val="32"/>
        </w:rPr>
        <w:t>万股的，应</w:t>
      </w:r>
      <w:r>
        <w:rPr>
          <w:rFonts w:hint="eastAsia" w:ascii="仿宋_GB2312" w:hAnsi="Arial Unicode MS" w:eastAsia="仿宋_GB2312" w:cs="Arial Unicode MS"/>
          <w:color w:val="000000"/>
          <w:sz w:val="32"/>
          <w:szCs w:val="32"/>
        </w:rPr>
        <w:t>当</w:t>
      </w:r>
      <w:r>
        <w:rPr>
          <w:rFonts w:ascii="仿宋_GB2312" w:hAnsi="Arial Unicode MS" w:eastAsia="仿宋_GB2312" w:cs="Arial Unicode MS"/>
          <w:color w:val="000000"/>
          <w:sz w:val="32"/>
          <w:szCs w:val="32"/>
        </w:rPr>
        <w:t>在</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w:t>
      </w:r>
      <w:r>
        <w:rPr>
          <w:rFonts w:hint="eastAsia" w:ascii="仿宋_GB2312" w:hAnsi="Arial Unicode MS" w:eastAsia="仿宋_GB2312" w:cs="Arial Unicode MS"/>
          <w:color w:val="000000"/>
          <w:sz w:val="32"/>
          <w:szCs w:val="32"/>
        </w:rPr>
        <w:t>披露</w:t>
      </w:r>
      <w:r>
        <w:rPr>
          <w:rFonts w:ascii="仿宋_GB2312" w:hAnsi="Arial Unicode MS" w:eastAsia="仿宋_GB2312" w:cs="Arial Unicode MS"/>
          <w:color w:val="000000"/>
          <w:sz w:val="32"/>
          <w:szCs w:val="32"/>
        </w:rPr>
        <w:t>公司股票可能被终止上市的风险提示公告，其后每个交易日披露一次，直至自上述起算时点起连续120个交易日内通过本所交易系统实现的累计成交量</w:t>
      </w:r>
      <w:r>
        <w:rPr>
          <w:rFonts w:hint="eastAsia" w:ascii="仿宋_GB2312" w:hAnsi="Arial Unicode MS" w:eastAsia="仿宋_GB2312" w:cs="Arial Unicode MS"/>
          <w:color w:val="000000"/>
          <w:sz w:val="32"/>
          <w:szCs w:val="32"/>
        </w:rPr>
        <w:t>达到2</w:t>
      </w:r>
      <w:r>
        <w:rPr>
          <w:rFonts w:ascii="仿宋_GB2312" w:hAnsi="Arial Unicode MS" w:eastAsia="仿宋_GB2312" w:cs="Arial Unicode MS"/>
          <w:color w:val="000000"/>
          <w:sz w:val="32"/>
          <w:szCs w:val="32"/>
        </w:rPr>
        <w:t>00万股</w:t>
      </w:r>
      <w:r>
        <w:rPr>
          <w:rFonts w:hint="eastAsia" w:ascii="仿宋_GB2312" w:hAnsi="Arial Unicode MS" w:eastAsia="仿宋_GB2312" w:cs="Arial Unicode MS"/>
          <w:color w:val="000000"/>
          <w:sz w:val="32"/>
          <w:szCs w:val="32"/>
        </w:rPr>
        <w:t>以上</w:t>
      </w:r>
      <w:r>
        <w:rPr>
          <w:rFonts w:ascii="仿宋_GB2312" w:hAnsi="Arial Unicode MS" w:eastAsia="仿宋_GB2312" w:cs="Arial Unicode MS"/>
          <w:color w:val="000000"/>
          <w:sz w:val="32"/>
          <w:szCs w:val="32"/>
        </w:rPr>
        <w:t>或</w:t>
      </w:r>
      <w:r>
        <w:rPr>
          <w:rFonts w:hint="eastAsia" w:ascii="仿宋_GB2312" w:hAnsi="Arial Unicode MS" w:eastAsia="仿宋_GB2312" w:cs="Arial Unicode MS"/>
          <w:color w:val="000000"/>
          <w:sz w:val="32"/>
          <w:szCs w:val="32"/>
        </w:rPr>
        <w:t>者出现终止上市情形之日止（以先达到的日期为准）。</w:t>
      </w:r>
    </w:p>
    <w:p w14:paraId="001FD39C">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在本所发行存托凭证的红筹企业出现连续90个交易日通过本所交易系统实现的累计存托凭证成交量低于150万份的，应当在次一交易日披露公司存托凭证可能被终止上市的风险提示公告，其后每个交易日披露一次，直至自上述起算时点起连续120个交易日内通过本所交易系统实现的累计成交量达到200万份以上或者出现终止上市情形之日止（以先达到的日期为准）。</w:t>
      </w:r>
    </w:p>
    <w:p w14:paraId="532C93D8">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本所可以根据实际情况，对上述风险提示标准进行调整。</w:t>
      </w:r>
    </w:p>
    <w:p w14:paraId="7374140F">
      <w:pPr>
        <w:numPr>
          <w:ilvl w:val="2"/>
          <w:numId w:val="46"/>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上市公司首次出现下列情形之一的，应当在次一交易日披露公司股票可能被终止上市的风险提示公告：</w:t>
      </w:r>
    </w:p>
    <w:p w14:paraId="5A0D8967">
      <w:pPr>
        <w:numPr>
          <w:ilvl w:val="0"/>
          <w:numId w:val="47"/>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股票收盘价低于1元；</w:t>
      </w:r>
    </w:p>
    <w:p w14:paraId="1C407962">
      <w:p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（二）在本所的股票收盘市值低于</w:t>
      </w:r>
      <w:r>
        <w:rPr>
          <w:rFonts w:ascii="仿宋_GB2312" w:hAnsi="黑体" w:eastAsia="仿宋_GB2312"/>
          <w:sz w:val="32"/>
          <w:szCs w:val="32"/>
        </w:rPr>
        <w:t>3</w:t>
      </w:r>
      <w:r>
        <w:rPr>
          <w:rFonts w:hint="eastAsia" w:ascii="仿宋_GB2312" w:hAnsi="黑体" w:eastAsia="仿宋_GB2312"/>
          <w:sz w:val="32"/>
          <w:szCs w:val="32"/>
        </w:rPr>
        <w:t xml:space="preserve">亿元。 </w:t>
      </w:r>
    </w:p>
    <w:p w14:paraId="38B6A8ED">
      <w:p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上市公司连续</w:t>
      </w:r>
      <w:r>
        <w:rPr>
          <w:rFonts w:ascii="仿宋_GB2312" w:hAnsi="Arial Unicode MS" w:eastAsia="仿宋_GB2312" w:cs="Arial Unicode MS"/>
          <w:color w:val="000000"/>
          <w:sz w:val="32"/>
          <w:szCs w:val="32"/>
        </w:rPr>
        <w:t>10个交易日出现下列情形之一的，应当在</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w:t>
      </w:r>
      <w:r>
        <w:rPr>
          <w:rFonts w:hint="eastAsia" w:ascii="仿宋_GB2312" w:hAnsi="Arial Unicode MS" w:eastAsia="仿宋_GB2312" w:cs="Arial Unicode MS"/>
          <w:color w:val="000000"/>
          <w:sz w:val="32"/>
          <w:szCs w:val="32"/>
        </w:rPr>
        <w:t>披露</w:t>
      </w:r>
      <w:r>
        <w:rPr>
          <w:rFonts w:ascii="仿宋_GB2312" w:hAnsi="Arial Unicode MS" w:eastAsia="仿宋_GB2312" w:cs="Arial Unicode MS"/>
          <w:color w:val="000000"/>
          <w:sz w:val="32"/>
          <w:szCs w:val="32"/>
        </w:rPr>
        <w:t>公司股票可能被终止上市的风险提示公告，其后每个交易日披露一次，直至相应的情形消除或者</w:t>
      </w:r>
      <w:r>
        <w:rPr>
          <w:rFonts w:hint="eastAsia" w:ascii="仿宋_GB2312" w:hAnsi="Arial Unicode MS" w:eastAsia="仿宋_GB2312" w:cs="Arial Unicode MS"/>
          <w:color w:val="000000"/>
          <w:sz w:val="32"/>
          <w:szCs w:val="32"/>
        </w:rPr>
        <w:t>出现终止上市情形之日止</w:t>
      </w:r>
      <w:r>
        <w:rPr>
          <w:rFonts w:ascii="仿宋_GB2312" w:hAnsi="Arial Unicode MS" w:eastAsia="仿宋_GB2312" w:cs="Arial Unicode MS"/>
          <w:color w:val="000000"/>
          <w:sz w:val="32"/>
          <w:szCs w:val="32"/>
        </w:rPr>
        <w:t>（以先达到的日期为准）：</w:t>
      </w:r>
    </w:p>
    <w:p w14:paraId="31DB0D72">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（一）每日股票收盘价均低于</w:t>
      </w:r>
      <w:r>
        <w:rPr>
          <w:rFonts w:hint="eastAsia" w:ascii="仿宋_GB2312" w:hAnsi="黑体" w:eastAsia="仿宋_GB2312"/>
          <w:sz w:val="32"/>
          <w:szCs w:val="32"/>
        </w:rPr>
        <w:t>1元</w:t>
      </w:r>
      <w:r>
        <w:rPr>
          <w:rFonts w:hint="eastAsia" w:ascii="仿宋_GB2312" w:hAnsi="Arial Unicode MS" w:eastAsia="仿宋_GB2312" w:cs="Arial Unicode MS"/>
          <w:color w:val="000000"/>
          <w:sz w:val="32"/>
          <w:szCs w:val="32"/>
        </w:rPr>
        <w:t>；</w:t>
      </w:r>
    </w:p>
    <w:p w14:paraId="45EA512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（二）在本所的每日股票收盘市值均低于</w:t>
      </w:r>
      <w:r>
        <w:rPr>
          <w:rFonts w:ascii="仿宋_GB2312" w:hAnsi="黑体" w:eastAsia="仿宋_GB2312"/>
          <w:sz w:val="32"/>
          <w:szCs w:val="32"/>
        </w:rPr>
        <w:t>3亿元；</w:t>
      </w:r>
    </w:p>
    <w:p w14:paraId="5B5903F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（三）每日股东数量均低于4</w:t>
      </w:r>
      <w:r>
        <w:rPr>
          <w:rFonts w:ascii="仿宋_GB2312" w:hAnsi="黑体" w:eastAsia="仿宋_GB2312"/>
          <w:sz w:val="32"/>
          <w:szCs w:val="32"/>
        </w:rPr>
        <w:t>00</w:t>
      </w:r>
      <w:r>
        <w:rPr>
          <w:rFonts w:hint="eastAsia" w:ascii="仿宋_GB2312" w:hAnsi="黑体" w:eastAsia="仿宋_GB2312"/>
          <w:sz w:val="32"/>
          <w:szCs w:val="32"/>
        </w:rPr>
        <w:t>人。</w:t>
      </w:r>
    </w:p>
    <w:p w14:paraId="538C5F8B">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红筹企业发行存托凭证的，第一款第一项和第二款第一项调整为每日存托凭证收盘价乘以存托凭证与基础股票转换比例后的数值低于1元；第一款第二项和第二款第二项调整为在本所的每日存托凭证收盘市值低于</w:t>
      </w:r>
      <w:r>
        <w:rPr>
          <w:rFonts w:ascii="仿宋_GB2312" w:hAnsi="Arial Unicode MS" w:eastAsia="仿宋_GB2312" w:cs="Arial Unicode MS"/>
          <w:color w:val="000000"/>
          <w:sz w:val="32"/>
          <w:szCs w:val="32"/>
        </w:rPr>
        <w:t>3</w:t>
      </w:r>
      <w:r>
        <w:rPr>
          <w:rFonts w:hint="eastAsia" w:ascii="仿宋_GB2312" w:hAnsi="Arial Unicode MS" w:eastAsia="仿宋_GB2312" w:cs="Arial Unicode MS"/>
          <w:color w:val="000000"/>
          <w:sz w:val="32"/>
          <w:szCs w:val="32"/>
        </w:rPr>
        <w:t>亿元。</w:t>
      </w:r>
    </w:p>
    <w:p w14:paraId="579F02D8">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本所可以根据实际情况，对上述风险提示标准进行调整。</w:t>
      </w:r>
    </w:p>
    <w:p w14:paraId="76692A79">
      <w:pPr>
        <w:numPr>
          <w:ilvl w:val="2"/>
          <w:numId w:val="46"/>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上市公司出现第</w:t>
      </w:r>
      <w:r>
        <w:rPr>
          <w:rFonts w:ascii="仿宋_GB2312" w:hAnsi="Arial Unicode MS" w:eastAsia="仿宋_GB2312" w:cs="Arial Unicode MS"/>
          <w:color w:val="000000"/>
          <w:sz w:val="32"/>
          <w:szCs w:val="32"/>
        </w:rPr>
        <w:t>12.3.1条情形之一的，其股票自情形出现的</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一交易日起停牌</w:t>
      </w:r>
      <w:r>
        <w:rPr>
          <w:rFonts w:hint="eastAsia" w:ascii="仿宋_GB2312" w:hAnsi="Arial Unicode MS" w:eastAsia="仿宋_GB2312" w:cs="Arial Unicode MS"/>
          <w:color w:val="000000"/>
          <w:sz w:val="32"/>
          <w:szCs w:val="32"/>
        </w:rPr>
        <w:t>，并披露公司股票可能被终止上市的风险提示公告</w:t>
      </w:r>
      <w:r>
        <w:rPr>
          <w:rFonts w:ascii="仿宋_GB2312" w:hAnsi="Arial Unicode MS" w:eastAsia="仿宋_GB2312" w:cs="Arial Unicode MS"/>
          <w:color w:val="000000"/>
          <w:sz w:val="32"/>
          <w:szCs w:val="32"/>
        </w:rPr>
        <w:t>。</w:t>
      </w:r>
    </w:p>
    <w:p w14:paraId="0F6B1902">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红筹企业出现第12.3.1条情形之一的，其存托凭证自该情形出现的次一交易日起开始停牌，并披露红筹企业存托凭证可能被终止上市的风险提示公告。</w:t>
      </w:r>
    </w:p>
    <w:p w14:paraId="7BF9A6A1">
      <w:pPr>
        <w:spacing w:line="560" w:lineRule="exact"/>
        <w:ind w:firstLine="640" w:firstLineChars="200"/>
        <w:rPr>
          <w:rFonts w:hint="eastAsia" w:ascii="仿宋_GB2312" w:hAnsi="仿宋_GB2312" w:eastAsia="仿宋_GB2312"/>
          <w:sz w:val="32"/>
          <w:szCs w:val="32"/>
        </w:rPr>
      </w:pPr>
      <w:r>
        <w:rPr>
          <w:rFonts w:hint="eastAsia" w:ascii="仿宋_GB2312" w:hAnsi="黑体" w:eastAsia="仿宋_GB2312"/>
          <w:sz w:val="32"/>
          <w:szCs w:val="32"/>
        </w:rPr>
        <w:t>本所自公司股票或者红筹企业存托凭证停牌之日起</w:t>
      </w:r>
      <w:r>
        <w:rPr>
          <w:rFonts w:ascii="仿宋_GB2312" w:hAnsi="黑体" w:eastAsia="仿宋_GB2312"/>
          <w:sz w:val="32"/>
          <w:szCs w:val="32"/>
        </w:rPr>
        <w:t>5个交易日内，向公司发出拟终止其股票上市的事先告知书</w:t>
      </w:r>
      <w:r>
        <w:rPr>
          <w:rFonts w:hint="eastAsia" w:ascii="仿宋_GB2312" w:hAnsi="仿宋_GB2312" w:eastAsia="仿宋_GB2312"/>
          <w:sz w:val="32"/>
          <w:szCs w:val="32"/>
        </w:rPr>
        <w:t>，上市公司应当及时披露。</w:t>
      </w:r>
    </w:p>
    <w:p w14:paraId="26EAB7E6">
      <w:pPr>
        <w:numPr>
          <w:ilvl w:val="2"/>
          <w:numId w:val="46"/>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宋体" w:eastAsia="仿宋_GB2312" w:cs="宋体"/>
          <w:kern w:val="0"/>
          <w:sz w:val="32"/>
          <w:szCs w:val="32"/>
        </w:rPr>
        <w:t>上市公司收到终止上市事先告知书后，可以根据本章第六节的规定提出听证、陈述和申辩。</w:t>
      </w:r>
    </w:p>
    <w:p w14:paraId="5EE75DD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宋体" w:eastAsia="仿宋_GB2312" w:cs="宋体"/>
          <w:kern w:val="0"/>
          <w:sz w:val="32"/>
          <w:szCs w:val="32"/>
        </w:rPr>
        <w:t>本所上市委员会在前款规定的有关期限届满或者听证程序结束后15个交易日内，就是否终止其股票或者存托凭证上市事宜进行审议，</w:t>
      </w:r>
      <w:r>
        <w:rPr>
          <w:rFonts w:hint="eastAsia" w:ascii="仿宋_GB2312" w:hAnsi="仿宋_GB2312" w:eastAsia="仿宋_GB2312"/>
          <w:sz w:val="32"/>
          <w:szCs w:val="32"/>
        </w:rPr>
        <w:t>作出独立的专业判断并形成审议意见。</w:t>
      </w:r>
    </w:p>
    <w:p w14:paraId="6195F239">
      <w:pPr>
        <w:widowControl/>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本所根据上市委员会的审议意见，作出是否终止股票或者存托凭证上市的决定。</w:t>
      </w:r>
    </w:p>
    <w:p w14:paraId="17FD7E2D">
      <w:pPr>
        <w:numPr>
          <w:ilvl w:val="2"/>
          <w:numId w:val="46"/>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 xml:space="preserve"> 本所决定不对上市公司股票或者存托凭证实施终止上市的，公司应当在收到本所相关决定后，及时披露并申请股票复牌。</w:t>
      </w:r>
    </w:p>
    <w:p w14:paraId="1ED0279E">
      <w:pPr>
        <w:numPr>
          <w:ilvl w:val="2"/>
          <w:numId w:val="46"/>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 本所在作出终止股票或者存托凭证上市的决定之日起2个交易日内，通知上市公司并披露相关公告，同时报中国证监会备案。</w:t>
      </w:r>
    </w:p>
    <w:p w14:paraId="5365811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上市公司应当在收到本所关于终止其股票或者存托凭证上市决定后，及时披露股票或者存托凭证终止上市公告。</w:t>
      </w:r>
    </w:p>
    <w:p w14:paraId="5A1E0459">
      <w:pPr>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本所在公司公告股票或者存托凭证终止上市决定之日起5个交易日内对其予以摘牌，公司股票终止上市，并转入全国中小企业股份转让系统等证券交易场所转让。</w:t>
      </w:r>
    </w:p>
    <w:p w14:paraId="162A025F">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上市公司可以按照本章第六节的规定申请复核。</w:t>
      </w:r>
    </w:p>
    <w:p w14:paraId="4AE63A1C">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上市公司应当在本所作出终止其股票上市决定后，按照第12.7.12条的规定履行相关义务。</w:t>
      </w:r>
    </w:p>
    <w:p w14:paraId="13DA3153">
      <w:pPr>
        <w:pStyle w:val="36"/>
        <w:rPr>
          <w:rFonts w:hint="eastAsia"/>
        </w:rPr>
      </w:pPr>
      <w:bookmarkStart w:id="747" w:name="_Toc29518"/>
      <w:bookmarkStart w:id="748" w:name="_Toc170284255"/>
      <w:bookmarkStart w:id="749" w:name="_Toc363"/>
      <w:r>
        <w:rPr>
          <w:rFonts w:hint="eastAsia"/>
        </w:rPr>
        <w:t>第四节 财务类强制退市</w:t>
      </w:r>
      <w:bookmarkEnd w:id="747"/>
      <w:bookmarkEnd w:id="748"/>
      <w:bookmarkEnd w:id="749"/>
    </w:p>
    <w:p w14:paraId="2FCD5B94">
      <w:pPr>
        <w:numPr>
          <w:ilvl w:val="2"/>
          <w:numId w:val="48"/>
        </w:numPr>
        <w:tabs>
          <w:tab w:val="left" w:pos="1560"/>
        </w:tabs>
        <w:snapToGrid w:val="0"/>
        <w:spacing w:line="560" w:lineRule="exact"/>
        <w:ind w:left="0" w:firstLine="640" w:firstLineChars="200"/>
        <w:rPr>
          <w:rFonts w:hint="eastAsia" w:ascii="仿宋_GB2312" w:hAnsi="黑体" w:eastAsia="仿宋_GB2312"/>
          <w:sz w:val="32"/>
          <w:szCs w:val="32"/>
          <w:u w:val="single"/>
        </w:rPr>
      </w:pPr>
      <w:r>
        <w:rPr>
          <w:rFonts w:hint="eastAsia" w:ascii="仿宋_GB2312" w:hAnsi="黑体" w:eastAsia="仿宋_GB2312"/>
          <w:sz w:val="32"/>
          <w:szCs w:val="32"/>
        </w:rPr>
        <w:t xml:space="preserve"> 上市公司出现下列情形之一，明显丧失持续经营能力，达到本规则规定标准的，本所将对其股票启动退市程序：</w:t>
      </w:r>
    </w:p>
    <w:p w14:paraId="565E8299">
      <w:pPr>
        <w:pStyle w:val="34"/>
        <w:numPr>
          <w:ilvl w:val="3"/>
          <w:numId w:val="1"/>
        </w:numPr>
        <w:tabs>
          <w:tab w:val="left" w:pos="0"/>
          <w:tab w:val="left" w:pos="1560"/>
          <w:tab w:val="left" w:pos="1843"/>
          <w:tab w:val="clear" w:pos="1980"/>
        </w:tabs>
        <w:snapToGrid w:val="0"/>
        <w:spacing w:line="560" w:lineRule="exact"/>
        <w:ind w:left="0" w:firstLine="709" w:firstLineChars="0"/>
        <w:rPr>
          <w:rFonts w:hint="eastAsia" w:ascii="仿宋_GB2312" w:hAnsi="黑体"/>
          <w:sz w:val="32"/>
          <w:szCs w:val="32"/>
        </w:rPr>
      </w:pPr>
      <w:r>
        <w:rPr>
          <w:rFonts w:hint="eastAsia" w:ascii="仿宋_GB2312" w:hAnsi="黑体"/>
          <w:sz w:val="32"/>
          <w:szCs w:val="32"/>
        </w:rPr>
        <w:t>主营业务大部分停滞或者规模极低；</w:t>
      </w:r>
    </w:p>
    <w:p w14:paraId="559A28A2">
      <w:pPr>
        <w:pStyle w:val="34"/>
        <w:numPr>
          <w:ilvl w:val="3"/>
          <w:numId w:val="1"/>
        </w:numPr>
        <w:tabs>
          <w:tab w:val="left" w:pos="0"/>
          <w:tab w:val="left" w:pos="1560"/>
          <w:tab w:val="left" w:pos="1843"/>
          <w:tab w:val="left" w:pos="1985"/>
          <w:tab w:val="clear" w:pos="1980"/>
        </w:tabs>
        <w:snapToGrid w:val="0"/>
        <w:spacing w:line="560" w:lineRule="exact"/>
        <w:ind w:left="0" w:firstLine="709" w:firstLineChars="0"/>
        <w:rPr>
          <w:rFonts w:hint="eastAsia" w:ascii="仿宋_GB2312" w:hAnsi="黑体"/>
          <w:sz w:val="32"/>
          <w:szCs w:val="32"/>
        </w:rPr>
      </w:pPr>
      <w:r>
        <w:rPr>
          <w:rFonts w:hint="eastAsia" w:ascii="仿宋_GB2312" w:hAnsi="黑体"/>
          <w:sz w:val="32"/>
          <w:szCs w:val="32"/>
        </w:rPr>
        <w:t>经营资产大幅减少导致无法维持日常经营；</w:t>
      </w:r>
    </w:p>
    <w:p w14:paraId="4F44052E">
      <w:pPr>
        <w:pStyle w:val="34"/>
        <w:numPr>
          <w:ilvl w:val="3"/>
          <w:numId w:val="1"/>
        </w:numPr>
        <w:tabs>
          <w:tab w:val="left" w:pos="0"/>
          <w:tab w:val="left" w:pos="1560"/>
          <w:tab w:val="left" w:pos="1843"/>
          <w:tab w:val="clear" w:pos="1980"/>
        </w:tabs>
        <w:snapToGrid w:val="0"/>
        <w:spacing w:line="560" w:lineRule="exact"/>
        <w:ind w:left="0" w:firstLine="709" w:firstLineChars="0"/>
        <w:rPr>
          <w:rFonts w:hint="eastAsia" w:ascii="仿宋_GB2312" w:hAnsi="黑体"/>
          <w:sz w:val="32"/>
          <w:szCs w:val="32"/>
        </w:rPr>
      </w:pPr>
      <w:r>
        <w:rPr>
          <w:rFonts w:hint="eastAsia" w:ascii="仿宋_GB2312" w:hAnsi="黑体"/>
          <w:sz w:val="32"/>
          <w:szCs w:val="32"/>
        </w:rPr>
        <w:t>营业收入或者利润主要来源于不具备商业实质的交易；</w:t>
      </w:r>
    </w:p>
    <w:p w14:paraId="6CFF9397">
      <w:pPr>
        <w:pStyle w:val="34"/>
        <w:numPr>
          <w:ilvl w:val="3"/>
          <w:numId w:val="1"/>
        </w:numPr>
        <w:tabs>
          <w:tab w:val="left" w:pos="0"/>
          <w:tab w:val="left" w:pos="1560"/>
          <w:tab w:val="left" w:pos="1843"/>
          <w:tab w:val="clear" w:pos="1980"/>
        </w:tabs>
        <w:snapToGrid w:val="0"/>
        <w:spacing w:line="560" w:lineRule="exact"/>
        <w:ind w:left="0" w:firstLine="709" w:firstLineChars="0"/>
        <w:rPr>
          <w:rFonts w:hint="eastAsia" w:ascii="仿宋_GB2312" w:hAnsi="黑体"/>
          <w:sz w:val="32"/>
          <w:szCs w:val="32"/>
          <w:u w:val="single"/>
        </w:rPr>
      </w:pPr>
      <w:r>
        <w:rPr>
          <w:rFonts w:hint="eastAsia" w:ascii="仿宋_GB2312" w:hAnsi="黑体"/>
          <w:sz w:val="32"/>
          <w:szCs w:val="32"/>
        </w:rPr>
        <w:t>营业收入或者利润主要来源于与主营业务无关的业务；</w:t>
      </w:r>
    </w:p>
    <w:p w14:paraId="40C40A8C">
      <w:pPr>
        <w:pStyle w:val="34"/>
        <w:numPr>
          <w:ilvl w:val="3"/>
          <w:numId w:val="1"/>
        </w:numPr>
        <w:tabs>
          <w:tab w:val="left" w:pos="0"/>
          <w:tab w:val="left" w:pos="1560"/>
          <w:tab w:val="left" w:pos="1843"/>
          <w:tab w:val="clear" w:pos="1980"/>
        </w:tabs>
        <w:snapToGrid w:val="0"/>
        <w:spacing w:line="560" w:lineRule="exact"/>
        <w:ind w:left="0" w:firstLine="709" w:firstLineChars="0"/>
        <w:rPr>
          <w:rFonts w:hint="eastAsia" w:ascii="仿宋_GB2312" w:hAnsi="黑体"/>
          <w:sz w:val="32"/>
          <w:szCs w:val="32"/>
          <w:u w:val="single"/>
        </w:rPr>
      </w:pPr>
      <w:r>
        <w:rPr>
          <w:rFonts w:hint="eastAsia" w:ascii="仿宋_GB2312" w:hAnsi="黑体"/>
          <w:sz w:val="32"/>
          <w:szCs w:val="32"/>
        </w:rPr>
        <w:t>其他明显丧失持续经营能力的情形。</w:t>
      </w:r>
    </w:p>
    <w:p w14:paraId="2D9DE983">
      <w:pPr>
        <w:numPr>
          <w:ilvl w:val="2"/>
          <w:numId w:val="48"/>
        </w:numPr>
        <w:tabs>
          <w:tab w:val="left" w:pos="1560"/>
        </w:tabs>
        <w:snapToGrid w:val="0"/>
        <w:spacing w:line="560" w:lineRule="exact"/>
        <w:ind w:left="0" w:firstLine="640" w:firstLineChars="200"/>
        <w:rPr>
          <w:rFonts w:hint="eastAsia" w:ascii="仿宋_GB2312" w:hAnsi="黑体" w:eastAsia="仿宋_GB2312"/>
          <w:sz w:val="32"/>
          <w:szCs w:val="32"/>
          <w:u w:val="single"/>
        </w:rPr>
      </w:pPr>
      <w:r>
        <w:rPr>
          <w:rFonts w:hint="eastAsia" w:ascii="仿宋_GB2312" w:hAnsi="黑体" w:eastAsia="仿宋_GB2312"/>
          <w:sz w:val="32"/>
          <w:szCs w:val="32"/>
        </w:rPr>
        <w:t xml:space="preserve"> 上市公司出现下列情形之一的，本所对其股票实施退市风险警示：</w:t>
      </w:r>
    </w:p>
    <w:p w14:paraId="7BF2C24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最近一个会计年度经审计的利润总额、净利润或者扣除非经常性损益后的净利润孰低者为负值且营业收入低于1亿元，或者追溯重述后最近一个会计年度利润总额、净利润或者扣除非经常性损益后的净利润孰低者为负值且营业收入低于1亿元；</w:t>
      </w:r>
    </w:p>
    <w:p w14:paraId="65066BC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w:t>
      </w:r>
      <w:r>
        <w:rPr>
          <w:rFonts w:ascii="仿宋_GB2312" w:hAnsi="黑体" w:eastAsia="仿宋_GB2312"/>
          <w:sz w:val="32"/>
          <w:szCs w:val="32"/>
        </w:rPr>
        <w:t>最近一个会计年度经审计的期末净资产为负值，或</w:t>
      </w:r>
      <w:r>
        <w:rPr>
          <w:rFonts w:hint="eastAsia" w:ascii="仿宋_GB2312" w:hAnsi="黑体" w:eastAsia="仿宋_GB2312"/>
          <w:sz w:val="32"/>
          <w:szCs w:val="32"/>
        </w:rPr>
        <w:t>者</w:t>
      </w:r>
      <w:r>
        <w:rPr>
          <w:rFonts w:ascii="仿宋_GB2312" w:hAnsi="黑体" w:eastAsia="仿宋_GB2312"/>
          <w:sz w:val="32"/>
          <w:szCs w:val="32"/>
        </w:rPr>
        <w:t>追溯重述后最近一个会计年度期末净资产为负值</w:t>
      </w:r>
      <w:r>
        <w:rPr>
          <w:rFonts w:hint="eastAsia" w:ascii="仿宋_GB2312" w:hAnsi="黑体" w:eastAsia="仿宋_GB2312"/>
          <w:sz w:val="32"/>
          <w:szCs w:val="32"/>
        </w:rPr>
        <w:t>；</w:t>
      </w:r>
    </w:p>
    <w:p w14:paraId="206DE821">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（三）最近一个会计年度的财务会计报告被出具无法表示意见或者否定意见的审计报告；</w:t>
      </w:r>
    </w:p>
    <w:p w14:paraId="55CDDDF9">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（四）中国证监会行政处罚决定书表明公司已披露的最近一个会计年度经审计的年度报告存在虚假记载、误导性陈述或者重大遗漏，导致该年度相关财务指标实际已触及第一项、第二项情形的；</w:t>
      </w:r>
    </w:p>
    <w:p w14:paraId="67D3C552">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w:t>
      </w:r>
      <w:r>
        <w:rPr>
          <w:rFonts w:ascii="仿宋_GB2312" w:hAnsi="黑体" w:eastAsia="仿宋_GB2312"/>
          <w:sz w:val="32"/>
          <w:szCs w:val="32"/>
        </w:rPr>
        <w:t>）</w:t>
      </w:r>
      <w:r>
        <w:rPr>
          <w:rFonts w:hint="eastAsia" w:ascii="仿宋_GB2312" w:hAnsi="黑体" w:eastAsia="仿宋_GB2312"/>
          <w:sz w:val="32"/>
          <w:szCs w:val="32"/>
        </w:rPr>
        <w:t>本所认定的其他情形。</w:t>
      </w:r>
    </w:p>
    <w:p w14:paraId="3EA91DD2">
      <w:pPr>
        <w:tabs>
          <w:tab w:val="left" w:pos="1560"/>
        </w:tabs>
        <w:snapToGrid w:val="0"/>
        <w:spacing w:line="560" w:lineRule="exact"/>
        <w:ind w:firstLine="640" w:firstLineChars="200"/>
        <w:rPr>
          <w:rFonts w:hint="eastAsia"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2"/>
          <w:szCs w:val="32"/>
        </w:rPr>
        <w:t>上市公司因追溯重述或者本条第一款第四项规定情形导致相关财务指标触及本条第一款第一项、第二项规定情形的，最近一个会计年度指最近一个已经披露经审计财务会计报告的年度。</w:t>
      </w:r>
    </w:p>
    <w:p w14:paraId="1121724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根据本规则第2.1.2</w:t>
      </w:r>
      <w:r>
        <w:rPr>
          <w:rFonts w:ascii="仿宋_GB2312" w:hAnsi="黑体" w:eastAsia="仿宋_GB2312"/>
          <w:sz w:val="32"/>
          <w:szCs w:val="32"/>
        </w:rPr>
        <w:t>条</w:t>
      </w:r>
      <w:r>
        <w:rPr>
          <w:rFonts w:hint="eastAsia" w:ascii="仿宋_GB2312" w:hAnsi="黑体" w:eastAsia="仿宋_GB2312"/>
          <w:sz w:val="32"/>
          <w:szCs w:val="32"/>
        </w:rPr>
        <w:t>第五项市值及财务指标</w:t>
      </w:r>
      <w:r>
        <w:rPr>
          <w:rFonts w:ascii="仿宋_GB2312" w:hAnsi="黑体" w:eastAsia="仿宋_GB2312"/>
          <w:sz w:val="32"/>
          <w:szCs w:val="32"/>
        </w:rPr>
        <w:t>上市</w:t>
      </w:r>
      <w:r>
        <w:rPr>
          <w:rFonts w:hint="eastAsia" w:ascii="仿宋_GB2312" w:hAnsi="黑体" w:eastAsia="仿宋_GB2312"/>
          <w:sz w:val="32"/>
          <w:szCs w:val="32"/>
        </w:rPr>
        <w:t>的公司（以下简称研发型上市公司）自上市之日起第4个完整会计年度起适用本条第一款第一项、第二项、</w:t>
      </w:r>
      <w:r>
        <w:rPr>
          <w:rFonts w:ascii="仿宋_GB2312" w:hAnsi="黑体" w:eastAsia="仿宋_GB2312"/>
          <w:sz w:val="32"/>
          <w:szCs w:val="32"/>
        </w:rPr>
        <w:t>第四项</w:t>
      </w:r>
      <w:r>
        <w:rPr>
          <w:rFonts w:hint="eastAsia" w:ascii="仿宋_GB2312" w:hAnsi="黑体" w:eastAsia="仿宋_GB2312"/>
          <w:sz w:val="32"/>
          <w:szCs w:val="32"/>
        </w:rPr>
        <w:t>规定的情形。</w:t>
      </w:r>
    </w:p>
    <w:p w14:paraId="6387DBC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本所可以根据实际情况调整本条第一款规定的退市指标。</w:t>
      </w:r>
    </w:p>
    <w:p w14:paraId="32265B4B">
      <w:pPr>
        <w:numPr>
          <w:ilvl w:val="2"/>
          <w:numId w:val="48"/>
        </w:numPr>
        <w:tabs>
          <w:tab w:val="left" w:pos="1560"/>
        </w:tabs>
        <w:snapToGrid w:val="0"/>
        <w:spacing w:line="560" w:lineRule="exact"/>
        <w:ind w:left="0" w:firstLine="60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0"/>
          <w:szCs w:val="30"/>
        </w:rPr>
        <w:t xml:space="preserve"> </w:t>
      </w:r>
      <w:r>
        <w:rPr>
          <w:rFonts w:ascii="仿宋_GB2312" w:hAnsi="Arial Unicode MS" w:eastAsia="仿宋_GB2312" w:cs="Arial Unicode MS"/>
          <w:color w:val="000000"/>
          <w:sz w:val="30"/>
          <w:szCs w:val="30"/>
        </w:rPr>
        <w:t xml:space="preserve"> </w:t>
      </w:r>
      <w:r>
        <w:rPr>
          <w:rFonts w:hint="eastAsia" w:ascii="仿宋_GB2312" w:hAnsi="黑体" w:eastAsia="仿宋_GB2312"/>
          <w:sz w:val="32"/>
          <w:szCs w:val="32"/>
        </w:rPr>
        <w:t>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各项收入。不具备商业实质的收入是指未导致未来现金流发生显著变化等不具有商业合理性的各项交易和事项产生的收入。</w:t>
      </w:r>
    </w:p>
    <w:p w14:paraId="1BB42172">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最近一个会计年度经审计的利润总额、净利润或者扣除非经常性损益后的净利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14:paraId="60CECEB8">
      <w:pPr>
        <w:tabs>
          <w:tab w:val="left" w:pos="1560"/>
        </w:tabs>
        <w:snapToGrid w:val="0"/>
        <w:spacing w:line="560" w:lineRule="exact"/>
        <w:ind w:firstLine="640" w:firstLineChars="200"/>
        <w:rPr>
          <w:rFonts w:hint="eastAsia" w:ascii="仿宋_GB2312" w:hAnsi="Arial Unicode MS" w:eastAsia="仿宋_GB2312" w:cs="Arial Unicode MS"/>
          <w:color w:val="000000"/>
          <w:sz w:val="30"/>
          <w:szCs w:val="30"/>
        </w:rPr>
      </w:pPr>
      <w:r>
        <w:rPr>
          <w:rFonts w:hint="eastAsia" w:ascii="仿宋_GB2312" w:hAnsi="黑体" w:eastAsia="仿宋_GB2312"/>
          <w:sz w:val="32"/>
          <w:szCs w:val="32"/>
        </w:rPr>
        <w:t>公司未按本条规定扣除相关收入的，本所可以要求公司扣除相关营业收入。公司未按照要求扣除的，本所可以扣除并对公司股票实施退市风险警示、终止上市。</w:t>
      </w:r>
    </w:p>
    <w:p w14:paraId="711310B9">
      <w:pPr>
        <w:numPr>
          <w:ilvl w:val="2"/>
          <w:numId w:val="48"/>
        </w:numPr>
        <w:tabs>
          <w:tab w:val="left" w:pos="1560"/>
        </w:tabs>
        <w:snapToGrid w:val="0"/>
        <w:spacing w:line="560" w:lineRule="exact"/>
        <w:ind w:left="0" w:firstLine="640" w:firstLineChars="200"/>
        <w:rPr>
          <w:rFonts w:hint="eastAsia" w:ascii="仿宋_GB2312" w:hAnsi="Arial Unicode MS" w:eastAsia="仿宋_GB2312" w:cs="Arial Unicode MS"/>
          <w:color w:val="000000"/>
          <w:sz w:val="30"/>
          <w:szCs w:val="30"/>
        </w:rPr>
      </w:pPr>
      <w:r>
        <w:rPr>
          <w:rFonts w:hint="eastAsia" w:ascii="仿宋_GB2312" w:hAnsi="黑体" w:eastAsia="仿宋_GB2312"/>
          <w:sz w:val="32"/>
          <w:szCs w:val="32"/>
        </w:rPr>
        <w:t xml:space="preserve"> 研发型上市公司主要业务、产品或者所依赖的基础技术研发失败或者被禁止使用，且公司无其他业务或者产品符合本规则第2.1.2条第五项规定要求的，本所将对其股票实施退市风险警示。</w:t>
      </w:r>
    </w:p>
    <w:p w14:paraId="1C8B3AFB">
      <w:pPr>
        <w:numPr>
          <w:ilvl w:val="2"/>
          <w:numId w:val="48"/>
        </w:numPr>
        <w:tabs>
          <w:tab w:val="left" w:pos="1560"/>
        </w:tabs>
        <w:snapToGrid w:val="0"/>
        <w:spacing w:line="560" w:lineRule="exact"/>
        <w:ind w:left="0" w:firstLine="640" w:firstLineChars="200"/>
        <w:rPr>
          <w:rFonts w:hint="eastAsia" w:ascii="仿宋_GB2312" w:hAnsi="Arial Unicode MS" w:eastAsia="仿宋_GB2312" w:cs="Arial Unicode MS"/>
          <w:color w:val="000000"/>
          <w:sz w:val="30"/>
          <w:szCs w:val="30"/>
        </w:rPr>
      </w:pPr>
      <w:r>
        <w:rPr>
          <w:rFonts w:ascii="仿宋_GB2312" w:hAnsi="黑体" w:eastAsia="仿宋_GB2312"/>
          <w:sz w:val="32"/>
          <w:szCs w:val="32"/>
        </w:rPr>
        <w:t xml:space="preserve"> </w:t>
      </w:r>
      <w:r>
        <w:rPr>
          <w:rFonts w:hint="eastAsia" w:ascii="仿宋_GB2312" w:hAnsi="黑体" w:eastAsia="仿宋_GB2312"/>
          <w:sz w:val="32"/>
          <w:szCs w:val="32"/>
        </w:rPr>
        <w:t>上市公司预计将出现第12.4.2条规定情形的，应当在相应的会计年度结束后一个月内，披露股票可能被实施退市风险警示的风险提示公告，并在披露年度报告前至少再披露两次风险提示公告。</w:t>
      </w:r>
    </w:p>
    <w:p w14:paraId="3C786D11">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公司预计因追溯重述导致可能出现第12.4.2条第一款第一项、第二项规定情形的，或者可能出现第</w:t>
      </w:r>
      <w:r>
        <w:rPr>
          <w:rFonts w:ascii="仿宋_GB2312" w:hAnsi="Arial Unicode MS" w:eastAsia="仿宋_GB2312" w:cs="Arial Unicode MS"/>
          <w:color w:val="000000"/>
          <w:sz w:val="32"/>
          <w:szCs w:val="32"/>
        </w:rPr>
        <w:t>12.4.2</w:t>
      </w:r>
      <w:r>
        <w:rPr>
          <w:rFonts w:hint="eastAsia" w:ascii="仿宋_GB2312" w:hAnsi="Arial Unicode MS" w:eastAsia="仿宋_GB2312" w:cs="Arial Unicode MS"/>
          <w:color w:val="000000"/>
          <w:sz w:val="32"/>
          <w:szCs w:val="32"/>
        </w:rPr>
        <w:t>条第一款第四项规定情形的，应当在知悉相关风险情况时立即披露公司股票可能被实施退市风险警示的风险提示公告。</w:t>
      </w:r>
    </w:p>
    <w:p w14:paraId="71E034D0">
      <w:pPr>
        <w:numPr>
          <w:ilvl w:val="2"/>
          <w:numId w:val="48"/>
        </w:numPr>
        <w:tabs>
          <w:tab w:val="left" w:pos="1560"/>
        </w:tabs>
        <w:snapToGrid w:val="0"/>
        <w:spacing w:line="560" w:lineRule="exact"/>
        <w:ind w:left="0" w:firstLine="640" w:firstLineChars="200"/>
        <w:rPr>
          <w:rFonts w:hint="eastAsia" w:ascii="仿宋_GB2312" w:hAnsi="Arial Unicode MS" w:eastAsia="仿宋_GB2312" w:cs="Arial Unicode MS"/>
          <w:color w:val="000000"/>
          <w:sz w:val="32"/>
          <w:szCs w:val="32"/>
        </w:rPr>
      </w:pPr>
      <w:r>
        <w:rPr>
          <w:rFonts w:hint="eastAsia" w:ascii="仿宋_GB2312" w:hAnsi="黑体" w:eastAsia="仿宋_GB2312"/>
          <w:sz w:val="32"/>
          <w:szCs w:val="32"/>
        </w:rPr>
        <w:t>上市公司出现第</w:t>
      </w:r>
      <w:r>
        <w:rPr>
          <w:rFonts w:ascii="仿宋_GB2312" w:hAnsi="黑体" w:eastAsia="仿宋_GB2312"/>
          <w:sz w:val="32"/>
          <w:szCs w:val="32"/>
        </w:rPr>
        <w:t>12.</w:t>
      </w: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2条</w:t>
      </w:r>
      <w:r>
        <w:rPr>
          <w:rFonts w:hint="eastAsia" w:ascii="仿宋_GB2312" w:hAnsi="Arial Unicode MS" w:eastAsia="仿宋_GB2312" w:cs="Arial Unicode MS"/>
          <w:color w:val="000000"/>
          <w:sz w:val="32"/>
          <w:szCs w:val="32"/>
        </w:rPr>
        <w:t>第一款</w:t>
      </w:r>
      <w:r>
        <w:rPr>
          <w:rFonts w:hint="eastAsia" w:ascii="仿宋_GB2312" w:hAnsi="黑体" w:eastAsia="仿宋_GB2312"/>
          <w:sz w:val="32"/>
          <w:szCs w:val="32"/>
        </w:rPr>
        <w:t>第一项</w:t>
      </w:r>
      <w:r>
        <w:rPr>
          <w:rFonts w:ascii="仿宋_GB2312" w:hAnsi="黑体" w:eastAsia="仿宋_GB2312"/>
          <w:sz w:val="32"/>
          <w:szCs w:val="32"/>
        </w:rPr>
        <w:t>至第三项</w:t>
      </w:r>
      <w:r>
        <w:rPr>
          <w:rFonts w:hint="eastAsia" w:ascii="仿宋_GB2312" w:hAnsi="黑体" w:eastAsia="仿宋_GB2312"/>
          <w:sz w:val="32"/>
          <w:szCs w:val="32"/>
        </w:rPr>
        <w:t>规定情形的，应当在董事会审议通过年度</w:t>
      </w:r>
      <w:r>
        <w:rPr>
          <w:rFonts w:hint="eastAsia" w:ascii="仿宋_GB2312" w:hAnsi="黑体" w:eastAsia="仿宋_GB2312" w:cs="Arial Unicode MS"/>
          <w:color w:val="000000"/>
          <w:sz w:val="32"/>
          <w:szCs w:val="32"/>
        </w:rPr>
        <w:t>报告或者财务会计报告更正事项后及时向本所报告，披露年度报告或者财务会计报告更正公告，并向本所提交董事会的书</w:t>
      </w:r>
      <w:r>
        <w:rPr>
          <w:rFonts w:hint="eastAsia" w:ascii="仿宋_GB2312" w:hAnsi="Arial Unicode MS" w:eastAsia="仿宋_GB2312" w:cs="Arial Unicode MS"/>
          <w:color w:val="000000"/>
          <w:sz w:val="32"/>
          <w:szCs w:val="32"/>
        </w:rPr>
        <w:t>面意见。公司股票自年度报告或者财务会计报告更正公告披露日起停牌。公司</w:t>
      </w:r>
      <w:r>
        <w:rPr>
          <w:rFonts w:ascii="仿宋_GB2312" w:hAnsi="黑体" w:eastAsia="仿宋_GB2312" w:cs="Arial Unicode MS"/>
          <w:color w:val="000000"/>
          <w:sz w:val="32"/>
          <w:szCs w:val="32"/>
        </w:rPr>
        <w:t>根据第1</w:t>
      </w:r>
      <w:r>
        <w:rPr>
          <w:rFonts w:hint="eastAsia" w:ascii="仿宋_GB2312" w:hAnsi="黑体" w:eastAsia="仿宋_GB2312" w:cs="Arial Unicode MS"/>
          <w:color w:val="000000"/>
          <w:sz w:val="32"/>
          <w:szCs w:val="32"/>
        </w:rPr>
        <w:t>2</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3</w:t>
      </w:r>
      <w:r>
        <w:rPr>
          <w:rFonts w:ascii="仿宋_GB2312" w:hAnsi="黑体" w:eastAsia="仿宋_GB2312" w:cs="Arial Unicode MS"/>
          <w:color w:val="000000"/>
          <w:sz w:val="32"/>
          <w:szCs w:val="32"/>
        </w:rPr>
        <w:t>条规定扣除相关营业收入</w:t>
      </w:r>
      <w:r>
        <w:rPr>
          <w:rFonts w:hint="eastAsia" w:ascii="仿宋_GB2312" w:hAnsi="黑体" w:eastAsia="仿宋_GB2312" w:cs="Arial Unicode MS"/>
          <w:color w:val="000000"/>
          <w:sz w:val="32"/>
          <w:szCs w:val="32"/>
        </w:rPr>
        <w:t>或者</w:t>
      </w:r>
      <w:r>
        <w:rPr>
          <w:rFonts w:ascii="仿宋_GB2312" w:hAnsi="黑体" w:eastAsia="仿宋_GB2312" w:cs="Arial Unicode MS"/>
          <w:color w:val="000000"/>
          <w:sz w:val="32"/>
          <w:szCs w:val="32"/>
        </w:rPr>
        <w:t>本所根据第1</w:t>
      </w:r>
      <w:r>
        <w:rPr>
          <w:rFonts w:hint="eastAsia" w:ascii="仿宋_GB2312" w:hAnsi="黑体" w:eastAsia="仿宋_GB2312" w:cs="Arial Unicode MS"/>
          <w:color w:val="000000"/>
          <w:sz w:val="32"/>
          <w:szCs w:val="32"/>
        </w:rPr>
        <w:t>2</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3</w:t>
      </w:r>
      <w:r>
        <w:rPr>
          <w:rFonts w:ascii="仿宋_GB2312" w:hAnsi="黑体" w:eastAsia="仿宋_GB2312" w:cs="Arial Unicode MS"/>
          <w:color w:val="000000"/>
          <w:sz w:val="32"/>
          <w:szCs w:val="32"/>
        </w:rPr>
        <w:t>条规定要求公司扣除相关营业收入</w:t>
      </w:r>
      <w:r>
        <w:rPr>
          <w:rFonts w:hint="eastAsia" w:ascii="仿宋_GB2312" w:hAnsi="黑体" w:eastAsia="仿宋_GB2312" w:cs="Arial Unicode MS"/>
          <w:color w:val="000000"/>
          <w:sz w:val="32"/>
          <w:szCs w:val="32"/>
        </w:rPr>
        <w:t>，</w:t>
      </w:r>
      <w:r>
        <w:rPr>
          <w:rFonts w:ascii="仿宋_GB2312" w:hAnsi="黑体" w:eastAsia="仿宋_GB2312" w:cs="Arial Unicode MS"/>
          <w:color w:val="000000"/>
          <w:sz w:val="32"/>
          <w:szCs w:val="32"/>
        </w:rPr>
        <w:t>且扣除后公司触及第12.</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.2条规定退市风险警示情形的，公司应当</w:t>
      </w:r>
      <w:r>
        <w:rPr>
          <w:rFonts w:hint="eastAsia" w:ascii="仿宋_GB2312" w:hAnsi="黑体" w:eastAsia="仿宋_GB2312" w:cs="Arial Unicode MS"/>
          <w:color w:val="000000"/>
          <w:sz w:val="32"/>
          <w:szCs w:val="32"/>
        </w:rPr>
        <w:t>立即披露或者</w:t>
      </w:r>
      <w:r>
        <w:rPr>
          <w:rFonts w:ascii="仿宋_GB2312" w:hAnsi="黑体" w:eastAsia="仿宋_GB2312" w:cs="Arial Unicode MS"/>
          <w:color w:val="000000"/>
          <w:sz w:val="32"/>
          <w:szCs w:val="32"/>
        </w:rPr>
        <w:t>在收到本所通知的</w:t>
      </w:r>
      <w:r>
        <w:rPr>
          <w:rFonts w:hint="eastAsia" w:ascii="仿宋_GB2312" w:hAnsi="黑体" w:eastAsia="仿宋_GB2312" w:cs="Arial Unicode MS"/>
          <w:color w:val="000000"/>
          <w:sz w:val="32"/>
          <w:szCs w:val="32"/>
        </w:rPr>
        <w:t>次</w:t>
      </w:r>
      <w:r>
        <w:rPr>
          <w:rFonts w:ascii="仿宋_GB2312" w:hAnsi="黑体" w:eastAsia="仿宋_GB2312" w:cs="Arial Unicode MS"/>
          <w:color w:val="000000"/>
          <w:sz w:val="32"/>
          <w:szCs w:val="32"/>
        </w:rPr>
        <w:t>一交易日披露有关内容，公司股票于公告披露日起停牌。</w:t>
      </w:r>
      <w:r>
        <w:rPr>
          <w:rFonts w:hint="eastAsia" w:ascii="仿宋_GB2312" w:hAnsi="Arial Unicode MS" w:eastAsia="仿宋_GB2312" w:cs="Arial Unicode MS"/>
          <w:color w:val="000000"/>
          <w:sz w:val="32"/>
          <w:szCs w:val="32"/>
        </w:rPr>
        <w:t>披露日为非交易日的，于次一交易日起停牌。</w:t>
      </w:r>
    </w:p>
    <w:p w14:paraId="54C1E887">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上市公司出现第</w:t>
      </w:r>
      <w:r>
        <w:rPr>
          <w:rFonts w:ascii="仿宋_GB2312" w:hAnsi="黑体" w:eastAsia="仿宋_GB2312"/>
          <w:sz w:val="32"/>
          <w:szCs w:val="32"/>
        </w:rPr>
        <w:t>12.</w:t>
      </w: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2</w:t>
      </w:r>
      <w:r>
        <w:rPr>
          <w:rFonts w:hint="eastAsia" w:ascii="仿宋_GB2312" w:hAnsi="Arial Unicode MS" w:eastAsia="仿宋_GB2312" w:cs="Arial Unicode MS"/>
          <w:color w:val="000000"/>
          <w:sz w:val="32"/>
          <w:szCs w:val="32"/>
        </w:rPr>
        <w:t>条第一款第四项规定情形的，应当在收到行政处罚决定书后及时向本所报告，披露</w:t>
      </w:r>
      <w:r>
        <w:rPr>
          <w:rFonts w:ascii="仿宋_GB2312" w:hAnsi="Arial Unicode MS" w:eastAsia="仿宋_GB2312" w:cs="Arial Unicode MS"/>
          <w:color w:val="000000"/>
          <w:sz w:val="32"/>
          <w:szCs w:val="32"/>
        </w:rPr>
        <w:t>有关内容，并向本所</w:t>
      </w:r>
      <w:r>
        <w:rPr>
          <w:rFonts w:hint="eastAsia" w:ascii="仿宋_GB2312" w:hAnsi="Arial Unicode MS" w:eastAsia="仿宋_GB2312" w:cs="Arial Unicode MS"/>
          <w:color w:val="000000"/>
          <w:sz w:val="32"/>
          <w:szCs w:val="32"/>
        </w:rPr>
        <w:t>提交董事会的书面意见。公司股票于行政处罚决定书披露日起停牌。披露日为非交易日的，于次一交易日起停牌。</w:t>
      </w:r>
    </w:p>
    <w:p w14:paraId="37B35A73">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上市公司未及时披露的，本所可以在获悉相关情况后对公司股票实施停牌，并向市场公告。</w:t>
      </w:r>
    </w:p>
    <w:p w14:paraId="3D2BEB36">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本所在上市公司股票停牌之日起</w:t>
      </w:r>
      <w:r>
        <w:rPr>
          <w:rFonts w:ascii="仿宋_GB2312" w:hAnsi="Arial Unicode MS" w:eastAsia="仿宋_GB2312" w:cs="Arial Unicode MS"/>
          <w:color w:val="000000"/>
          <w:sz w:val="32"/>
          <w:szCs w:val="32"/>
        </w:rPr>
        <w:t>5个交易日内，根据</w:t>
      </w:r>
      <w:r>
        <w:rPr>
          <w:rFonts w:hint="eastAsia" w:ascii="仿宋_GB2312" w:hAnsi="Arial Unicode MS" w:eastAsia="仿宋_GB2312" w:cs="Arial Unicode MS"/>
          <w:color w:val="000000"/>
          <w:sz w:val="32"/>
          <w:szCs w:val="32"/>
        </w:rPr>
        <w:t>规则</w:t>
      </w:r>
      <w:r>
        <w:rPr>
          <w:rFonts w:ascii="仿宋_GB2312" w:hAnsi="Arial Unicode MS" w:eastAsia="仿宋_GB2312" w:cs="Arial Unicode MS"/>
          <w:color w:val="000000"/>
          <w:sz w:val="32"/>
          <w:szCs w:val="32"/>
        </w:rPr>
        <w:t>规定，对公司股票实施退市风险警示。公司应</w:t>
      </w:r>
      <w:r>
        <w:rPr>
          <w:rFonts w:hint="eastAsia" w:ascii="仿宋_GB2312" w:hAnsi="Arial Unicode MS" w:eastAsia="仿宋_GB2312" w:cs="Arial Unicode MS"/>
          <w:color w:val="000000"/>
          <w:sz w:val="32"/>
          <w:szCs w:val="32"/>
        </w:rPr>
        <w:t>当</w:t>
      </w:r>
      <w:r>
        <w:rPr>
          <w:rFonts w:ascii="仿宋_GB2312" w:hAnsi="Arial Unicode MS" w:eastAsia="仿宋_GB2312" w:cs="Arial Unicode MS"/>
          <w:color w:val="000000"/>
          <w:sz w:val="32"/>
          <w:szCs w:val="32"/>
        </w:rPr>
        <w:t>按照本所要求在其股票被实施退市风险警示前及时发布公告。</w:t>
      </w:r>
      <w:r>
        <w:rPr>
          <w:rFonts w:hint="eastAsia" w:ascii="仿宋_GB2312" w:hAnsi="Arial Unicode MS" w:eastAsia="仿宋_GB2312" w:cs="Arial Unicode MS"/>
          <w:color w:val="000000"/>
          <w:sz w:val="32"/>
          <w:szCs w:val="32"/>
        </w:rPr>
        <w:t>公司股票自公告披露后的次一交易日起复牌。公告披露日为非交易日的，于披露后的第二个交易日起复牌。自复牌之日起，本所对公司股票实施退市风险警示。</w:t>
      </w:r>
    </w:p>
    <w:p w14:paraId="02F62D35">
      <w:pPr>
        <w:numPr>
          <w:ilvl w:val="2"/>
          <w:numId w:val="48"/>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研发型上市公司主要产品、业务或者所依赖的基础技术宣告研发失败或者被禁止使用的，公司应当自相关事实发生之日起申请股票停牌，并发布股票可能被实施退市风险警示的风险提示公告。</w:t>
      </w:r>
    </w:p>
    <w:p w14:paraId="3C0A2A26">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公司应当在股票停牌之日起的</w:t>
      </w:r>
      <w:r>
        <w:rPr>
          <w:rFonts w:ascii="仿宋_GB2312" w:hAnsi="黑体" w:eastAsia="仿宋_GB2312"/>
          <w:sz w:val="32"/>
          <w:szCs w:val="32"/>
        </w:rPr>
        <w:t>10</w:t>
      </w:r>
      <w:r>
        <w:rPr>
          <w:rFonts w:hint="eastAsia" w:ascii="仿宋_GB2312" w:hAnsi="黑体" w:eastAsia="仿宋_GB2312"/>
          <w:sz w:val="32"/>
          <w:szCs w:val="32"/>
        </w:rPr>
        <w:t>个交易日内，核查公司其他产品或者业务是否符合第2.1.2条第五项规定要求、公司是否出现第12.4.4条规定情形，并提交报告及披露。公司应当聘请证券公司出具专项意见。除第12.4.8条规定情形外，公司股票于前述报告披露日起复牌。</w:t>
      </w:r>
    </w:p>
    <w:p w14:paraId="6E94D0DB">
      <w:pPr>
        <w:numPr>
          <w:ilvl w:val="2"/>
          <w:numId w:val="48"/>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研发型上市公司未在规定期限内提交报告，或者核查后认为未出现第1</w:t>
      </w:r>
      <w:r>
        <w:rPr>
          <w:rFonts w:ascii="仿宋_GB2312" w:hAnsi="黑体" w:eastAsia="仿宋_GB2312"/>
          <w:sz w:val="32"/>
          <w:szCs w:val="32"/>
        </w:rPr>
        <w:t>2.4.</w:t>
      </w:r>
      <w:r>
        <w:rPr>
          <w:rFonts w:hint="eastAsia" w:ascii="仿宋_GB2312" w:hAnsi="黑体" w:eastAsia="仿宋_GB2312"/>
          <w:sz w:val="32"/>
          <w:szCs w:val="32"/>
        </w:rPr>
        <w:t>4条规定情形的，本所可以提请上市委员会对公司是否出现第1</w:t>
      </w:r>
      <w:r>
        <w:rPr>
          <w:rFonts w:ascii="仿宋_GB2312" w:hAnsi="黑体" w:eastAsia="仿宋_GB2312"/>
          <w:sz w:val="32"/>
          <w:szCs w:val="32"/>
        </w:rPr>
        <w:t>2.4.</w:t>
      </w:r>
      <w:r>
        <w:rPr>
          <w:rFonts w:hint="eastAsia" w:ascii="仿宋_GB2312" w:hAnsi="黑体" w:eastAsia="仿宋_GB2312"/>
          <w:sz w:val="32"/>
          <w:szCs w:val="32"/>
        </w:rPr>
        <w:t>4条规定情形作出认定，并通知上市公司。</w:t>
      </w:r>
    </w:p>
    <w:p w14:paraId="18B7BB8D">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黑体" w:eastAsia="仿宋_GB2312"/>
          <w:sz w:val="32"/>
          <w:szCs w:val="32"/>
        </w:rPr>
        <w:t>公司及证券公司核查后认为或者本所认定公司出现第1</w:t>
      </w:r>
      <w:r>
        <w:rPr>
          <w:rFonts w:ascii="仿宋_GB2312" w:hAnsi="黑体" w:eastAsia="仿宋_GB2312"/>
          <w:sz w:val="32"/>
          <w:szCs w:val="32"/>
        </w:rPr>
        <w:t>2.4.</w:t>
      </w:r>
      <w:r>
        <w:rPr>
          <w:rFonts w:hint="eastAsia" w:ascii="仿宋_GB2312" w:hAnsi="黑体" w:eastAsia="仿宋_GB2312"/>
          <w:sz w:val="32"/>
          <w:szCs w:val="32"/>
        </w:rPr>
        <w:t>4条规定情形的，本所自收到公司提交的相关报告或者作出认定后5个交易日内，对公司股票实施退市风险警示。公司应当按照本所要求在其股票被实施退市风险警示前及时发布公告。</w:t>
      </w:r>
      <w:r>
        <w:rPr>
          <w:rFonts w:hint="eastAsia" w:ascii="仿宋_GB2312" w:hAnsi="Arial Unicode MS" w:eastAsia="仿宋_GB2312" w:cs="Arial Unicode MS"/>
          <w:color w:val="000000"/>
          <w:sz w:val="32"/>
          <w:szCs w:val="32"/>
        </w:rPr>
        <w:t>公司股票自公告披露后的次一交易日起复牌。公告披露日为非交易日的，于披露后的第二个交易日起复牌。自复牌之日起，本所对公司股票实施退市风险警示。</w:t>
      </w:r>
    </w:p>
    <w:p w14:paraId="7B47E1A0">
      <w:pPr>
        <w:numPr>
          <w:ilvl w:val="2"/>
          <w:numId w:val="48"/>
        </w:numPr>
        <w:tabs>
          <w:tab w:val="left" w:pos="1560"/>
        </w:tabs>
        <w:snapToGrid w:val="0"/>
        <w:spacing w:line="560" w:lineRule="exact"/>
        <w:ind w:left="0" w:firstLine="640" w:firstLineChars="200"/>
        <w:rPr>
          <w:rFonts w:hint="eastAsia" w:ascii="仿宋_GB2312" w:hAnsi="Arial Unicode MS" w:eastAsia="仿宋_GB2312" w:cs="Arial Unicode MS"/>
          <w:color w:val="000000"/>
          <w:sz w:val="32"/>
          <w:szCs w:val="32"/>
        </w:rPr>
      </w:pPr>
      <w:r>
        <w:rPr>
          <w:rFonts w:hint="eastAsia" w:ascii="仿宋_GB2312" w:hAnsi="黑体" w:eastAsia="仿宋_GB2312"/>
          <w:sz w:val="32"/>
          <w:szCs w:val="32"/>
        </w:rPr>
        <w:t>上市公司因第12.4.2条</w:t>
      </w:r>
      <w:r>
        <w:rPr>
          <w:rFonts w:hint="eastAsia" w:ascii="仿宋_GB2312" w:hAnsi="Arial Unicode MS" w:eastAsia="仿宋_GB2312" w:cs="Arial Unicode MS"/>
          <w:color w:val="000000"/>
          <w:sz w:val="32"/>
          <w:szCs w:val="32"/>
        </w:rPr>
        <w:t>第一款</w:t>
      </w:r>
      <w:r>
        <w:rPr>
          <w:rFonts w:hint="eastAsia" w:ascii="仿宋_GB2312" w:hAnsi="黑体" w:eastAsia="仿宋_GB2312"/>
          <w:sz w:val="32"/>
          <w:szCs w:val="32"/>
        </w:rPr>
        <w:t>第一项</w:t>
      </w:r>
      <w:r>
        <w:rPr>
          <w:rFonts w:ascii="仿宋_GB2312" w:hAnsi="黑体" w:eastAsia="仿宋_GB2312"/>
          <w:sz w:val="32"/>
          <w:szCs w:val="32"/>
        </w:rPr>
        <w:t>至第三项</w:t>
      </w:r>
      <w:r>
        <w:rPr>
          <w:rFonts w:hint="eastAsia" w:ascii="仿宋_GB2312" w:hAnsi="黑体" w:eastAsia="仿宋_GB2312"/>
          <w:sz w:val="32"/>
          <w:szCs w:val="32"/>
        </w:rPr>
        <w:t>规定的标准，其股票被实施退市风险警示的，应当在其股票被实施退市风险警示当年的会计年度结束后一个月内，披露股票可能被终止上市的风险提示公告，并在首次风险提示公告披露后至年度报告披露前，每10个交易日披露一次风险提示公告。本所可以视情况要求公司增加风险提示公告的披露次数。</w:t>
      </w:r>
    </w:p>
    <w:p w14:paraId="5267F08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上市公司因第12.4.2条第一款第一项至第三项规定的标准，其股票被实施退市风险警示后，应当分别在年度报告预约披露日前20个交易日和10个交易日，披露年度报告编制及最新审计进展情况。</w:t>
      </w:r>
    </w:p>
    <w:p w14:paraId="0718BB43">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股票因第12.4.2条第一款第四项规定情形，或者因追溯重述导致触及第12.4.2条第一款第一项、第二项规定情形，被实施退市风险警示的，公司应当在披露实际触及退市风险警示情形相应年度次一年度的年度报告前参照本条前两款相关要求执行。</w:t>
      </w:r>
    </w:p>
    <w:p w14:paraId="63939706">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黑体" w:eastAsia="仿宋_GB2312"/>
          <w:sz w:val="32"/>
          <w:szCs w:val="32"/>
        </w:rPr>
        <w:t>上市公司因第12.4.4条规定的标准，其股票被实施退市风险警示的，在其股票被实施退市风险警示期间，上市公司应当每个月披露一次风险提示公告，提示其股票可能被终止上市的风险。</w:t>
      </w:r>
    </w:p>
    <w:p w14:paraId="37623ABA">
      <w:pPr>
        <w:numPr>
          <w:ilvl w:val="2"/>
          <w:numId w:val="48"/>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上市公司股票因第</w:t>
      </w:r>
      <w:r>
        <w:rPr>
          <w:rFonts w:ascii="仿宋_GB2312" w:hAnsi="Arial Unicode MS" w:eastAsia="仿宋_GB2312" w:cs="Arial Unicode MS"/>
          <w:color w:val="000000"/>
          <w:sz w:val="32"/>
          <w:szCs w:val="32"/>
        </w:rPr>
        <w:t>12.4.2条</w:t>
      </w:r>
      <w:r>
        <w:rPr>
          <w:rFonts w:hint="eastAsia" w:ascii="仿宋_GB2312" w:hAnsi="Arial Unicode MS" w:eastAsia="仿宋_GB2312" w:cs="Arial Unicode MS"/>
          <w:color w:val="000000"/>
          <w:sz w:val="32"/>
          <w:szCs w:val="32"/>
        </w:rPr>
        <w:t>被实施退市风险警示后，最近一个会计年度未出现下列情形</w:t>
      </w:r>
      <w:r>
        <w:rPr>
          <w:rFonts w:ascii="仿宋_GB2312" w:hAnsi="Arial Unicode MS" w:eastAsia="仿宋_GB2312" w:cs="Arial Unicode MS"/>
          <w:color w:val="000000"/>
          <w:sz w:val="32"/>
          <w:szCs w:val="32"/>
        </w:rPr>
        <w:t>的</w:t>
      </w:r>
      <w:r>
        <w:rPr>
          <w:rFonts w:hint="eastAsia" w:ascii="仿宋_GB2312" w:hAnsi="Arial Unicode MS" w:eastAsia="仿宋_GB2312" w:cs="Arial Unicode MS"/>
          <w:color w:val="000000"/>
          <w:sz w:val="32"/>
          <w:szCs w:val="32"/>
        </w:rPr>
        <w:t>，公司可以在年度报告披露后5个交易日内，向本所申请撤销对其股票实施的退市风险警示并</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w:t>
      </w:r>
    </w:p>
    <w:p w14:paraId="7C2CFEF0">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w:t>
      </w:r>
      <w:r>
        <w:rPr>
          <w:rFonts w:ascii="仿宋_GB2312" w:hAnsi="黑体" w:eastAsia="仿宋_GB2312"/>
          <w:sz w:val="32"/>
          <w:szCs w:val="32"/>
        </w:rPr>
        <w:t>）</w:t>
      </w:r>
      <w:r>
        <w:rPr>
          <w:rFonts w:hint="eastAsia" w:ascii="仿宋_GB2312" w:hAnsi="黑体" w:eastAsia="仿宋_GB2312"/>
          <w:sz w:val="32"/>
          <w:szCs w:val="32"/>
        </w:rPr>
        <w:t>第12.4.2条第一款第一项至第三项规定的任一情形；</w:t>
      </w:r>
    </w:p>
    <w:p w14:paraId="7A855CB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（二）年度财务会计报告被出具保留意见审计报告；</w:t>
      </w:r>
    </w:p>
    <w:p w14:paraId="39E00ED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财务报告内部控制被出具无法表示意见或者否定意见的审计报告，或者未按照相关规定披露财务报告内部控制审计报告，但公司因进行破产重整、重组上市或者重大资产重组，按照相关规定无法披露财务报告内部控制审计报告的除外；</w:t>
      </w:r>
    </w:p>
    <w:p w14:paraId="3CD303C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（四）未在法定期限内披露年度报告；</w:t>
      </w:r>
    </w:p>
    <w:p w14:paraId="6FEA030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（五）半数以上董事无法保证公司所披露年度报告的真实性、准确性和完整性，</w:t>
      </w:r>
      <w:r>
        <w:rPr>
          <w:rFonts w:hint="eastAsia" w:ascii="仿宋_GB2312" w:hAnsi="Arial Unicode MS" w:eastAsia="仿宋_GB2312" w:cs="Arial Unicode MS"/>
          <w:color w:val="000000"/>
          <w:sz w:val="32"/>
          <w:szCs w:val="32"/>
        </w:rPr>
        <w:t>且未在法定期限内改正</w:t>
      </w:r>
      <w:r>
        <w:rPr>
          <w:rFonts w:hint="eastAsia" w:ascii="仿宋_GB2312" w:hAnsi="黑体" w:eastAsia="仿宋_GB2312"/>
          <w:sz w:val="32"/>
          <w:szCs w:val="32"/>
        </w:rPr>
        <w:t>。</w:t>
      </w:r>
    </w:p>
    <w:p w14:paraId="6C5349A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上市公司股票因第1</w:t>
      </w:r>
      <w:r>
        <w:rPr>
          <w:rFonts w:ascii="仿宋_GB2312" w:hAnsi="黑体" w:eastAsia="仿宋_GB2312"/>
          <w:sz w:val="32"/>
          <w:szCs w:val="32"/>
        </w:rPr>
        <w:t>2.4.2</w:t>
      </w:r>
      <w:r>
        <w:rPr>
          <w:rFonts w:hint="eastAsia" w:ascii="仿宋_GB2312" w:hAnsi="黑体" w:eastAsia="仿宋_GB2312"/>
          <w:sz w:val="32"/>
          <w:szCs w:val="32"/>
        </w:rPr>
        <w:t>条第一款规定情形被实施退市风险警示后，最近一个会计年度经审计利润总额、净利润或者扣除非经常性损益后的净利润孰低者为负值的，公司应当在年度报告中披露营业收入扣除情况及扣除后的营业收入金额，负责审计的会计师事务所就公司营业收入扣除事项是否符合第1</w:t>
      </w:r>
      <w:r>
        <w:rPr>
          <w:rFonts w:ascii="仿宋_GB2312" w:hAnsi="黑体" w:eastAsia="仿宋_GB2312"/>
          <w:sz w:val="32"/>
          <w:szCs w:val="32"/>
        </w:rPr>
        <w:t>2.4.</w:t>
      </w:r>
      <w:r>
        <w:rPr>
          <w:rFonts w:hint="eastAsia" w:ascii="仿宋_GB2312" w:hAnsi="黑体" w:eastAsia="仿宋_GB2312"/>
          <w:sz w:val="32"/>
          <w:szCs w:val="32"/>
        </w:rPr>
        <w:t>3条规定及扣除后的营业收入金额出具专项核查意见。</w:t>
      </w:r>
    </w:p>
    <w:p w14:paraId="7AF00CE0">
      <w:pPr>
        <w:tabs>
          <w:tab w:val="left" w:pos="1560"/>
        </w:tabs>
        <w:snapToGrid w:val="0"/>
        <w:spacing w:line="560" w:lineRule="exact"/>
        <w:ind w:firstLine="640" w:firstLineChars="200"/>
        <w:rPr>
          <w:rFonts w:hint="eastAsia" w:ascii="仿宋_GB2312" w:hAnsi="黑体" w:eastAsia="仿宋_GB2312"/>
          <w:sz w:val="32"/>
          <w:szCs w:val="32"/>
        </w:rPr>
      </w:pPr>
      <w:r>
        <w:rPr>
          <w:rFonts w:ascii="仿宋_GB2312" w:hAnsi="黑体" w:eastAsia="仿宋_GB2312"/>
          <w:sz w:val="32"/>
          <w:szCs w:val="32"/>
        </w:rPr>
        <w:t>上市公司因财务会计数据被追溯重述或者行政处罚导致相关财务指标符合12.4.2条第一款第一项、第二项规定被实施退市风险警示的，</w:t>
      </w:r>
      <w:r>
        <w:rPr>
          <w:rFonts w:hint="eastAsia" w:ascii="仿宋_GB2312" w:hAnsi="黑体" w:eastAsia="仿宋_GB2312"/>
          <w:sz w:val="32"/>
          <w:szCs w:val="32"/>
        </w:rPr>
        <w:t>最近一个</w:t>
      </w:r>
      <w:r>
        <w:rPr>
          <w:rFonts w:ascii="仿宋_GB2312" w:hAnsi="黑体" w:eastAsia="仿宋_GB2312"/>
          <w:sz w:val="32"/>
          <w:szCs w:val="32"/>
        </w:rPr>
        <w:t>会计年度指前述财务指标</w:t>
      </w:r>
      <w:r>
        <w:rPr>
          <w:rFonts w:hint="eastAsia" w:ascii="仿宋_GB2312" w:hAnsi="黑体" w:eastAsia="仿宋_GB2312"/>
          <w:sz w:val="32"/>
          <w:szCs w:val="32"/>
        </w:rPr>
        <w:t>所属</w:t>
      </w:r>
      <w:r>
        <w:rPr>
          <w:rFonts w:ascii="仿宋_GB2312" w:hAnsi="黑体" w:eastAsia="仿宋_GB2312"/>
          <w:sz w:val="32"/>
          <w:szCs w:val="32"/>
        </w:rPr>
        <w:t>会计年度的下一个会计年度。</w:t>
      </w:r>
    </w:p>
    <w:p w14:paraId="0772FF9C">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研发型上市公司因第</w:t>
      </w:r>
      <w:r>
        <w:rPr>
          <w:rFonts w:ascii="仿宋_GB2312" w:hAnsi="Arial Unicode MS" w:eastAsia="仿宋_GB2312" w:cs="Arial Unicode MS"/>
          <w:color w:val="000000"/>
          <w:sz w:val="32"/>
          <w:szCs w:val="32"/>
        </w:rPr>
        <w:t>12.4.</w:t>
      </w:r>
      <w:r>
        <w:rPr>
          <w:rFonts w:hint="eastAsia" w:ascii="仿宋_GB2312" w:hAnsi="Arial Unicode MS" w:eastAsia="仿宋_GB2312" w:cs="Arial Unicode MS"/>
          <w:color w:val="000000"/>
          <w:sz w:val="32"/>
          <w:szCs w:val="32"/>
        </w:rPr>
        <w:t>4</w:t>
      </w:r>
      <w:r>
        <w:rPr>
          <w:rFonts w:ascii="仿宋_GB2312" w:hAnsi="Arial Unicode MS" w:eastAsia="仿宋_GB2312" w:cs="Arial Unicode MS"/>
          <w:color w:val="000000"/>
          <w:sz w:val="32"/>
          <w:szCs w:val="32"/>
        </w:rPr>
        <w:t>条被实施退市风险警示后，</w:t>
      </w:r>
      <w:r>
        <w:rPr>
          <w:rFonts w:hint="eastAsia" w:ascii="仿宋_GB2312" w:hAnsi="Arial Unicode MS" w:eastAsia="仿宋_GB2312" w:cs="Arial Unicode MS"/>
          <w:color w:val="000000"/>
          <w:sz w:val="32"/>
          <w:szCs w:val="32"/>
        </w:rPr>
        <w:t>自股票被实施退市风险警示之日起</w:t>
      </w:r>
      <w:r>
        <w:rPr>
          <w:rFonts w:ascii="仿宋_GB2312" w:hAnsi="Arial Unicode MS" w:eastAsia="仿宋_GB2312" w:cs="Arial Unicode MS"/>
          <w:color w:val="000000"/>
          <w:sz w:val="32"/>
          <w:szCs w:val="32"/>
        </w:rPr>
        <w:t>6</w:t>
      </w:r>
      <w:r>
        <w:rPr>
          <w:rFonts w:hint="eastAsia" w:ascii="仿宋_GB2312" w:hAnsi="Arial Unicode MS" w:eastAsia="仿宋_GB2312" w:cs="Arial Unicode MS"/>
          <w:color w:val="000000"/>
          <w:sz w:val="32"/>
          <w:szCs w:val="32"/>
        </w:rPr>
        <w:t>个月内，公司市值及相关产品、业务等指标符合本规则第2</w:t>
      </w:r>
      <w:r>
        <w:rPr>
          <w:rFonts w:ascii="仿宋_GB2312" w:hAnsi="Arial Unicode MS" w:eastAsia="仿宋_GB2312" w:cs="Arial Unicode MS"/>
          <w:color w:val="000000"/>
          <w:sz w:val="32"/>
          <w:szCs w:val="32"/>
        </w:rPr>
        <w:t>.1.2</w:t>
      </w:r>
      <w:r>
        <w:rPr>
          <w:rFonts w:hint="eastAsia" w:ascii="仿宋_GB2312" w:hAnsi="Arial Unicode MS" w:eastAsia="仿宋_GB2312" w:cs="Arial Unicode MS"/>
          <w:color w:val="000000"/>
          <w:sz w:val="32"/>
          <w:szCs w:val="32"/>
        </w:rPr>
        <w:t>条第五项规定要求的，应当在符合条件时及时披露，并说明是否向本所申请撤销退市风险警示。公司可以</w:t>
      </w:r>
      <w:r>
        <w:rPr>
          <w:rFonts w:hint="eastAsia" w:ascii="仿宋_GB2312" w:hAnsi="黑体" w:eastAsia="仿宋_GB2312"/>
          <w:sz w:val="32"/>
          <w:szCs w:val="32"/>
        </w:rPr>
        <w:t>在披露之日起的5个交易日内，</w:t>
      </w:r>
      <w:r>
        <w:rPr>
          <w:rFonts w:hint="eastAsia" w:ascii="仿宋_GB2312" w:hAnsi="Arial Unicode MS" w:eastAsia="仿宋_GB2312" w:cs="Arial Unicode MS"/>
          <w:color w:val="000000"/>
          <w:sz w:val="32"/>
          <w:szCs w:val="32"/>
        </w:rPr>
        <w:t>向本所申请撤销对其股票实施的退市风险警示并披露。</w:t>
      </w:r>
    </w:p>
    <w:p w14:paraId="3D1B4B48">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上市公司不符合本条规定的撤销退市风险警示条件或者未在规定期限内申请撤销退市风险警示的，本所决定终止其股票上市。</w:t>
      </w:r>
    </w:p>
    <w:p w14:paraId="1B0BF24D">
      <w:pPr>
        <w:numPr>
          <w:ilvl w:val="2"/>
          <w:numId w:val="48"/>
        </w:numPr>
        <w:tabs>
          <w:tab w:val="left" w:pos="1560"/>
        </w:tabs>
        <w:snapToGrid w:val="0"/>
        <w:spacing w:line="560" w:lineRule="exact"/>
        <w:ind w:left="0"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提交完备的申请材料的，本所在15个交易日内作出是否撤销退市风险警示的决定。在此期间，本所要求公司提供补充材料的，公司应当在本所规定期限内提供有关材料。公司补充材料期间不计入本所作出有关决定的期限。</w:t>
      </w:r>
    </w:p>
    <w:p w14:paraId="29C8D28D">
      <w:pPr>
        <w:numPr>
          <w:ilvl w:val="2"/>
          <w:numId w:val="48"/>
        </w:numPr>
        <w:tabs>
          <w:tab w:val="left" w:pos="1560"/>
        </w:tabs>
        <w:snapToGrid w:val="0"/>
        <w:spacing w:line="560" w:lineRule="exact"/>
        <w:ind w:left="0"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本所决定撤销退市风险警示的，上市公司应当按照本所要求在</w:t>
      </w:r>
      <w:r>
        <w:rPr>
          <w:rFonts w:ascii="仿宋_GB2312" w:hAnsi="Arial Unicode MS" w:eastAsia="仿宋_GB2312" w:cs="Arial Unicode MS"/>
          <w:color w:val="000000"/>
          <w:sz w:val="32"/>
          <w:szCs w:val="32"/>
        </w:rPr>
        <w:t>撤销退市风险警示</w:t>
      </w:r>
      <w:r>
        <w:rPr>
          <w:rFonts w:hint="eastAsia" w:ascii="仿宋_GB2312" w:hAnsi="黑体" w:eastAsia="仿宋_GB2312"/>
          <w:sz w:val="32"/>
          <w:szCs w:val="32"/>
        </w:rPr>
        <w:t>之前一个交易日</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公告。公司股票在公告披露日停牌一天，本所自复牌之日起撤销对公司股票实施的退市风险警示。</w:t>
      </w:r>
    </w:p>
    <w:p w14:paraId="318F0E72">
      <w:pPr>
        <w:numPr>
          <w:ilvl w:val="2"/>
          <w:numId w:val="48"/>
        </w:numPr>
        <w:tabs>
          <w:tab w:val="left" w:pos="1560"/>
        </w:tabs>
        <w:snapToGrid w:val="0"/>
        <w:spacing w:line="560" w:lineRule="exact"/>
        <w:ind w:left="0"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本所决定不予撤销退市风险警示的，</w:t>
      </w:r>
      <w:r>
        <w:rPr>
          <w:rFonts w:hint="eastAsia" w:ascii="仿宋_GB2312" w:hAnsi="黑体" w:eastAsia="仿宋_GB2312"/>
          <w:sz w:val="32"/>
          <w:szCs w:val="32"/>
        </w:rPr>
        <w:t>向上市公司发出拟终止其股票上市的事先告知书，</w:t>
      </w:r>
      <w:r>
        <w:rPr>
          <w:rFonts w:hint="eastAsia" w:ascii="仿宋_GB2312" w:hAnsi="Arial Unicode MS" w:eastAsia="仿宋_GB2312" w:cs="Arial Unicode MS"/>
          <w:color w:val="000000"/>
          <w:sz w:val="32"/>
          <w:szCs w:val="32"/>
        </w:rPr>
        <w:t>公司应当在收到本所有关书面通知的次一交易日披露公告。公司未按规定公告的，本所可以交易所公告的形式予以公告。公司股票自公告披露之日起停牌。</w:t>
      </w:r>
    </w:p>
    <w:p w14:paraId="5B77866C">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上市公司虽满足第</w:t>
      </w:r>
      <w:r>
        <w:rPr>
          <w:rFonts w:ascii="仿宋_GB2312" w:hAnsi="Arial Unicode MS" w:eastAsia="仿宋_GB2312" w:cs="Arial Unicode MS"/>
          <w:color w:val="000000"/>
          <w:sz w:val="32"/>
          <w:szCs w:val="32"/>
        </w:rPr>
        <w:t>12.</w:t>
      </w:r>
      <w:r>
        <w:rPr>
          <w:rFonts w:hint="eastAsia" w:ascii="仿宋_GB2312" w:hAnsi="Arial Unicode MS" w:eastAsia="仿宋_GB2312" w:cs="Arial Unicode MS"/>
          <w:color w:val="000000"/>
          <w:sz w:val="32"/>
          <w:szCs w:val="32"/>
        </w:rPr>
        <w:t>4</w:t>
      </w:r>
      <w:r>
        <w:rPr>
          <w:rFonts w:ascii="仿宋_GB2312" w:hAnsi="Arial Unicode MS" w:eastAsia="仿宋_GB2312" w:cs="Arial Unicode MS"/>
          <w:color w:val="000000"/>
          <w:sz w:val="32"/>
          <w:szCs w:val="32"/>
        </w:rPr>
        <w:t>.</w:t>
      </w:r>
      <w:r>
        <w:rPr>
          <w:rFonts w:hint="eastAsia" w:ascii="仿宋_GB2312" w:hAnsi="Arial Unicode MS" w:eastAsia="仿宋_GB2312" w:cs="Arial Unicode MS"/>
          <w:color w:val="000000"/>
          <w:sz w:val="32"/>
          <w:szCs w:val="32"/>
        </w:rPr>
        <w:t>10</w:t>
      </w:r>
      <w:r>
        <w:rPr>
          <w:rFonts w:ascii="仿宋_GB2312" w:hAnsi="Arial Unicode MS" w:eastAsia="仿宋_GB2312" w:cs="Arial Unicode MS"/>
          <w:color w:val="000000"/>
          <w:sz w:val="32"/>
          <w:szCs w:val="32"/>
        </w:rPr>
        <w:t>条规定</w:t>
      </w:r>
      <w:r>
        <w:rPr>
          <w:rFonts w:hint="eastAsia" w:ascii="仿宋_GB2312" w:hAnsi="Arial Unicode MS" w:eastAsia="仿宋_GB2312" w:cs="Arial Unicode MS"/>
          <w:color w:val="000000"/>
          <w:sz w:val="32"/>
          <w:szCs w:val="32"/>
        </w:rPr>
        <w:t>的</w:t>
      </w:r>
      <w:r>
        <w:rPr>
          <w:rFonts w:ascii="仿宋_GB2312" w:hAnsi="Arial Unicode MS" w:eastAsia="仿宋_GB2312" w:cs="Arial Unicode MS"/>
          <w:color w:val="000000"/>
          <w:sz w:val="32"/>
          <w:szCs w:val="32"/>
        </w:rPr>
        <w:t>退市风险警示的撤销条件，但具有其他退市风险警示情形的，按其他退市风险警示的程序执行，不予撤销退市风险警示。</w:t>
      </w:r>
    </w:p>
    <w:p w14:paraId="4A1A2399">
      <w:pPr>
        <w:numPr>
          <w:ilvl w:val="2"/>
          <w:numId w:val="48"/>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上市公司存在第12.4.10条第一款第一</w:t>
      </w:r>
      <w:r>
        <w:rPr>
          <w:rFonts w:ascii="仿宋_GB2312" w:hAnsi="黑体" w:eastAsia="仿宋_GB2312"/>
          <w:sz w:val="32"/>
          <w:szCs w:val="32"/>
        </w:rPr>
        <w:t>项</w:t>
      </w:r>
      <w:r>
        <w:rPr>
          <w:rFonts w:hint="eastAsia" w:ascii="仿宋_GB2312" w:hAnsi="黑体" w:eastAsia="仿宋_GB2312"/>
          <w:sz w:val="32"/>
          <w:szCs w:val="32"/>
        </w:rPr>
        <w:t>至第三项情形</w:t>
      </w:r>
      <w:r>
        <w:rPr>
          <w:rFonts w:ascii="仿宋_GB2312" w:hAnsi="黑体" w:eastAsia="仿宋_GB2312"/>
          <w:sz w:val="32"/>
          <w:szCs w:val="32"/>
        </w:rPr>
        <w:t>，导致未</w:t>
      </w:r>
      <w:r>
        <w:rPr>
          <w:rFonts w:hint="eastAsia" w:ascii="仿宋_GB2312" w:hAnsi="黑体" w:eastAsia="仿宋_GB2312"/>
          <w:sz w:val="32"/>
          <w:szCs w:val="32"/>
        </w:rPr>
        <w:t>满足该条规定</w:t>
      </w:r>
      <w:r>
        <w:rPr>
          <w:rFonts w:ascii="仿宋_GB2312" w:hAnsi="黑体" w:eastAsia="仿宋_GB2312"/>
          <w:sz w:val="32"/>
          <w:szCs w:val="32"/>
        </w:rPr>
        <w:t>的</w:t>
      </w:r>
      <w:r>
        <w:rPr>
          <w:rFonts w:hint="eastAsia" w:ascii="仿宋_GB2312" w:hAnsi="黑体" w:eastAsia="仿宋_GB2312"/>
          <w:sz w:val="32"/>
          <w:szCs w:val="32"/>
        </w:rPr>
        <w:t>撤销退市风险警示条件的，应当自董事会审议通过年度报告</w:t>
      </w:r>
      <w:r>
        <w:rPr>
          <w:rFonts w:hint="eastAsia" w:ascii="仿宋_GB2312" w:hAnsi="黑体" w:eastAsia="仿宋_GB2312" w:cs="Arial Unicode MS"/>
          <w:color w:val="000000"/>
          <w:sz w:val="32"/>
          <w:szCs w:val="32"/>
        </w:rPr>
        <w:t>后，及时披露年度报告，同时披露公司股票可能被终止上市的风险提示公告。公司</w:t>
      </w:r>
      <w:r>
        <w:rPr>
          <w:rFonts w:ascii="仿宋_GB2312" w:hAnsi="黑体" w:eastAsia="仿宋_GB2312" w:cs="Arial Unicode MS"/>
          <w:color w:val="000000"/>
          <w:sz w:val="32"/>
          <w:szCs w:val="32"/>
        </w:rPr>
        <w:t>股票</w:t>
      </w:r>
      <w:r>
        <w:rPr>
          <w:rFonts w:hint="eastAsia" w:ascii="仿宋_GB2312" w:hAnsi="黑体" w:eastAsia="仿宋_GB2312" w:cs="Arial Unicode MS"/>
          <w:color w:val="000000"/>
          <w:sz w:val="32"/>
          <w:szCs w:val="32"/>
        </w:rPr>
        <w:t>自年度报告</w:t>
      </w:r>
      <w:r>
        <w:rPr>
          <w:rFonts w:hint="eastAsia" w:ascii="仿宋_GB2312" w:hAnsi="黑体" w:eastAsia="仿宋_GB2312"/>
          <w:sz w:val="32"/>
          <w:szCs w:val="32"/>
        </w:rPr>
        <w:t>披露之日起停牌。</w:t>
      </w:r>
      <w:r>
        <w:rPr>
          <w:rFonts w:hint="eastAsia" w:ascii="仿宋_GB2312" w:hAnsi="Arial Unicode MS" w:eastAsia="仿宋_GB2312" w:cs="Arial Unicode MS"/>
          <w:color w:val="000000"/>
          <w:sz w:val="32"/>
          <w:szCs w:val="32"/>
        </w:rPr>
        <w:t>披露日为非交易日的，自披露后的第一个交易日起停牌。</w:t>
      </w:r>
    </w:p>
    <w:p w14:paraId="4B38C81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上市公司存在第1</w:t>
      </w:r>
      <w:r>
        <w:rPr>
          <w:rFonts w:ascii="仿宋_GB2312" w:hAnsi="黑体" w:eastAsia="仿宋_GB2312"/>
          <w:sz w:val="32"/>
          <w:szCs w:val="32"/>
        </w:rPr>
        <w:t>2.4.</w:t>
      </w:r>
      <w:r>
        <w:rPr>
          <w:rFonts w:hint="eastAsia" w:ascii="仿宋_GB2312" w:hAnsi="黑体" w:eastAsia="仿宋_GB2312"/>
          <w:sz w:val="32"/>
          <w:szCs w:val="32"/>
        </w:rPr>
        <w:t>10条第一款</w:t>
      </w:r>
      <w:r>
        <w:rPr>
          <w:rFonts w:ascii="仿宋_GB2312" w:hAnsi="黑体" w:eastAsia="仿宋_GB2312"/>
          <w:sz w:val="32"/>
          <w:szCs w:val="32"/>
        </w:rPr>
        <w:t>第</w:t>
      </w:r>
      <w:r>
        <w:rPr>
          <w:rFonts w:hint="eastAsia" w:ascii="仿宋_GB2312" w:hAnsi="黑体" w:eastAsia="仿宋_GB2312"/>
          <w:sz w:val="32"/>
          <w:szCs w:val="32"/>
        </w:rPr>
        <w:t>四</w:t>
      </w:r>
      <w:r>
        <w:rPr>
          <w:rFonts w:ascii="仿宋_GB2312" w:hAnsi="黑体" w:eastAsia="仿宋_GB2312"/>
          <w:sz w:val="32"/>
          <w:szCs w:val="32"/>
        </w:rPr>
        <w:t>项情形</w:t>
      </w:r>
      <w:r>
        <w:rPr>
          <w:rFonts w:hint="eastAsia" w:ascii="仿宋_GB2312" w:hAnsi="黑体" w:eastAsia="仿宋_GB2312"/>
          <w:sz w:val="32"/>
          <w:szCs w:val="32"/>
        </w:rPr>
        <w:t>，导致未满足该条撤销退市风险警示条件的，公司应当在法定期限届满的次一交易日披露公司股票可能被终止上市的风险提示公告。公司</w:t>
      </w:r>
      <w:r>
        <w:rPr>
          <w:rFonts w:ascii="仿宋_GB2312" w:hAnsi="黑体" w:eastAsia="仿宋_GB2312"/>
          <w:sz w:val="32"/>
          <w:szCs w:val="32"/>
        </w:rPr>
        <w:t>股票</w:t>
      </w:r>
      <w:r>
        <w:rPr>
          <w:rFonts w:hint="eastAsia" w:ascii="仿宋_GB2312" w:hAnsi="黑体" w:eastAsia="仿宋_GB2312"/>
          <w:sz w:val="32"/>
          <w:szCs w:val="32"/>
        </w:rPr>
        <w:t>自公告披露之日起停牌。</w:t>
      </w:r>
    </w:p>
    <w:p w14:paraId="0E808BC2">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w:t>
      </w:r>
      <w:r>
        <w:rPr>
          <w:rFonts w:hint="eastAsia" w:ascii="仿宋_GB2312" w:hAnsi="Arial Unicode MS" w:eastAsia="仿宋_GB2312" w:cs="Arial Unicode MS"/>
          <w:color w:val="000000"/>
          <w:sz w:val="32"/>
          <w:szCs w:val="32"/>
        </w:rPr>
        <w:t>股票因第</w:t>
      </w:r>
      <w:r>
        <w:rPr>
          <w:rFonts w:ascii="仿宋_GB2312" w:hAnsi="Arial Unicode MS" w:eastAsia="仿宋_GB2312" w:cs="Arial Unicode MS"/>
          <w:color w:val="000000"/>
          <w:sz w:val="32"/>
          <w:szCs w:val="32"/>
        </w:rPr>
        <w:t>12.4.2条</w:t>
      </w:r>
      <w:r>
        <w:rPr>
          <w:rFonts w:hint="eastAsia" w:ascii="仿宋_GB2312" w:hAnsi="Arial Unicode MS" w:eastAsia="仿宋_GB2312" w:cs="Arial Unicode MS"/>
          <w:color w:val="000000"/>
          <w:sz w:val="32"/>
          <w:szCs w:val="32"/>
        </w:rPr>
        <w:t>被实施退市风险警示后，最近一个会计年度出现</w:t>
      </w:r>
      <w:r>
        <w:rPr>
          <w:rFonts w:hint="eastAsia" w:ascii="仿宋_GB2312" w:hAnsi="黑体" w:eastAsia="仿宋_GB2312"/>
          <w:sz w:val="32"/>
          <w:szCs w:val="32"/>
        </w:rPr>
        <w:t>半数以上董事无法保证公司所披露年度报告的真实性、准确性和完整性情形的</w:t>
      </w:r>
      <w:r>
        <w:rPr>
          <w:rFonts w:hint="eastAsia" w:ascii="仿宋_GB2312" w:hAnsi="Arial Unicode MS" w:eastAsia="仿宋_GB2312" w:cs="Arial Unicode MS"/>
          <w:color w:val="000000"/>
          <w:sz w:val="32"/>
          <w:szCs w:val="32"/>
        </w:rPr>
        <w:t>，</w:t>
      </w:r>
      <w:r>
        <w:rPr>
          <w:rFonts w:hint="eastAsia" w:ascii="仿宋_GB2312" w:hAnsi="黑体" w:eastAsia="仿宋_GB2312"/>
          <w:sz w:val="32"/>
          <w:szCs w:val="32"/>
        </w:rPr>
        <w:t>应当及时披露相关情况并披露公司股票可能被终止上市的风险提示公告。法定期限届满仍未改正的，公司应当在法定期限届满的次一交易日披露公司股票可能被终止上市的风险提示公告。公司股票自公告披露之日起停牌。</w:t>
      </w:r>
    </w:p>
    <w:p w14:paraId="2A2AC591">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研发型上市公司在被实施退市风险警示后6个月内未满足第12.4.10条第四款规定的退市风险警示撤销条件的，应当在该期限届满日次一交易日披露公司股票可能被终止上市的风险提示公告。公司</w:t>
      </w:r>
      <w:r>
        <w:rPr>
          <w:rFonts w:ascii="仿宋_GB2312" w:hAnsi="黑体" w:eastAsia="仿宋_GB2312"/>
          <w:sz w:val="32"/>
          <w:szCs w:val="32"/>
        </w:rPr>
        <w:t>股票</w:t>
      </w:r>
      <w:r>
        <w:rPr>
          <w:rFonts w:hint="eastAsia" w:ascii="仿宋_GB2312" w:hAnsi="黑体" w:eastAsia="仿宋_GB2312"/>
          <w:sz w:val="32"/>
          <w:szCs w:val="32"/>
        </w:rPr>
        <w:t>自公告披露之日起停牌。</w:t>
      </w:r>
    </w:p>
    <w:p w14:paraId="6E01FC37">
      <w:pPr>
        <w:tabs>
          <w:tab w:val="left" w:pos="1560"/>
        </w:tabs>
        <w:snapToGrid w:val="0"/>
        <w:spacing w:line="560" w:lineRule="exact"/>
        <w:rPr>
          <w:rFonts w:hint="eastAsia" w:ascii="仿宋_GB2312" w:hAnsi="黑体" w:eastAsia="仿宋_GB2312"/>
          <w:sz w:val="32"/>
          <w:szCs w:val="32"/>
        </w:rPr>
      </w:pPr>
      <w:r>
        <w:rPr>
          <w:rFonts w:hint="eastAsia" w:ascii="仿宋_GB2312" w:hAnsi="黑体" w:eastAsia="仿宋_GB2312"/>
          <w:sz w:val="32"/>
          <w:szCs w:val="32"/>
        </w:rPr>
        <w:t xml:space="preserve">    上市公司虽满足第</w:t>
      </w:r>
      <w:r>
        <w:rPr>
          <w:rFonts w:ascii="仿宋_GB2312" w:hAnsi="黑体" w:eastAsia="仿宋_GB2312"/>
          <w:sz w:val="32"/>
          <w:szCs w:val="32"/>
        </w:rPr>
        <w:t>12.4.</w:t>
      </w:r>
      <w:r>
        <w:rPr>
          <w:rFonts w:hint="eastAsia" w:ascii="仿宋_GB2312" w:hAnsi="黑体" w:eastAsia="仿宋_GB2312"/>
          <w:sz w:val="32"/>
          <w:szCs w:val="32"/>
        </w:rPr>
        <w:t>10条规定的退市风险警示撤销条件，但未在该条规定的相应期限内向本所申请撤销退市风险警示的，公司应当在相应期限届满的次一交易日披露公司股票可能被终止上市的风险提示公告。公司股票自公告披露之日起停牌。</w:t>
      </w:r>
    </w:p>
    <w:p w14:paraId="757D3498">
      <w:pPr>
        <w:numPr>
          <w:ilvl w:val="2"/>
          <w:numId w:val="48"/>
        </w:numPr>
        <w:tabs>
          <w:tab w:val="left" w:pos="1560"/>
        </w:tabs>
        <w:snapToGrid w:val="0"/>
        <w:spacing w:line="560" w:lineRule="exact"/>
        <w:ind w:left="0"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本所根据第</w:t>
      </w:r>
      <w:r>
        <w:rPr>
          <w:rFonts w:ascii="仿宋_GB2312" w:hAnsi="宋体" w:eastAsia="仿宋_GB2312" w:cs="宋体"/>
          <w:kern w:val="0"/>
          <w:sz w:val="32"/>
          <w:szCs w:val="32"/>
        </w:rPr>
        <w:t>12.4.1</w:t>
      </w:r>
      <w:r>
        <w:rPr>
          <w:rFonts w:hint="eastAsia" w:ascii="仿宋_GB2312" w:hAnsi="宋体" w:eastAsia="仿宋_GB2312" w:cs="宋体"/>
          <w:kern w:val="0"/>
          <w:sz w:val="32"/>
          <w:szCs w:val="32"/>
        </w:rPr>
        <w:t>4</w:t>
      </w:r>
      <w:r>
        <w:rPr>
          <w:rFonts w:ascii="仿宋_GB2312" w:hAnsi="宋体" w:eastAsia="仿宋_GB2312" w:cs="宋体"/>
          <w:kern w:val="0"/>
          <w:sz w:val="32"/>
          <w:szCs w:val="32"/>
        </w:rPr>
        <w:t>条对公司股票实施停牌的，自停牌之日起5个交易日内，向公司发出拟终止其股票上市的事先告知书，上市公司应当及时披露。</w:t>
      </w:r>
    </w:p>
    <w:p w14:paraId="1BB0C3BD">
      <w:pPr>
        <w:numPr>
          <w:ilvl w:val="2"/>
          <w:numId w:val="48"/>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宋体" w:eastAsia="仿宋_GB2312" w:cs="宋体"/>
          <w:kern w:val="0"/>
          <w:sz w:val="32"/>
          <w:szCs w:val="32"/>
        </w:rPr>
        <w:t>上市公司收到终止上市事先告知书后，可以根据本章第六节的规定提出听证、陈述和申辩。</w:t>
      </w:r>
    </w:p>
    <w:p w14:paraId="11E79FF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宋体" w:eastAsia="仿宋_GB2312" w:cs="宋体"/>
          <w:kern w:val="0"/>
          <w:sz w:val="32"/>
          <w:szCs w:val="32"/>
        </w:rPr>
        <w:t>本所上市委员会在前款规定的有关期限届满或者听证程序结束后15个交易日内，就是否终止公司股票上市事宜进行审议，</w:t>
      </w:r>
      <w:r>
        <w:rPr>
          <w:rFonts w:hint="eastAsia" w:ascii="仿宋_GB2312" w:hAnsi="仿宋_GB2312" w:eastAsia="仿宋_GB2312"/>
          <w:sz w:val="32"/>
          <w:szCs w:val="32"/>
        </w:rPr>
        <w:t>作出独立的专业判断并形成审议意见。</w:t>
      </w:r>
    </w:p>
    <w:p w14:paraId="6401D0AB">
      <w:pPr>
        <w:widowControl/>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本所根据上市委员会的审议意见，作出是否终止股票上市的决定。</w:t>
      </w:r>
    </w:p>
    <w:p w14:paraId="7C73DC76">
      <w:pPr>
        <w:numPr>
          <w:ilvl w:val="2"/>
          <w:numId w:val="48"/>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14:paraId="651D6EA1">
      <w:pPr>
        <w:numPr>
          <w:ilvl w:val="2"/>
          <w:numId w:val="48"/>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本所在作出终止股票上市的决定之日起2个交易日内，通知上市公司并披露相关公告，同时报中国证监会备案。</w:t>
      </w:r>
    </w:p>
    <w:p w14:paraId="7EC2047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上市公司应当在收到本所关于终止其股票上市决定后，及时披露股票终止上市公告。</w:t>
      </w:r>
    </w:p>
    <w:p w14:paraId="1A1D7E6E">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上市公司可以按照本章第六节的规定申请复核。</w:t>
      </w:r>
    </w:p>
    <w:p w14:paraId="33CF6282">
      <w:pPr>
        <w:numPr>
          <w:ilvl w:val="2"/>
          <w:numId w:val="48"/>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股票因触及本规则第12.4.2条第一款第四项情形被终止上市，相关行政处罚决定被依法撤销或确认无效，或者因对违法行为性质、违法事实等的认定发生重大变化被依法变更的，参照本规则第12.2.11条至第12.2.14条规定的程序办理。</w:t>
      </w:r>
    </w:p>
    <w:p w14:paraId="24740F6D">
      <w:pPr>
        <w:pStyle w:val="36"/>
        <w:rPr>
          <w:rFonts w:hint="eastAsia"/>
        </w:rPr>
      </w:pPr>
      <w:bookmarkStart w:id="750" w:name="_Toc31605"/>
      <w:bookmarkStart w:id="751" w:name="_Toc16549"/>
      <w:bookmarkStart w:id="752" w:name="_Toc170284256"/>
      <w:r>
        <w:rPr>
          <w:rFonts w:hint="eastAsia"/>
        </w:rPr>
        <w:t>第五节 规范类强制退市</w:t>
      </w:r>
      <w:bookmarkEnd w:id="750"/>
      <w:bookmarkEnd w:id="751"/>
      <w:bookmarkEnd w:id="752"/>
    </w:p>
    <w:p w14:paraId="01A47B2D">
      <w:pPr>
        <w:numPr>
          <w:ilvl w:val="2"/>
          <w:numId w:val="49"/>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 上市公司出现下列情形之一的，本所对其股票实施退市风险警示：</w:t>
      </w:r>
    </w:p>
    <w:p w14:paraId="496049D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（一）因财务会计报告存在重大会计差错或者虚假记载，被中国证监会责令改正但公司未在规定期限内改正，此后公司在股票停牌2个月内仍未改正； </w:t>
      </w:r>
    </w:p>
    <w:p w14:paraId="05AD5D8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（二）未在法定期限内披露年度报告或者半年度报告，此后公司在股票停牌2个月内仍未披露；</w:t>
      </w:r>
    </w:p>
    <w:p w14:paraId="1E66ED3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（三）因半数以上董事无法保证公司所披露半年度报告和年度报告的真实性、准确性和完整性，且未在法定期限内改正，此后股票停牌2个月内仍未改正；</w:t>
      </w:r>
    </w:p>
    <w:p w14:paraId="482DCDA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w:t>
      </w:r>
      <w:r>
        <w:rPr>
          <w:rFonts w:hint="eastAsia" w:ascii="仿宋_GB2312" w:eastAsia="仿宋_GB2312"/>
          <w:sz w:val="32"/>
          <w:szCs w:val="32"/>
        </w:rPr>
        <w:t>因信息披露或者规范运作等方面存在重大缺陷，被本所限期改正但公司未在规定期限内改正，</w:t>
      </w:r>
      <w:r>
        <w:rPr>
          <w:rFonts w:hint="eastAsia" w:ascii="仿宋_GB2312" w:hAnsi="黑体" w:eastAsia="仿宋_GB2312"/>
          <w:sz w:val="32"/>
          <w:szCs w:val="32"/>
        </w:rPr>
        <w:t>此后公司在股票停牌2个月内仍未改正；</w:t>
      </w:r>
    </w:p>
    <w:p w14:paraId="5DAA612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公司被控股股东（无控股股东，则为第一大股东）及其关联方非经营性占用资金，余额达到最近一期经审计净资产绝对值30%以上，或者金额达到2亿元以上，被中国证监会责令改正但公司未在规定期限内改正，此后公司在股票停牌2个月内仍未改正；</w:t>
      </w:r>
    </w:p>
    <w:p w14:paraId="1DAEA5A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（六）连续2个会计年度的财务报告内部控制被出具无法表示意见或者否定意见的审计报告，或者未按照规定披露财务报告内部控制审计报告；</w:t>
      </w:r>
    </w:p>
    <w:p w14:paraId="094571D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（七）因公司股本总额或股权分布发生变化，导致连续20个交易日不再具备上市条件，此后公司在股票停牌1个月内仍未解决；</w:t>
      </w:r>
    </w:p>
    <w:p w14:paraId="2AB0D92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（八）公司可能被依法强制解散；</w:t>
      </w:r>
    </w:p>
    <w:p w14:paraId="2C15EFB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（九）法院依法受理公司重整、和解和破产清算申请；</w:t>
      </w:r>
    </w:p>
    <w:p w14:paraId="3120CED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（十）本所认定的其他情形。</w:t>
      </w:r>
    </w:p>
    <w:p w14:paraId="3104542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本条第一款第四项规定的</w:t>
      </w:r>
      <w:r>
        <w:rPr>
          <w:rFonts w:hint="eastAsia" w:ascii="仿宋_GB2312" w:eastAsia="仿宋_GB2312"/>
          <w:sz w:val="32"/>
          <w:szCs w:val="32"/>
        </w:rPr>
        <w:t>信息披露或者规范运作等方面存在重大缺陷</w:t>
      </w:r>
      <w:r>
        <w:rPr>
          <w:rFonts w:hint="eastAsia" w:ascii="仿宋_GB2312" w:hAnsi="黑体" w:eastAsia="仿宋_GB2312"/>
          <w:sz w:val="32"/>
          <w:szCs w:val="32"/>
        </w:rPr>
        <w:t>情形，具体包括下列情形：</w:t>
      </w:r>
    </w:p>
    <w:p w14:paraId="1B2EAB6A">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（一）本所失去公司有效信息来源；</w:t>
      </w:r>
    </w:p>
    <w:p w14:paraId="518893B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（二）公司拒不披露应当披露的重大信息；</w:t>
      </w:r>
    </w:p>
    <w:p w14:paraId="43D10555">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（三）公司严重扰乱信息披露秩序，并造成恶劣影响；</w:t>
      </w:r>
    </w:p>
    <w:p w14:paraId="5399F9C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（四）公司控制权无序争夺，导致投资者无法获取公司有效信息；</w:t>
      </w:r>
    </w:p>
    <w:p w14:paraId="28E2B2E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（五）本所认为公司存在其他信息披露或者规范运作缺陷且情节严重的。</w:t>
      </w:r>
    </w:p>
    <w:p w14:paraId="6D3B460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前款</w:t>
      </w:r>
      <w:r>
        <w:rPr>
          <w:rFonts w:ascii="仿宋_GB2312" w:hAnsi="黑体" w:eastAsia="仿宋_GB2312"/>
          <w:sz w:val="32"/>
          <w:szCs w:val="32"/>
        </w:rPr>
        <w:t>所述情形</w:t>
      </w:r>
      <w:r>
        <w:rPr>
          <w:rFonts w:hint="eastAsia" w:ascii="仿宋_GB2312" w:hAnsi="黑体" w:eastAsia="仿宋_GB2312"/>
          <w:sz w:val="32"/>
          <w:szCs w:val="32"/>
        </w:rPr>
        <w:t>由本所提请上市委员会审议，并根据上市委员会的审议意见作出认定。</w:t>
      </w:r>
    </w:p>
    <w:p w14:paraId="593DB99B">
      <w:pPr>
        <w:numPr>
          <w:ilvl w:val="2"/>
          <w:numId w:val="49"/>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 上市公司出现下列情形之一的，应当立即披露股票可能被实施退市风险警示的风险提示公告：</w:t>
      </w:r>
    </w:p>
    <w:p w14:paraId="23CF2D3C">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（一）因财务会计报告存在重大会计差错或者虚假记载，被中国证监会责令改正；</w:t>
      </w:r>
    </w:p>
    <w:p w14:paraId="092B96D8">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（二）未在法定期限内披露年度报告或者半年度报告；</w:t>
      </w:r>
    </w:p>
    <w:p w14:paraId="5830228C">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（三）半数以上董事无法保证年度报告或者半年度报告真实、准确、完整；</w:t>
      </w:r>
    </w:p>
    <w:p w14:paraId="1E2EBB62">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（四）因信息披露或者规范运作等方面存在重大缺陷，被本所要求改正；</w:t>
      </w:r>
    </w:p>
    <w:p w14:paraId="09902EF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（五）公司被控股股东（无控股股东，则为第一大股东）及其关联方非经营性占用资金，余额达到最近一期经审计净资产绝对值30%以上，或者金额达到2亿元以上，被中国证监会责令改正；</w:t>
      </w:r>
    </w:p>
    <w:p w14:paraId="40AC7580">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（六）首个会计年度的财务报告内部控制被出具无法表示意见或者否定意见的审计报告，或者未按照规定披露财务报告内部控制审计报告；</w:t>
      </w:r>
    </w:p>
    <w:p w14:paraId="3600661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（七）连续10个交易日股本总额或者股权分布不再具备上市条件；</w:t>
      </w:r>
    </w:p>
    <w:p w14:paraId="06A9EA1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公司按照前款第一项至第五项、第七项规定披露风险提示公告后，应当至少每10个交易日披露一次相关进展情况和风险提示公告，直至相应情形消除或者公司股票被本所实施退市风险警示。</w:t>
      </w:r>
    </w:p>
    <w:p w14:paraId="5A98F970">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公司触及本条第一款第五项规定，在中国证监会责令改正期限内改正的，应当及时披露会计师事务所出具的专项核查意见等文件。</w:t>
      </w:r>
    </w:p>
    <w:p w14:paraId="7926B8E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公司按照本条第一款第六项规定披露风险提示公告后，应当至少每个月披露一次相关进展情况和风险提示公告，直至相应情形消除或者公司股票被本所实施退市风险警示。</w:t>
      </w:r>
    </w:p>
    <w:p w14:paraId="54765E02">
      <w:pPr>
        <w:numPr>
          <w:ilvl w:val="2"/>
          <w:numId w:val="49"/>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 上市公司出现第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第一项</w:t>
      </w:r>
      <w:r>
        <w:rPr>
          <w:rFonts w:hint="eastAsia" w:ascii="仿宋_GB2312" w:hAnsi="黑体" w:eastAsia="仿宋_GB2312"/>
          <w:sz w:val="32"/>
          <w:szCs w:val="32"/>
        </w:rPr>
        <w:t>至第五项规定的未在规定期限改正或者法定期限内披露相关定期报告情形的，公司股票自改正期限或者法定期限届满之日起停牌，并披露公司股票可能被实施退市风险警示的风险提示公告。</w:t>
      </w:r>
      <w:r>
        <w:rPr>
          <w:rFonts w:hint="eastAsia" w:ascii="仿宋_GB2312" w:hAnsi="Arial Unicode MS" w:eastAsia="仿宋_GB2312" w:cs="Arial Unicode MS"/>
          <w:color w:val="000000"/>
          <w:sz w:val="32"/>
          <w:szCs w:val="32"/>
        </w:rPr>
        <w:t>披露日为非交易日的，于次一交易日起停牌。</w:t>
      </w:r>
    </w:p>
    <w:p w14:paraId="21194811">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上市公司在股票停牌后2个月内完成改正或者披露相关定期报告的，应当及时公告，公司股票自公告披露当日起复牌。</w:t>
      </w:r>
      <w:r>
        <w:rPr>
          <w:rFonts w:hint="eastAsia" w:ascii="仿宋_GB2312" w:hAnsi="Arial Unicode MS" w:eastAsia="仿宋_GB2312" w:cs="Arial Unicode MS"/>
          <w:color w:val="000000"/>
          <w:sz w:val="32"/>
          <w:szCs w:val="32"/>
        </w:rPr>
        <w:t>披露日为非交易日的，于次一交易日起复牌。</w:t>
      </w:r>
    </w:p>
    <w:p w14:paraId="6C876DC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股票停牌后2个月内仍未完成改正或者披露的，公司应当在停牌2个月届满的次一交易日披露股票被实施退市风险警示的公告。公司股票自公告披露日后的次一交易日起复牌。自复牌之日起，本所对公司股票实施退市风险警示。</w:t>
      </w:r>
    </w:p>
    <w:p w14:paraId="208321D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对于可能触及12.5.1条第一款第五项规定情形的，停牌期间前述情形消除的，申请复牌时应当同时披露会计师事务所出具的专项核查意见等文件。</w:t>
      </w:r>
    </w:p>
    <w:p w14:paraId="71515E89">
      <w:pPr>
        <w:numPr>
          <w:ilvl w:val="2"/>
          <w:numId w:val="49"/>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 上市公司出现第12.5.1条第一款第七项规定的股本总额或者股权分布连续20个交易日不具备上市条件的，公司股票自前述情形出现的次一交易日起停牌，并披露公司股票可能被实施退市风险警示的风险提示公告。</w:t>
      </w:r>
    </w:p>
    <w:p w14:paraId="4BCD969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上市公司在股票停牌后1个月内披露股本总额或者股权分布问题解决方案的，应当</w:t>
      </w:r>
      <w:r>
        <w:rPr>
          <w:rFonts w:ascii="仿宋_GB2312" w:hAnsi="黑体" w:eastAsia="仿宋_GB2312"/>
          <w:sz w:val="32"/>
          <w:szCs w:val="32"/>
        </w:rPr>
        <w:t>同时</w:t>
      </w:r>
      <w:r>
        <w:rPr>
          <w:rFonts w:hint="eastAsia" w:ascii="仿宋_GB2312" w:hAnsi="黑体" w:eastAsia="仿宋_GB2312"/>
          <w:sz w:val="32"/>
          <w:szCs w:val="32"/>
        </w:rPr>
        <w:t>披露股票被实施退市风险警示的公告，公司股票自公告披露日后的次一交易日起复牌；公司未在股票停牌后1个月内披露解决方案的，应</w:t>
      </w:r>
      <w:r>
        <w:rPr>
          <w:rFonts w:ascii="仿宋_GB2312" w:hAnsi="黑体" w:eastAsia="仿宋_GB2312"/>
          <w:sz w:val="32"/>
          <w:szCs w:val="32"/>
        </w:rPr>
        <w:t>当在</w:t>
      </w:r>
      <w:r>
        <w:rPr>
          <w:rFonts w:hint="eastAsia" w:ascii="仿宋_GB2312" w:hAnsi="黑体" w:eastAsia="仿宋_GB2312"/>
          <w:sz w:val="32"/>
          <w:szCs w:val="32"/>
        </w:rPr>
        <w:t>停牌</w:t>
      </w:r>
      <w:r>
        <w:rPr>
          <w:rFonts w:ascii="仿宋_GB2312" w:hAnsi="黑体" w:eastAsia="仿宋_GB2312"/>
          <w:sz w:val="32"/>
          <w:szCs w:val="32"/>
        </w:rPr>
        <w:t>1</w:t>
      </w:r>
      <w:r>
        <w:rPr>
          <w:rFonts w:hint="eastAsia" w:ascii="仿宋_GB2312" w:hAnsi="黑体" w:eastAsia="仿宋_GB2312"/>
          <w:sz w:val="32"/>
          <w:szCs w:val="32"/>
        </w:rPr>
        <w:t>个月届满的次一交易日，披露股票被实施退市风险警示的公告，公司股票自公告披露日后的次一交易日起复牌。自复牌之日起，本所对公司股票实施退市风险警示。</w:t>
      </w:r>
    </w:p>
    <w:p w14:paraId="4B63DCD0">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停牌期间股本总额或者股权分布重新具备上市条件的，上市公司应当及时披露并申请股票复牌。</w:t>
      </w:r>
    </w:p>
    <w:p w14:paraId="67922106">
      <w:pPr>
        <w:numPr>
          <w:ilvl w:val="2"/>
          <w:numId w:val="49"/>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 上市公司出现第12.5.1条第一款第六项、第八项至第十项规定情形之一的，应当及时披露相关情形，公司股票自该情形出现的次一交易日起停牌。</w:t>
      </w:r>
    </w:p>
    <w:p w14:paraId="77E551C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在停牌之日起5个交易日内，对上市公司股票实施退市风险警示。公司应当按照本所要求在其股票被实施退市风险警示前及时发布公告。公司股票自公告披露日后的次一交易日起复牌。公告披露日为非交易日的，于披露后的第二个交易日起复牌。自复牌之日起，本所对公司股票实施退市风险警示。</w:t>
      </w:r>
    </w:p>
    <w:p w14:paraId="4D02B3D1">
      <w:pPr>
        <w:numPr>
          <w:ilvl w:val="2"/>
          <w:numId w:val="49"/>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 xml:space="preserve"> 上市</w:t>
      </w:r>
      <w:r>
        <w:rPr>
          <w:rFonts w:ascii="仿宋_GB2312" w:hAnsi="Arial Unicode MS" w:eastAsia="仿宋_GB2312" w:cs="Arial Unicode MS"/>
          <w:color w:val="000000"/>
          <w:sz w:val="32"/>
          <w:szCs w:val="32"/>
        </w:rPr>
        <w:t>公司</w:t>
      </w:r>
      <w:r>
        <w:rPr>
          <w:rFonts w:hint="eastAsia" w:ascii="仿宋_GB2312" w:hAnsi="Arial Unicode MS" w:eastAsia="仿宋_GB2312" w:cs="Arial Unicode MS"/>
          <w:color w:val="000000"/>
          <w:sz w:val="32"/>
          <w:szCs w:val="32"/>
        </w:rPr>
        <w:t>因第12.5.1条第一款第一项至第五项、第七项、第八项规定情形被实施退市风险警示的，</w:t>
      </w:r>
      <w:r>
        <w:rPr>
          <w:rFonts w:hint="eastAsia" w:ascii="仿宋_GB2312" w:hAnsi="黑体" w:eastAsia="仿宋_GB2312"/>
          <w:sz w:val="32"/>
          <w:szCs w:val="32"/>
        </w:rPr>
        <w:t>股票被实施退市风险警示期间，上市公司应当每5个交易日披露一次风险提示公告，提示其股票可能被终止上市的风险。</w:t>
      </w:r>
    </w:p>
    <w:p w14:paraId="4600C7E7">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股票因第12.5.1条第一款第六项规定情形被实施退市风险警示的，在被实施退市风险警示期间，公司应当至少每月披露1次公司股票可能被终止上市的风险提示公告，并且应当在其股票被实施退市风险警示当年会计年度结束后一个月内，披露股票可能被终止上市的风险提示公告，并在首次披露风险提示公告后至该年财务报告内部控制审计报告披露前，每10个交易日披露一次风险提示公告。</w:t>
      </w:r>
    </w:p>
    <w:p w14:paraId="4F28DF1F">
      <w:pPr>
        <w:numPr>
          <w:ilvl w:val="2"/>
          <w:numId w:val="49"/>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 上市公司股票因第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w:t>
      </w:r>
      <w:r>
        <w:rPr>
          <w:rFonts w:hint="eastAsia" w:ascii="仿宋_GB2312" w:hAnsi="黑体" w:eastAsia="仿宋_GB2312"/>
          <w:sz w:val="32"/>
          <w:szCs w:val="32"/>
        </w:rPr>
        <w:t>条第一款第九项情形被实施退市风险警示的，公司应当分阶段及时披露法院裁定批准公司重整计划、和解协议或者终止重整、和解程序等重整事项的进展，并充分提示相关风险</w:t>
      </w:r>
      <w:r>
        <w:rPr>
          <w:rFonts w:ascii="仿宋_GB2312" w:hAnsi="黑体" w:eastAsia="仿宋_GB2312"/>
          <w:sz w:val="32"/>
          <w:szCs w:val="32"/>
        </w:rPr>
        <w:t>。</w:t>
      </w:r>
    </w:p>
    <w:p w14:paraId="0E022478">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上市公司破产重整的停复牌应当遵守本所相关规定。</w:t>
      </w:r>
    </w:p>
    <w:p w14:paraId="67B9B591">
      <w:pPr>
        <w:numPr>
          <w:ilvl w:val="2"/>
          <w:numId w:val="49"/>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 上市公司股票因第12.5.1条第一款第一项至第八项情形被实施退市风险警示后，符合下列对应条件的，可以向本所申请撤销对其股票实施的退市风险警示并披露：</w:t>
      </w:r>
    </w:p>
    <w:p w14:paraId="372A1B63">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（一）因第12.5.1条第一款第一项情形被实施退市风险警示之日后2个月内，披露经改正的财务会计报告；</w:t>
      </w:r>
    </w:p>
    <w:p w14:paraId="6A8773D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（二）因第12.5.1条第一款第二项情形被实施退市风险警示之日后2个月内，披露相关年度报告或者半年度报告，且不存在半数以上董事无法保证真实、准确、完整情形；</w:t>
      </w:r>
    </w:p>
    <w:p w14:paraId="4DEE141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w:t>
      </w:r>
      <w:r>
        <w:rPr>
          <w:rFonts w:hint="eastAsia" w:ascii="仿宋_GB2312" w:hAnsi="Arial Unicode MS" w:eastAsia="仿宋_GB2312" w:cs="Arial Unicode MS"/>
          <w:color w:val="000000"/>
          <w:sz w:val="32"/>
          <w:szCs w:val="32"/>
        </w:rPr>
        <w:t>因第12.5.1条第一款第三项规定情形被实施退市风险警示之日后2个月内，超过半数董事保证公司所披露相关定期报告的真实性、准确性和完整性；</w:t>
      </w:r>
    </w:p>
    <w:p w14:paraId="011034A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（四）因第12.5.1条第一款第四项情形被实施退市风险警示之日后2个月内，公司已按要求完成整改，具备健全的公司治理结构，运作规范，信息披露和内控制度无重大缺陷；</w:t>
      </w:r>
    </w:p>
    <w:p w14:paraId="569678E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（五）因第12.5.1条第一款第五项规定情形被实施退市风险警示之日后2个月内，公司完成改正，且不存在控股股东及其关联方其他非经营性占用资金情形；</w:t>
      </w:r>
    </w:p>
    <w:p w14:paraId="24EB3BB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（六）因第12.5.1条第一款第六项规定情形被实施退市风险警示后，最近一个会计年度公司财务报告内部控制被出具无保留意见的审计报告；</w:t>
      </w:r>
    </w:p>
    <w:p w14:paraId="22EFEE6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（七）因第12.5.1条第一款第七项情形被实施退市风险警示之日后6个月内，解决股本总额或股权分布问题，且其股本总额或股权分布重新具备上市条件；</w:t>
      </w:r>
    </w:p>
    <w:p w14:paraId="439C81D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w:t>
      </w:r>
      <w:r>
        <w:rPr>
          <w:rFonts w:hint="eastAsia" w:ascii="仿宋_GB2312" w:hAnsi="黑体" w:eastAsia="仿宋_GB2312"/>
          <w:sz w:val="32"/>
          <w:szCs w:val="32"/>
        </w:rPr>
        <w:t>八项情形被实施退市风险警示后，公司可能被依法强制解散的情形已消除。</w:t>
      </w:r>
    </w:p>
    <w:p w14:paraId="2FC93448">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前款规定的第四项情形，由本所提请上市委员会审议，并根据上市委员会审议意见作出是否撤销退市风险警示的决定。</w:t>
      </w:r>
    </w:p>
    <w:p w14:paraId="7DE4389E">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股票因第12.5.1条第一款第六项规定情形被实施退市风险警示后，最近一个会计年度公司因进行破产重整、重组上市或者重大资产重组，按照相关规定无法披露财务报告内部控制审计报告的，公司股票继续被实施退市风险警示。</w:t>
      </w:r>
    </w:p>
    <w:p w14:paraId="12DA8C47">
      <w:pPr>
        <w:numPr>
          <w:ilvl w:val="2"/>
          <w:numId w:val="49"/>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 上市公司股票因第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w:t>
      </w:r>
      <w:r>
        <w:rPr>
          <w:rFonts w:hint="eastAsia" w:ascii="仿宋_GB2312" w:hAnsi="黑体" w:eastAsia="仿宋_GB2312"/>
          <w:sz w:val="32"/>
          <w:szCs w:val="32"/>
        </w:rPr>
        <w:t>九项情形被实施退市风险警示后，符合下列条件之一的，公司可以向本所申请撤销对其股票实施的退市风险警示并披露：</w:t>
      </w:r>
    </w:p>
    <w:p w14:paraId="12C85D3E">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（一）重整计划执行完毕；</w:t>
      </w:r>
    </w:p>
    <w:p w14:paraId="65D5565D">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（二）和解协议执行完毕；</w:t>
      </w:r>
    </w:p>
    <w:p w14:paraId="49EA4F7E">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（三）法院受理破产申请后至破产宣告前，依据《中华人民共和国企业破产法》（以下简称《企业破产法》）作出驳回破产申请的裁定，且申请人在法定期限内未提起上诉；</w:t>
      </w:r>
    </w:p>
    <w:p w14:paraId="5B9120EC">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（四）因公司已清偿全部到期债务、第三人为公司提供足额担保或者清偿全部到期债务，法院受理破产申请后至破产宣告前，依据《企业破产法》作出终结破产程序的裁定。</w:t>
      </w:r>
    </w:p>
    <w:p w14:paraId="1EEF7618">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因前款第一项、第二项情形向本所申请撤销对其股票实施的退市风险警示，应当提交法院指定管理人出具的监督报告、律师事务所出具的对公司重整计划或和解协议执行情况的法律意见书，以及本所要求的其他说明文件。</w:t>
      </w:r>
    </w:p>
    <w:p w14:paraId="6DDF5674">
      <w:pPr>
        <w:numPr>
          <w:ilvl w:val="2"/>
          <w:numId w:val="49"/>
        </w:numPr>
        <w:tabs>
          <w:tab w:val="left" w:pos="1560"/>
        </w:tabs>
        <w:snapToGrid w:val="0"/>
        <w:spacing w:line="560" w:lineRule="exact"/>
        <w:ind w:left="0" w:firstLine="640" w:firstLineChars="200"/>
        <w:rPr>
          <w:rFonts w:hint="eastAsia" w:ascii="仿宋_GB2312" w:hAnsi="Arial Unicode MS" w:eastAsia="仿宋_GB2312" w:cs="Arial Unicode MS"/>
          <w:color w:val="000000"/>
          <w:sz w:val="32"/>
          <w:szCs w:val="32"/>
        </w:rPr>
      </w:pPr>
      <w:r>
        <w:rPr>
          <w:rFonts w:hint="eastAsia" w:ascii="仿宋_GB2312" w:hAnsi="黑体" w:eastAsia="仿宋_GB2312"/>
          <w:sz w:val="32"/>
          <w:szCs w:val="32"/>
        </w:rPr>
        <w:t>上市公司符合12.5.8条、第12.5.9条规定条件的，应当于相关情形出现后及时披露，并说明是否将向本所申请撤销退市风险警示。公司可以在披露之日起的5个交易日内，向本所申请撤销对其</w:t>
      </w:r>
      <w:r>
        <w:rPr>
          <w:rFonts w:ascii="仿宋_GB2312" w:hAnsi="黑体" w:eastAsia="仿宋_GB2312"/>
          <w:sz w:val="32"/>
          <w:szCs w:val="32"/>
        </w:rPr>
        <w:t>股票实施的</w:t>
      </w:r>
      <w:r>
        <w:rPr>
          <w:rFonts w:hint="eastAsia" w:ascii="仿宋_GB2312" w:hAnsi="黑体" w:eastAsia="仿宋_GB2312"/>
          <w:sz w:val="32"/>
          <w:szCs w:val="32"/>
        </w:rPr>
        <w:t>退市风险警示并披露。</w:t>
      </w:r>
      <w:r>
        <w:rPr>
          <w:rFonts w:hint="eastAsia" w:ascii="仿宋_GB2312" w:hAnsi="Arial Unicode MS" w:eastAsia="仿宋_GB2312" w:cs="Arial Unicode MS"/>
          <w:color w:val="000000"/>
          <w:sz w:val="32"/>
          <w:szCs w:val="32"/>
        </w:rPr>
        <w:t>上市公司不符合12.5.8条、第12.5.9条</w:t>
      </w:r>
      <w:r>
        <w:rPr>
          <w:rFonts w:hint="eastAsia" w:ascii="仿宋_GB2312" w:hAnsi="黑体" w:eastAsia="仿宋_GB2312"/>
          <w:sz w:val="32"/>
          <w:szCs w:val="32"/>
        </w:rPr>
        <w:t>规定的撤销退市风险警示</w:t>
      </w:r>
      <w:r>
        <w:rPr>
          <w:rFonts w:hint="eastAsia" w:ascii="仿宋_GB2312" w:hAnsi="Arial Unicode MS" w:eastAsia="仿宋_GB2312" w:cs="Arial Unicode MS"/>
          <w:color w:val="000000"/>
          <w:sz w:val="32"/>
          <w:szCs w:val="32"/>
        </w:rPr>
        <w:t>条件或者未在规定期限内申请撤销退市风险警示的，本所决定终止其股票上市。</w:t>
      </w:r>
    </w:p>
    <w:p w14:paraId="5EC4F227">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公司依据第12.5.8条第一款第一项、第三项、第六项、第七项规定向本所申请撤销退市风险警示的，本所可以要求公司同时提交中介机构出具的专项核查意见。</w:t>
      </w:r>
    </w:p>
    <w:p w14:paraId="0E27E948">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公司按照第12.5.8</w:t>
      </w:r>
      <w:r>
        <w:rPr>
          <w:rFonts w:ascii="仿宋_GB2312" w:hAnsi="Arial Unicode MS" w:eastAsia="仿宋_GB2312" w:cs="Arial Unicode MS"/>
          <w:color w:val="000000"/>
          <w:sz w:val="32"/>
          <w:szCs w:val="32"/>
        </w:rPr>
        <w:t>条第一款</w:t>
      </w:r>
      <w:r>
        <w:rPr>
          <w:rFonts w:hint="eastAsia" w:ascii="仿宋_GB2312" w:hAnsi="Arial Unicode MS" w:eastAsia="仿宋_GB2312" w:cs="Arial Unicode MS"/>
          <w:color w:val="000000"/>
          <w:sz w:val="32"/>
          <w:szCs w:val="32"/>
        </w:rPr>
        <w:t>第四项规定向本所申请撤销退市风险警示的，应当按照本所要求同时披露中介机构专项核查意见，说明公司信息披露、规范运作无重大缺陷。</w:t>
      </w:r>
    </w:p>
    <w:p w14:paraId="4FEBCEE9">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公司按照第12.5.8条第一款第五项规定向本所申请撤销退市风险警示的，应当提交会计师事务所出具的专项核查意见等文件。</w:t>
      </w:r>
    </w:p>
    <w:p w14:paraId="7E02F70A">
      <w:pPr>
        <w:numPr>
          <w:ilvl w:val="2"/>
          <w:numId w:val="49"/>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提交完备的申请材料的，本所在15个交易日内作出是否撤销退市风险警示的决定。在此期间，本所要求公司提供补充材料的，公司应当在本所规定期限内提供有关材料。公司补充材料期间不计入本所作出有关决定的期限。</w:t>
      </w:r>
    </w:p>
    <w:p w14:paraId="4D32992C">
      <w:pPr>
        <w:numPr>
          <w:ilvl w:val="2"/>
          <w:numId w:val="49"/>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本所决定撤销退市风险警示的，上市公司应当按照本所要求在</w:t>
      </w:r>
      <w:r>
        <w:rPr>
          <w:rFonts w:ascii="仿宋_GB2312" w:hAnsi="Arial Unicode MS" w:eastAsia="仿宋_GB2312" w:cs="Arial Unicode MS"/>
          <w:color w:val="000000"/>
          <w:sz w:val="32"/>
          <w:szCs w:val="32"/>
        </w:rPr>
        <w:t>撤销退市风险警示</w:t>
      </w:r>
      <w:r>
        <w:rPr>
          <w:rFonts w:hint="eastAsia" w:ascii="仿宋_GB2312" w:hAnsi="黑体" w:eastAsia="仿宋_GB2312"/>
          <w:sz w:val="32"/>
          <w:szCs w:val="32"/>
        </w:rPr>
        <w:t>之前一个交易日</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公告。</w:t>
      </w:r>
      <w:r>
        <w:rPr>
          <w:rFonts w:hint="eastAsia" w:ascii="仿宋_GB2312" w:hAnsi="黑体" w:eastAsia="仿宋_GB2312"/>
          <w:sz w:val="32"/>
          <w:szCs w:val="32"/>
        </w:rPr>
        <w:t>公司股票在公告披露日停牌一天，本所自复牌之日起撤销对公司股票实施的退市风险警示。</w:t>
      </w:r>
    </w:p>
    <w:p w14:paraId="2F562E5A">
      <w:pPr>
        <w:numPr>
          <w:ilvl w:val="2"/>
          <w:numId w:val="49"/>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本所决定不予撤销退市风险警示的，公司应当在收到本所有关书面通知的次一交易日披露公告。公司未按规定公告的，</w:t>
      </w:r>
      <w:r>
        <w:rPr>
          <w:rFonts w:hint="eastAsia" w:ascii="仿宋_GB2312" w:hAnsi="Arial Unicode MS" w:eastAsia="仿宋_GB2312" w:cs="Arial Unicode MS"/>
          <w:color w:val="000000"/>
          <w:sz w:val="32"/>
          <w:szCs w:val="32"/>
        </w:rPr>
        <w:t>本所可以交易所公告的形式予以公告</w:t>
      </w:r>
      <w:r>
        <w:rPr>
          <w:rFonts w:hint="eastAsia" w:ascii="仿宋_GB2312" w:hAnsi="黑体" w:eastAsia="仿宋_GB2312"/>
          <w:sz w:val="32"/>
          <w:szCs w:val="32"/>
        </w:rPr>
        <w:t>。</w:t>
      </w:r>
    </w:p>
    <w:p w14:paraId="7DEFFF1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上市公司虽满足第12.5.8条、第12.5.9条规定的退市风险警示撤销条件，但具有其他退市风险警示情形的，按其他退市风险警示的程序执行，</w:t>
      </w:r>
      <w:r>
        <w:rPr>
          <w:rFonts w:ascii="仿宋_GB2312" w:hAnsi="黑体" w:eastAsia="仿宋_GB2312"/>
          <w:sz w:val="32"/>
          <w:szCs w:val="32"/>
        </w:rPr>
        <w:t>不予撤销退市风险警示</w:t>
      </w:r>
      <w:r>
        <w:rPr>
          <w:rFonts w:hint="eastAsia" w:ascii="仿宋_GB2312" w:hAnsi="黑体" w:eastAsia="仿宋_GB2312"/>
          <w:sz w:val="32"/>
          <w:szCs w:val="32"/>
        </w:rPr>
        <w:t>。</w:t>
      </w:r>
    </w:p>
    <w:p w14:paraId="2BD1498C">
      <w:pPr>
        <w:numPr>
          <w:ilvl w:val="2"/>
          <w:numId w:val="49"/>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未满足第12.5.8条第一款第一项至第五项、第七项，第12.5.9条规定的撤销退市风险警示条件，或者未在第12.5.10条规定的期限内向本所申请撤销退市风险警示的，公司应当在相应期限届满或者收到本所不予撤销退市风险警示通知的次一交易日披露公司股票可能被终止上市的风险提示公告，公司股票自公告披露之日起停牌。</w:t>
      </w:r>
    </w:p>
    <w:p w14:paraId="4E07AB1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未满足第12.5.8条第一款第六项规定的撤销退市风险警示条件，公司应当及时披露公司股票可能被终止上市的风险提示公告，公司股票自公告披露之日起停牌，披露日为非交易日的，自披露后的次一个交易日起停牌。</w:t>
      </w:r>
    </w:p>
    <w:p w14:paraId="68EF737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股票因第12.5.1条第一款第八项、第九项情形被实施退市风险警示后，应当最迟于知道公司依法被吊销营业执照、被责令关闭或者被撤销等强制解散条件成就，或者收到法院宣告公司破产的裁定书的次一交易日披露有关情况，同时披露公司股票可能被终止上市的风险提示公告，公司股票自公告披露之日起停牌。</w:t>
      </w:r>
    </w:p>
    <w:p w14:paraId="2E1E1CFA">
      <w:pPr>
        <w:numPr>
          <w:ilvl w:val="2"/>
          <w:numId w:val="49"/>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本所根据第</w:t>
      </w:r>
      <w:r>
        <w:rPr>
          <w:rFonts w:ascii="仿宋_GB2312" w:hAnsi="黑体" w:eastAsia="仿宋_GB2312"/>
          <w:sz w:val="32"/>
          <w:szCs w:val="32"/>
        </w:rPr>
        <w:t>12.5.</w:t>
      </w:r>
      <w:r>
        <w:rPr>
          <w:rFonts w:hint="eastAsia" w:ascii="仿宋_GB2312" w:hAnsi="黑体" w:eastAsia="仿宋_GB2312"/>
          <w:sz w:val="32"/>
          <w:szCs w:val="32"/>
        </w:rPr>
        <w:t>14条对上市公司股票实施停牌的，自停牌之日起</w:t>
      </w:r>
      <w:r>
        <w:rPr>
          <w:rFonts w:ascii="仿宋_GB2312" w:hAnsi="黑体" w:eastAsia="仿宋_GB2312"/>
          <w:sz w:val="32"/>
          <w:szCs w:val="32"/>
        </w:rPr>
        <w:t>5个交易日内，向公司发出拟终止其股票上市的事先告知书，公司应当及时披露。</w:t>
      </w:r>
    </w:p>
    <w:p w14:paraId="7B10E506">
      <w:pPr>
        <w:numPr>
          <w:ilvl w:val="2"/>
          <w:numId w:val="49"/>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上市公司收到终止上市事先告知书后，可以根据本章第六节的规定提出听证、陈述和申辩。</w:t>
      </w:r>
    </w:p>
    <w:p w14:paraId="2A30D87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本所上市委员会在前款规定的有关期限届满或者听证程序结束后15个交易日内，就是否终止其股票上市事宜进行审议，作出独立的专业判断并形成审议意见。</w:t>
      </w:r>
    </w:p>
    <w:p w14:paraId="5F30AF11">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本所根据上市委员会的审议意见，作出是否终止股票上市的决定。</w:t>
      </w:r>
    </w:p>
    <w:p w14:paraId="0A916A69">
      <w:pPr>
        <w:numPr>
          <w:ilvl w:val="2"/>
          <w:numId w:val="49"/>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14:paraId="44385C1F">
      <w:pPr>
        <w:numPr>
          <w:ilvl w:val="2"/>
          <w:numId w:val="49"/>
        </w:numPr>
        <w:tabs>
          <w:tab w:val="left" w:pos="1560"/>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本所在作出终止股票上市的决定之日后2个交易日内，通知上市公司并发布相关公告，同时报中国证监会备案。</w:t>
      </w:r>
    </w:p>
    <w:p w14:paraId="78FF506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上市公司应当在收到本所关于终止其股票上市的决定后，及时披露股票终止上市公告。</w:t>
      </w:r>
    </w:p>
    <w:p w14:paraId="30EB53CC">
      <w:pPr>
        <w:pStyle w:val="34"/>
        <w:ind w:firstLine="640"/>
        <w:rPr>
          <w:rFonts w:hint="eastAsia" w:ascii="仿宋_GB2312" w:hAnsi="黑体"/>
          <w:sz w:val="32"/>
          <w:szCs w:val="32"/>
        </w:rPr>
      </w:pPr>
      <w:r>
        <w:rPr>
          <w:rFonts w:hint="eastAsia" w:ascii="仿宋_GB2312" w:hAnsi="黑体"/>
          <w:sz w:val="32"/>
          <w:szCs w:val="32"/>
        </w:rPr>
        <w:t>上市公司可以按照本章第六节的规定申请复核。</w:t>
      </w:r>
    </w:p>
    <w:p w14:paraId="55896737">
      <w:pPr>
        <w:pStyle w:val="36"/>
        <w:rPr>
          <w:rFonts w:hint="eastAsia"/>
        </w:rPr>
      </w:pPr>
      <w:bookmarkStart w:id="753" w:name="_Toc530152974"/>
      <w:bookmarkEnd w:id="753"/>
      <w:bookmarkStart w:id="754" w:name="_Toc530162137"/>
      <w:bookmarkEnd w:id="754"/>
      <w:bookmarkStart w:id="755" w:name="_Toc530162126"/>
      <w:bookmarkEnd w:id="755"/>
      <w:bookmarkStart w:id="756" w:name="_Toc530152903"/>
      <w:bookmarkEnd w:id="756"/>
      <w:bookmarkStart w:id="757" w:name="_Toc530162932"/>
      <w:bookmarkEnd w:id="757"/>
      <w:bookmarkStart w:id="758" w:name="_Toc530153059"/>
      <w:bookmarkEnd w:id="758"/>
      <w:bookmarkStart w:id="759" w:name="_Toc530153041"/>
      <w:bookmarkEnd w:id="759"/>
      <w:bookmarkStart w:id="760" w:name="_Toc530161981"/>
      <w:bookmarkEnd w:id="760"/>
      <w:bookmarkStart w:id="761" w:name="_Toc530162272"/>
      <w:bookmarkEnd w:id="761"/>
      <w:bookmarkStart w:id="762" w:name="_Toc530162937"/>
      <w:bookmarkEnd w:id="762"/>
      <w:bookmarkStart w:id="763" w:name="_Toc530152964"/>
      <w:bookmarkEnd w:id="763"/>
      <w:bookmarkStart w:id="764" w:name="_Toc530162285"/>
      <w:bookmarkEnd w:id="764"/>
      <w:bookmarkStart w:id="765" w:name="_Toc530152507"/>
      <w:bookmarkEnd w:id="765"/>
      <w:bookmarkStart w:id="766" w:name="_Toc530152504"/>
      <w:bookmarkEnd w:id="766"/>
      <w:bookmarkStart w:id="767" w:name="_Toc530162278"/>
      <w:bookmarkEnd w:id="767"/>
      <w:bookmarkStart w:id="768" w:name="_Toc530162581"/>
      <w:bookmarkEnd w:id="768"/>
      <w:bookmarkStart w:id="769" w:name="_Toc530153042"/>
      <w:bookmarkEnd w:id="769"/>
      <w:bookmarkStart w:id="770" w:name="_Toc530152488"/>
      <w:bookmarkEnd w:id="770"/>
      <w:bookmarkStart w:id="771" w:name="_Toc530162925"/>
      <w:bookmarkEnd w:id="771"/>
      <w:bookmarkStart w:id="772" w:name="_Toc530152976"/>
      <w:bookmarkEnd w:id="772"/>
      <w:bookmarkStart w:id="773" w:name="_Toc530152983"/>
      <w:bookmarkEnd w:id="773"/>
      <w:bookmarkStart w:id="774" w:name="_Toc530156278"/>
      <w:bookmarkEnd w:id="774"/>
      <w:bookmarkStart w:id="775" w:name="_Toc530162579"/>
      <w:bookmarkEnd w:id="775"/>
      <w:bookmarkStart w:id="776" w:name="_Toc530152487"/>
      <w:bookmarkEnd w:id="776"/>
      <w:bookmarkStart w:id="777" w:name="_Toc530162425"/>
      <w:bookmarkEnd w:id="777"/>
      <w:bookmarkStart w:id="778" w:name="_Toc530152500"/>
      <w:bookmarkEnd w:id="778"/>
      <w:bookmarkStart w:id="779" w:name="_Toc530156292"/>
      <w:bookmarkEnd w:id="779"/>
      <w:bookmarkStart w:id="780" w:name="_Toc530153049"/>
      <w:bookmarkEnd w:id="780"/>
      <w:bookmarkStart w:id="781" w:name="_Toc530152970"/>
      <w:bookmarkEnd w:id="781"/>
      <w:bookmarkStart w:id="782" w:name="_Toc530162704"/>
      <w:bookmarkEnd w:id="782"/>
      <w:bookmarkStart w:id="783" w:name="_Toc530162427"/>
      <w:bookmarkEnd w:id="783"/>
      <w:bookmarkStart w:id="784" w:name="_Toc530162122"/>
      <w:bookmarkEnd w:id="784"/>
      <w:bookmarkStart w:id="785" w:name="_Toc530152919"/>
      <w:bookmarkEnd w:id="785"/>
      <w:bookmarkStart w:id="786" w:name="_Toc530162412"/>
      <w:bookmarkEnd w:id="786"/>
      <w:bookmarkStart w:id="787" w:name="_Toc530161983"/>
      <w:bookmarkEnd w:id="787"/>
      <w:bookmarkStart w:id="788" w:name="_Toc530162928"/>
      <w:bookmarkEnd w:id="788"/>
      <w:bookmarkStart w:id="789" w:name="_Toc532393281"/>
      <w:bookmarkEnd w:id="789"/>
      <w:bookmarkStart w:id="790" w:name="_Toc530162926"/>
      <w:bookmarkEnd w:id="790"/>
      <w:bookmarkStart w:id="791" w:name="_Toc530152971"/>
      <w:bookmarkEnd w:id="791"/>
      <w:bookmarkStart w:id="792" w:name="_Toc530161999"/>
      <w:bookmarkEnd w:id="792"/>
      <w:bookmarkStart w:id="793" w:name="_Toc530153037"/>
      <w:bookmarkEnd w:id="793"/>
      <w:bookmarkStart w:id="794" w:name="_Toc530152489"/>
      <w:bookmarkEnd w:id="794"/>
      <w:bookmarkStart w:id="795" w:name="_Toc530152497"/>
      <w:bookmarkEnd w:id="795"/>
      <w:bookmarkStart w:id="796" w:name="_Toc530162432"/>
      <w:bookmarkEnd w:id="796"/>
      <w:bookmarkStart w:id="797" w:name="_Toc530162717"/>
      <w:bookmarkEnd w:id="797"/>
      <w:bookmarkStart w:id="798" w:name="_Toc530162276"/>
      <w:bookmarkEnd w:id="798"/>
      <w:bookmarkStart w:id="799" w:name="_Toc530162414"/>
      <w:bookmarkEnd w:id="799"/>
      <w:bookmarkStart w:id="800" w:name="_Toc530161982"/>
      <w:bookmarkEnd w:id="800"/>
      <w:bookmarkStart w:id="801" w:name="_Toc530162001"/>
      <w:bookmarkEnd w:id="801"/>
      <w:bookmarkStart w:id="802" w:name="_Toc530162428"/>
      <w:bookmarkEnd w:id="802"/>
      <w:bookmarkStart w:id="803" w:name="_Toc530162130"/>
      <w:bookmarkEnd w:id="803"/>
      <w:bookmarkStart w:id="804" w:name="_Toc530156285"/>
      <w:bookmarkEnd w:id="804"/>
      <w:bookmarkStart w:id="805" w:name="_Toc530162286"/>
      <w:bookmarkEnd w:id="805"/>
      <w:bookmarkStart w:id="806" w:name="_Toc530152493"/>
      <w:bookmarkEnd w:id="806"/>
      <w:bookmarkStart w:id="807" w:name="_Toc530162270"/>
      <w:bookmarkEnd w:id="807"/>
      <w:bookmarkStart w:id="808" w:name="_Toc530152987"/>
      <w:bookmarkEnd w:id="808"/>
      <w:bookmarkStart w:id="809" w:name="_Toc530162269"/>
      <w:bookmarkEnd w:id="809"/>
      <w:bookmarkStart w:id="810" w:name="_Toc530156299"/>
      <w:bookmarkEnd w:id="810"/>
      <w:bookmarkStart w:id="811" w:name="_Toc530156303"/>
      <w:bookmarkEnd w:id="811"/>
      <w:bookmarkStart w:id="812" w:name="_Toc530156280"/>
      <w:bookmarkEnd w:id="812"/>
      <w:bookmarkStart w:id="813" w:name="_Toc530156300"/>
      <w:bookmarkEnd w:id="813"/>
      <w:bookmarkStart w:id="814" w:name="_Toc530152503"/>
      <w:bookmarkEnd w:id="814"/>
      <w:bookmarkStart w:id="815" w:name="_Toc530162002"/>
      <w:bookmarkEnd w:id="815"/>
      <w:bookmarkStart w:id="816" w:name="_Toc530156277"/>
      <w:bookmarkEnd w:id="816"/>
      <w:bookmarkStart w:id="817" w:name="_Toc530162144"/>
      <w:bookmarkEnd w:id="817"/>
      <w:bookmarkStart w:id="818" w:name="_Toc530162421"/>
      <w:bookmarkEnd w:id="818"/>
      <w:bookmarkStart w:id="819" w:name="_Toc530153043"/>
      <w:bookmarkEnd w:id="819"/>
      <w:bookmarkStart w:id="820" w:name="_Toc530161994"/>
      <w:bookmarkEnd w:id="820"/>
      <w:bookmarkStart w:id="821" w:name="_Toc530152511"/>
      <w:bookmarkEnd w:id="821"/>
      <w:bookmarkStart w:id="822" w:name="_Toc530162132"/>
      <w:bookmarkEnd w:id="822"/>
      <w:bookmarkStart w:id="823" w:name="_Toc530162951"/>
      <w:bookmarkEnd w:id="823"/>
      <w:bookmarkStart w:id="824" w:name="_Toc530156297"/>
      <w:bookmarkEnd w:id="824"/>
      <w:bookmarkStart w:id="825" w:name="_Toc530152985"/>
      <w:bookmarkEnd w:id="825"/>
      <w:bookmarkStart w:id="826" w:name="_Toc530152977"/>
      <w:bookmarkEnd w:id="826"/>
      <w:bookmarkStart w:id="827" w:name="_Toc530156296"/>
      <w:bookmarkEnd w:id="827"/>
      <w:bookmarkStart w:id="828" w:name="_Toc530152916"/>
      <w:bookmarkEnd w:id="828"/>
      <w:bookmarkStart w:id="829" w:name="_Toc530156283"/>
      <w:bookmarkEnd w:id="829"/>
      <w:bookmarkStart w:id="830" w:name="_Toc530162291"/>
      <w:bookmarkEnd w:id="830"/>
      <w:bookmarkStart w:id="831" w:name="_Toc530162578"/>
      <w:bookmarkEnd w:id="831"/>
      <w:bookmarkStart w:id="832" w:name="_Toc530152501"/>
      <w:bookmarkEnd w:id="832"/>
      <w:bookmarkStart w:id="833" w:name="_Toc530162952"/>
      <w:bookmarkEnd w:id="833"/>
      <w:bookmarkStart w:id="834" w:name="_Toc530162709"/>
      <w:bookmarkEnd w:id="834"/>
      <w:bookmarkStart w:id="835" w:name="_Toc530156286"/>
      <w:bookmarkEnd w:id="835"/>
      <w:bookmarkStart w:id="836" w:name="_Toc530162936"/>
      <w:bookmarkEnd w:id="836"/>
      <w:bookmarkStart w:id="837" w:name="_Toc530162561"/>
      <w:bookmarkEnd w:id="837"/>
      <w:bookmarkStart w:id="838" w:name="_Toc530152915"/>
      <w:bookmarkEnd w:id="838"/>
      <w:bookmarkStart w:id="839" w:name="_Toc530162723"/>
      <w:bookmarkEnd w:id="839"/>
      <w:bookmarkStart w:id="840" w:name="_Toc530162148"/>
      <w:bookmarkEnd w:id="840"/>
      <w:bookmarkStart w:id="841" w:name="_Toc530152914"/>
      <w:bookmarkEnd w:id="841"/>
      <w:bookmarkStart w:id="842" w:name="_Toc530162924"/>
      <w:bookmarkEnd w:id="842"/>
      <w:bookmarkStart w:id="843" w:name="_Toc530162563"/>
      <w:bookmarkEnd w:id="843"/>
      <w:bookmarkStart w:id="844" w:name="_Toc530162004"/>
      <w:bookmarkEnd w:id="844"/>
      <w:bookmarkStart w:id="845" w:name="_Toc530162142"/>
      <w:bookmarkEnd w:id="845"/>
      <w:bookmarkStart w:id="846" w:name="_Toc530162267"/>
      <w:bookmarkEnd w:id="846"/>
      <w:bookmarkStart w:id="847" w:name="_Toc530152897"/>
      <w:bookmarkEnd w:id="847"/>
      <w:bookmarkStart w:id="848" w:name="_Toc530162559"/>
      <w:bookmarkEnd w:id="848"/>
      <w:bookmarkStart w:id="849" w:name="_Toc530152899"/>
      <w:bookmarkEnd w:id="849"/>
      <w:bookmarkStart w:id="850" w:name="_Toc530162711"/>
      <w:bookmarkEnd w:id="850"/>
      <w:bookmarkStart w:id="851" w:name="_Toc530162413"/>
      <w:bookmarkEnd w:id="851"/>
      <w:bookmarkStart w:id="852" w:name="_Toc530162423"/>
      <w:bookmarkEnd w:id="852"/>
      <w:bookmarkStart w:id="853" w:name="_Toc530153054"/>
      <w:bookmarkEnd w:id="853"/>
      <w:bookmarkStart w:id="854" w:name="_Toc530152972"/>
      <w:bookmarkEnd w:id="854"/>
      <w:bookmarkStart w:id="855" w:name="_Toc530153031"/>
      <w:bookmarkEnd w:id="855"/>
      <w:bookmarkStart w:id="856" w:name="_Toc530162141"/>
      <w:bookmarkEnd w:id="856"/>
      <w:bookmarkStart w:id="857" w:name="_Toc530153045"/>
      <w:bookmarkEnd w:id="857"/>
      <w:bookmarkStart w:id="858" w:name="_Toc530162564"/>
      <w:bookmarkEnd w:id="858"/>
      <w:bookmarkStart w:id="859" w:name="_Toc530161998"/>
      <w:bookmarkEnd w:id="859"/>
      <w:bookmarkStart w:id="860" w:name="_Toc530162411"/>
      <w:bookmarkEnd w:id="860"/>
      <w:bookmarkStart w:id="861" w:name="_Toc530152988"/>
      <w:bookmarkEnd w:id="861"/>
      <w:bookmarkStart w:id="862" w:name="_Toc530162274"/>
      <w:bookmarkEnd w:id="862"/>
      <w:bookmarkStart w:id="863" w:name="_Toc530161988"/>
      <w:bookmarkEnd w:id="863"/>
      <w:bookmarkStart w:id="864" w:name="_Toc530153035"/>
      <w:bookmarkEnd w:id="864"/>
      <w:bookmarkStart w:id="865" w:name="_Toc530152920"/>
      <w:bookmarkEnd w:id="865"/>
      <w:bookmarkStart w:id="866" w:name="_Toc530162139"/>
      <w:bookmarkEnd w:id="866"/>
      <w:bookmarkStart w:id="867" w:name="_Toc530162275"/>
      <w:bookmarkEnd w:id="867"/>
      <w:bookmarkStart w:id="868" w:name="_Toc530162426"/>
      <w:bookmarkEnd w:id="868"/>
      <w:bookmarkStart w:id="869" w:name="_Toc530152900"/>
      <w:bookmarkEnd w:id="869"/>
      <w:bookmarkStart w:id="870" w:name="_Toc530152485"/>
      <w:bookmarkEnd w:id="870"/>
      <w:bookmarkStart w:id="871" w:name="_Toc530153033"/>
      <w:bookmarkEnd w:id="871"/>
      <w:bookmarkStart w:id="872" w:name="_Toc530162277"/>
      <w:bookmarkEnd w:id="872"/>
      <w:bookmarkStart w:id="873" w:name="_Toc530152966"/>
      <w:bookmarkEnd w:id="873"/>
      <w:bookmarkStart w:id="874" w:name="_Toc530152973"/>
      <w:bookmarkEnd w:id="874"/>
      <w:bookmarkStart w:id="875" w:name="_Toc530152510"/>
      <w:bookmarkEnd w:id="875"/>
      <w:bookmarkStart w:id="876" w:name="_Toc530152978"/>
      <w:bookmarkEnd w:id="876"/>
      <w:bookmarkStart w:id="877" w:name="_Toc530162430"/>
      <w:bookmarkEnd w:id="877"/>
      <w:bookmarkStart w:id="878" w:name="_Toc530162128"/>
      <w:bookmarkEnd w:id="878"/>
      <w:bookmarkStart w:id="879" w:name="_Toc530162942"/>
      <w:bookmarkEnd w:id="879"/>
      <w:bookmarkStart w:id="880" w:name="_Toc530153036"/>
      <w:bookmarkEnd w:id="880"/>
      <w:bookmarkStart w:id="881" w:name="_Toc530162570"/>
      <w:bookmarkEnd w:id="881"/>
      <w:bookmarkStart w:id="882" w:name="_Toc530162577"/>
      <w:bookmarkEnd w:id="882"/>
      <w:bookmarkStart w:id="883" w:name="_Toc530162145"/>
      <w:bookmarkEnd w:id="883"/>
      <w:bookmarkStart w:id="884" w:name="_Toc530152924"/>
      <w:bookmarkEnd w:id="884"/>
      <w:bookmarkStart w:id="885" w:name="_Toc530153039"/>
      <w:bookmarkEnd w:id="885"/>
      <w:bookmarkStart w:id="886" w:name="_Toc530152991"/>
      <w:bookmarkEnd w:id="886"/>
      <w:bookmarkStart w:id="887" w:name="_Toc530162284"/>
      <w:bookmarkEnd w:id="887"/>
      <w:bookmarkStart w:id="888" w:name="_Toc530162718"/>
      <w:bookmarkEnd w:id="888"/>
      <w:bookmarkStart w:id="889" w:name="_Toc530162121"/>
      <w:bookmarkEnd w:id="889"/>
      <w:bookmarkStart w:id="890" w:name="_Toc530162715"/>
      <w:bookmarkEnd w:id="890"/>
      <w:bookmarkStart w:id="891" w:name="_Toc530162934"/>
      <w:bookmarkEnd w:id="891"/>
      <w:bookmarkStart w:id="892" w:name="_Toc530162279"/>
      <w:bookmarkEnd w:id="892"/>
      <w:bookmarkStart w:id="893" w:name="_Toc530161979"/>
      <w:bookmarkEnd w:id="893"/>
      <w:bookmarkStart w:id="894" w:name="_Toc530161993"/>
      <w:bookmarkEnd w:id="894"/>
      <w:bookmarkStart w:id="895" w:name="_Toc530162268"/>
      <w:bookmarkEnd w:id="895"/>
      <w:bookmarkStart w:id="896" w:name="_Toc530153046"/>
      <w:bookmarkEnd w:id="896"/>
      <w:bookmarkStart w:id="897" w:name="_Toc530162702"/>
      <w:bookmarkEnd w:id="897"/>
      <w:bookmarkStart w:id="898" w:name="_Toc530152925"/>
      <w:bookmarkEnd w:id="898"/>
      <w:bookmarkStart w:id="899" w:name="_Toc530152505"/>
      <w:bookmarkEnd w:id="899"/>
      <w:bookmarkStart w:id="900" w:name="_Toc530162931"/>
      <w:bookmarkEnd w:id="900"/>
      <w:bookmarkStart w:id="901" w:name="_Toc530156295"/>
      <w:bookmarkEnd w:id="901"/>
      <w:bookmarkStart w:id="902" w:name="_Toc530162273"/>
      <w:bookmarkEnd w:id="902"/>
      <w:bookmarkStart w:id="903" w:name="_Toc530162134"/>
      <w:bookmarkEnd w:id="903"/>
      <w:bookmarkStart w:id="904" w:name="_Toc530162289"/>
      <w:bookmarkEnd w:id="904"/>
      <w:bookmarkStart w:id="905" w:name="_Toc530152496"/>
      <w:bookmarkEnd w:id="905"/>
      <w:bookmarkStart w:id="906" w:name="_Toc530161986"/>
      <w:bookmarkEnd w:id="906"/>
      <w:bookmarkStart w:id="907" w:name="_Toc530153040"/>
      <w:bookmarkEnd w:id="907"/>
      <w:bookmarkStart w:id="908" w:name="_Toc530152513"/>
      <w:bookmarkEnd w:id="908"/>
      <w:bookmarkStart w:id="909" w:name="_Toc530153044"/>
      <w:bookmarkEnd w:id="909"/>
      <w:bookmarkStart w:id="910" w:name="_Toc530162721"/>
      <w:bookmarkEnd w:id="910"/>
      <w:bookmarkStart w:id="911" w:name="_Toc530162703"/>
      <w:bookmarkEnd w:id="911"/>
      <w:bookmarkStart w:id="912" w:name="_Toc530162290"/>
      <w:bookmarkEnd w:id="912"/>
      <w:bookmarkStart w:id="913" w:name="_Toc530152990"/>
      <w:bookmarkEnd w:id="913"/>
      <w:bookmarkStart w:id="914" w:name="_Toc530162129"/>
      <w:bookmarkEnd w:id="914"/>
      <w:bookmarkStart w:id="915" w:name="_Toc530162283"/>
      <w:bookmarkEnd w:id="915"/>
      <w:bookmarkStart w:id="916" w:name="_Toc530161995"/>
      <w:bookmarkEnd w:id="916"/>
      <w:bookmarkStart w:id="917" w:name="_Toc530162419"/>
      <w:bookmarkEnd w:id="917"/>
      <w:bookmarkStart w:id="918" w:name="_Toc530162000"/>
      <w:bookmarkEnd w:id="918"/>
      <w:bookmarkStart w:id="919" w:name="_Toc530162003"/>
      <w:bookmarkEnd w:id="919"/>
      <w:bookmarkStart w:id="920" w:name="_Toc530152486"/>
      <w:bookmarkEnd w:id="920"/>
      <w:bookmarkStart w:id="921" w:name="_Toc530162436"/>
      <w:bookmarkEnd w:id="921"/>
      <w:bookmarkStart w:id="922" w:name="_Toc530152907"/>
      <w:bookmarkEnd w:id="922"/>
      <w:bookmarkStart w:id="923" w:name="_Toc530152909"/>
      <w:bookmarkEnd w:id="923"/>
      <w:bookmarkStart w:id="924" w:name="_Toc530152984"/>
      <w:bookmarkEnd w:id="924"/>
      <w:bookmarkStart w:id="925" w:name="_Toc530162005"/>
      <w:bookmarkEnd w:id="925"/>
      <w:bookmarkStart w:id="926" w:name="_Toc530162127"/>
      <w:bookmarkEnd w:id="926"/>
      <w:bookmarkStart w:id="927" w:name="_Toc530162292"/>
      <w:bookmarkEnd w:id="927"/>
      <w:bookmarkStart w:id="928" w:name="_Toc530162131"/>
      <w:bookmarkEnd w:id="928"/>
      <w:bookmarkStart w:id="929" w:name="_Toc530152975"/>
      <w:bookmarkEnd w:id="929"/>
      <w:bookmarkStart w:id="930" w:name="_Toc530162280"/>
      <w:bookmarkEnd w:id="930"/>
      <w:bookmarkStart w:id="931" w:name="_Toc530152904"/>
      <w:bookmarkEnd w:id="931"/>
      <w:bookmarkStart w:id="932" w:name="_Toc530162266"/>
      <w:bookmarkEnd w:id="932"/>
      <w:bookmarkStart w:id="933" w:name="_Toc530162125"/>
      <w:bookmarkEnd w:id="933"/>
      <w:bookmarkStart w:id="934" w:name="_Toc530152982"/>
      <w:bookmarkEnd w:id="934"/>
      <w:bookmarkStart w:id="935" w:name="_Toc530152921"/>
      <w:bookmarkEnd w:id="935"/>
      <w:bookmarkStart w:id="936" w:name="_Toc530162282"/>
      <w:bookmarkEnd w:id="936"/>
      <w:bookmarkStart w:id="937" w:name="_Toc530162571"/>
      <w:bookmarkEnd w:id="937"/>
      <w:bookmarkStart w:id="938" w:name="_Toc530161985"/>
      <w:bookmarkEnd w:id="938"/>
      <w:bookmarkStart w:id="939" w:name="_Toc530152917"/>
      <w:bookmarkEnd w:id="939"/>
      <w:bookmarkStart w:id="940" w:name="_Toc530162288"/>
      <w:bookmarkEnd w:id="940"/>
      <w:bookmarkStart w:id="941" w:name="_Toc530152923"/>
      <w:bookmarkEnd w:id="941"/>
      <w:bookmarkStart w:id="942" w:name="_Toc530162585"/>
      <w:bookmarkEnd w:id="942"/>
      <w:bookmarkStart w:id="943" w:name="_Toc530152992"/>
      <w:bookmarkEnd w:id="943"/>
      <w:bookmarkStart w:id="944" w:name="_Toc530153038"/>
      <w:bookmarkEnd w:id="944"/>
      <w:bookmarkStart w:id="945" w:name="_Toc530152967"/>
      <w:bookmarkEnd w:id="945"/>
      <w:bookmarkStart w:id="946" w:name="_Toc530162420"/>
      <w:bookmarkEnd w:id="946"/>
      <w:bookmarkStart w:id="947" w:name="_Toc530162941"/>
      <w:bookmarkEnd w:id="947"/>
      <w:bookmarkStart w:id="948" w:name="_Toc530153055"/>
      <w:bookmarkEnd w:id="948"/>
      <w:bookmarkStart w:id="949" w:name="_Toc530153053"/>
      <w:bookmarkEnd w:id="949"/>
      <w:bookmarkStart w:id="950" w:name="_Toc530162712"/>
      <w:bookmarkEnd w:id="950"/>
      <w:bookmarkStart w:id="951" w:name="_Toc530162124"/>
      <w:bookmarkEnd w:id="951"/>
      <w:bookmarkStart w:id="952" w:name="_Toc530161987"/>
      <w:bookmarkEnd w:id="952"/>
      <w:bookmarkStart w:id="953" w:name="_Toc530152491"/>
      <w:bookmarkEnd w:id="953"/>
      <w:bookmarkStart w:id="954" w:name="_Toc530162939"/>
      <w:bookmarkEnd w:id="954"/>
      <w:bookmarkStart w:id="955" w:name="_Toc530162940"/>
      <w:bookmarkEnd w:id="955"/>
      <w:bookmarkStart w:id="956" w:name="_Toc530162938"/>
      <w:bookmarkEnd w:id="956"/>
      <w:bookmarkStart w:id="957" w:name="_Toc530162435"/>
      <w:bookmarkEnd w:id="957"/>
      <w:bookmarkStart w:id="958" w:name="_Toc530162140"/>
      <w:bookmarkEnd w:id="958"/>
      <w:bookmarkStart w:id="959" w:name="_Toc530162565"/>
      <w:bookmarkEnd w:id="959"/>
      <w:bookmarkStart w:id="960" w:name="_Toc530152902"/>
      <w:bookmarkEnd w:id="960"/>
      <w:bookmarkStart w:id="961" w:name="_Toc530162708"/>
      <w:bookmarkEnd w:id="961"/>
      <w:bookmarkStart w:id="962" w:name="_Toc530153058"/>
      <w:bookmarkEnd w:id="962"/>
      <w:bookmarkStart w:id="963" w:name="_Toc530162699"/>
      <w:bookmarkEnd w:id="963"/>
      <w:bookmarkStart w:id="964" w:name="_Toc530162720"/>
      <w:bookmarkEnd w:id="964"/>
      <w:bookmarkStart w:id="965" w:name="_Toc530153051"/>
      <w:bookmarkEnd w:id="965"/>
      <w:bookmarkStart w:id="966" w:name="_Toc530152506"/>
      <w:bookmarkEnd w:id="966"/>
      <w:bookmarkStart w:id="967" w:name="_Toc530161980"/>
      <w:bookmarkEnd w:id="967"/>
      <w:bookmarkStart w:id="968" w:name="_Toc530161990"/>
      <w:bookmarkEnd w:id="968"/>
      <w:bookmarkStart w:id="969" w:name="_Toc530152509"/>
      <w:bookmarkEnd w:id="969"/>
      <w:bookmarkStart w:id="970" w:name="_Toc530152494"/>
      <w:bookmarkEnd w:id="970"/>
      <w:bookmarkStart w:id="971" w:name="_Toc530162281"/>
      <w:bookmarkEnd w:id="971"/>
      <w:bookmarkStart w:id="972" w:name="_Toc530162143"/>
      <w:bookmarkEnd w:id="972"/>
      <w:bookmarkStart w:id="973" w:name="_Toc530156284"/>
      <w:bookmarkEnd w:id="973"/>
      <w:bookmarkStart w:id="974" w:name="_Toc530161984"/>
      <w:bookmarkEnd w:id="974"/>
      <w:bookmarkStart w:id="975" w:name="_Toc530162567"/>
      <w:bookmarkEnd w:id="975"/>
      <w:bookmarkStart w:id="976" w:name="_Toc530162146"/>
      <w:bookmarkEnd w:id="976"/>
      <w:bookmarkStart w:id="977" w:name="_Toc530152969"/>
      <w:bookmarkEnd w:id="977"/>
      <w:bookmarkStart w:id="978" w:name="_Toc530161978"/>
      <w:bookmarkEnd w:id="978"/>
      <w:bookmarkStart w:id="979" w:name="_Toc530162726"/>
      <w:bookmarkEnd w:id="979"/>
      <w:bookmarkStart w:id="980" w:name="_Toc530162136"/>
      <w:bookmarkEnd w:id="980"/>
      <w:bookmarkStart w:id="981" w:name="_Toc530161992"/>
      <w:bookmarkEnd w:id="981"/>
      <w:bookmarkStart w:id="982" w:name="_Toc530152908"/>
      <w:bookmarkEnd w:id="982"/>
      <w:bookmarkStart w:id="983" w:name="_Toc530162706"/>
      <w:bookmarkEnd w:id="983"/>
      <w:bookmarkStart w:id="984" w:name="_Toc530162575"/>
      <w:bookmarkEnd w:id="984"/>
      <w:bookmarkStart w:id="985" w:name="_Toc530153047"/>
      <w:bookmarkEnd w:id="985"/>
      <w:bookmarkStart w:id="986" w:name="_Toc530162701"/>
      <w:bookmarkEnd w:id="986"/>
      <w:bookmarkStart w:id="987" w:name="_Toc530162945"/>
      <w:bookmarkEnd w:id="987"/>
      <w:bookmarkStart w:id="988" w:name="_Toc530161991"/>
      <w:bookmarkEnd w:id="988"/>
      <w:bookmarkStart w:id="989" w:name="_Toc530152968"/>
      <w:bookmarkEnd w:id="989"/>
      <w:bookmarkStart w:id="990" w:name="_Toc530162725"/>
      <w:bookmarkEnd w:id="990"/>
      <w:bookmarkStart w:id="991" w:name="_Toc530162573"/>
      <w:bookmarkEnd w:id="991"/>
      <w:bookmarkStart w:id="992" w:name="_Toc530161977"/>
      <w:bookmarkEnd w:id="992"/>
      <w:bookmarkStart w:id="993" w:name="_Toc530152508"/>
      <w:bookmarkEnd w:id="993"/>
      <w:bookmarkStart w:id="994" w:name="_Toc530162948"/>
      <w:bookmarkEnd w:id="994"/>
      <w:bookmarkStart w:id="995" w:name="_Toc530162707"/>
      <w:bookmarkEnd w:id="995"/>
      <w:bookmarkStart w:id="996" w:name="_Toc530162719"/>
      <w:bookmarkEnd w:id="996"/>
      <w:bookmarkStart w:id="997" w:name="_Toc530162583"/>
      <w:bookmarkEnd w:id="997"/>
      <w:bookmarkStart w:id="998" w:name="_Toc530162437"/>
      <w:bookmarkEnd w:id="998"/>
      <w:bookmarkStart w:id="999" w:name="_Toc530152981"/>
      <w:bookmarkEnd w:id="999"/>
      <w:bookmarkStart w:id="1000" w:name="_Toc530162722"/>
      <w:bookmarkEnd w:id="1000"/>
      <w:bookmarkStart w:id="1001" w:name="_Toc530156287"/>
      <w:bookmarkEnd w:id="1001"/>
      <w:bookmarkStart w:id="1002" w:name="_Toc530156289"/>
      <w:bookmarkEnd w:id="1002"/>
      <w:bookmarkStart w:id="1003" w:name="_Toc530162927"/>
      <w:bookmarkEnd w:id="1003"/>
      <w:bookmarkStart w:id="1004" w:name="_Toc530162424"/>
      <w:bookmarkEnd w:id="1004"/>
      <w:bookmarkStart w:id="1005" w:name="_Toc530153057"/>
      <w:bookmarkEnd w:id="1005"/>
      <w:bookmarkStart w:id="1006" w:name="_Toc530162433"/>
      <w:bookmarkEnd w:id="1006"/>
      <w:bookmarkStart w:id="1007" w:name="_Toc530152965"/>
      <w:bookmarkEnd w:id="1007"/>
      <w:bookmarkStart w:id="1008" w:name="_Toc530152502"/>
      <w:bookmarkEnd w:id="1008"/>
      <w:bookmarkStart w:id="1009" w:name="_Toc530162943"/>
      <w:bookmarkEnd w:id="1009"/>
      <w:bookmarkStart w:id="1010" w:name="_Toc532394159"/>
      <w:bookmarkEnd w:id="1010"/>
      <w:bookmarkStart w:id="1011" w:name="_Toc530162946"/>
      <w:bookmarkEnd w:id="1011"/>
      <w:bookmarkStart w:id="1012" w:name="_Toc530162418"/>
      <w:bookmarkEnd w:id="1012"/>
      <w:bookmarkStart w:id="1013" w:name="_Toc530162710"/>
      <w:bookmarkEnd w:id="1013"/>
      <w:bookmarkStart w:id="1014" w:name="_Toc530162705"/>
      <w:bookmarkEnd w:id="1014"/>
      <w:bookmarkStart w:id="1015" w:name="_Toc530162431"/>
      <w:bookmarkEnd w:id="1015"/>
      <w:bookmarkStart w:id="1016" w:name="_Toc530153048"/>
      <w:bookmarkEnd w:id="1016"/>
      <w:bookmarkStart w:id="1017" w:name="_Toc530162415"/>
      <w:bookmarkEnd w:id="1017"/>
      <w:bookmarkStart w:id="1018" w:name="_Toc530162416"/>
      <w:bookmarkEnd w:id="1018"/>
      <w:bookmarkStart w:id="1019" w:name="_Toc530162714"/>
      <w:bookmarkEnd w:id="1019"/>
      <w:bookmarkStart w:id="1020" w:name="_Toc530152906"/>
      <w:bookmarkEnd w:id="1020"/>
      <w:bookmarkStart w:id="1021" w:name="_Toc530156293"/>
      <w:bookmarkEnd w:id="1021"/>
      <w:bookmarkStart w:id="1022" w:name="_Toc530162576"/>
      <w:bookmarkEnd w:id="1022"/>
      <w:bookmarkStart w:id="1023" w:name="_Toc530162933"/>
      <w:bookmarkEnd w:id="1023"/>
      <w:bookmarkStart w:id="1024" w:name="_Toc530162935"/>
      <w:bookmarkEnd w:id="1024"/>
      <w:bookmarkStart w:id="1025" w:name="_Toc530152490"/>
      <w:bookmarkEnd w:id="1025"/>
      <w:bookmarkStart w:id="1026" w:name="_Toc530161989"/>
      <w:bookmarkEnd w:id="1026"/>
      <w:bookmarkStart w:id="1027" w:name="_Toc530152512"/>
      <w:bookmarkEnd w:id="1027"/>
      <w:bookmarkStart w:id="1028" w:name="_Toc530152905"/>
      <w:bookmarkEnd w:id="1028"/>
      <w:bookmarkStart w:id="1029" w:name="_Toc530152492"/>
      <w:bookmarkEnd w:id="1029"/>
      <w:bookmarkStart w:id="1030" w:name="_Toc530156282"/>
      <w:bookmarkEnd w:id="1030"/>
      <w:bookmarkStart w:id="1031" w:name="_Toc530162558"/>
      <w:bookmarkEnd w:id="1031"/>
      <w:bookmarkStart w:id="1032" w:name="_Toc530162929"/>
      <w:bookmarkEnd w:id="1032"/>
      <w:bookmarkStart w:id="1033" w:name="_Toc530162944"/>
      <w:bookmarkEnd w:id="1033"/>
      <w:bookmarkStart w:id="1034" w:name="_Toc530162417"/>
      <w:bookmarkEnd w:id="1034"/>
      <w:bookmarkStart w:id="1035" w:name="_Toc530162287"/>
      <w:bookmarkEnd w:id="1035"/>
      <w:bookmarkStart w:id="1036" w:name="_Toc530162149"/>
      <w:bookmarkEnd w:id="1036"/>
      <w:bookmarkStart w:id="1037" w:name="_Toc530156298"/>
      <w:bookmarkEnd w:id="1037"/>
      <w:bookmarkStart w:id="1038" w:name="_Toc530152499"/>
      <w:bookmarkEnd w:id="1038"/>
      <w:bookmarkStart w:id="1039" w:name="_Toc530162727"/>
      <w:bookmarkEnd w:id="1039"/>
      <w:bookmarkStart w:id="1040" w:name="_Toc530162293"/>
      <w:bookmarkEnd w:id="1040"/>
      <w:bookmarkStart w:id="1041" w:name="_Toc530156291"/>
      <w:bookmarkEnd w:id="1041"/>
      <w:bookmarkStart w:id="1042" w:name="_Toc530162294"/>
      <w:bookmarkEnd w:id="1042"/>
      <w:bookmarkStart w:id="1043" w:name="_Toc530162724"/>
      <w:bookmarkEnd w:id="1043"/>
      <w:bookmarkStart w:id="1044" w:name="_Toc530162949"/>
      <w:bookmarkEnd w:id="1044"/>
      <w:bookmarkStart w:id="1045" w:name="_Toc530153034"/>
      <w:bookmarkEnd w:id="1045"/>
      <w:bookmarkStart w:id="1046" w:name="_Toc530153032"/>
      <w:bookmarkEnd w:id="1046"/>
      <w:bookmarkStart w:id="1047" w:name="_Toc530162438"/>
      <w:bookmarkEnd w:id="1047"/>
      <w:bookmarkStart w:id="1048" w:name="_Toc530156290"/>
      <w:bookmarkEnd w:id="1048"/>
      <w:bookmarkStart w:id="1049" w:name="_Toc530156294"/>
      <w:bookmarkEnd w:id="1049"/>
      <w:bookmarkStart w:id="1050" w:name="_Toc530156288"/>
      <w:bookmarkEnd w:id="1050"/>
      <w:bookmarkStart w:id="1051" w:name="_Toc530162422"/>
      <w:bookmarkEnd w:id="1051"/>
      <w:bookmarkStart w:id="1052" w:name="_Toc530152498"/>
      <w:bookmarkEnd w:id="1052"/>
      <w:bookmarkStart w:id="1053" w:name="_Toc530162569"/>
      <w:bookmarkEnd w:id="1053"/>
      <w:bookmarkStart w:id="1054" w:name="_Toc530162429"/>
      <w:bookmarkEnd w:id="1054"/>
      <w:bookmarkStart w:id="1055" w:name="_Toc532393487"/>
      <w:bookmarkEnd w:id="1055"/>
      <w:bookmarkStart w:id="1056" w:name="_Toc530152901"/>
      <w:bookmarkEnd w:id="1056"/>
      <w:bookmarkStart w:id="1057" w:name="_Toc530162147"/>
      <w:bookmarkEnd w:id="1057"/>
      <w:bookmarkStart w:id="1058" w:name="_Toc530152979"/>
      <w:bookmarkEnd w:id="1058"/>
      <w:bookmarkStart w:id="1059" w:name="_Toc530156281"/>
      <w:bookmarkEnd w:id="1059"/>
      <w:bookmarkStart w:id="1060" w:name="_Toc530162439"/>
      <w:bookmarkEnd w:id="1060"/>
      <w:bookmarkStart w:id="1061" w:name="_Toc530162584"/>
      <w:bookmarkEnd w:id="1061"/>
      <w:bookmarkStart w:id="1062" w:name="_Toc530162560"/>
      <w:bookmarkEnd w:id="1062"/>
      <w:bookmarkStart w:id="1063" w:name="_Toc530162580"/>
      <w:bookmarkEnd w:id="1063"/>
      <w:bookmarkStart w:id="1064" w:name="_Toc530152910"/>
      <w:bookmarkEnd w:id="1064"/>
      <w:bookmarkStart w:id="1065" w:name="_Toc530153050"/>
      <w:bookmarkEnd w:id="1065"/>
      <w:bookmarkStart w:id="1066" w:name="_Toc530162135"/>
      <w:bookmarkEnd w:id="1066"/>
      <w:bookmarkStart w:id="1067" w:name="_Toc530152922"/>
      <w:bookmarkEnd w:id="1067"/>
      <w:bookmarkStart w:id="1068" w:name="_Toc530152986"/>
      <w:bookmarkEnd w:id="1068"/>
      <w:bookmarkStart w:id="1069" w:name="_Toc530161997"/>
      <w:bookmarkEnd w:id="1069"/>
      <w:bookmarkStart w:id="1070" w:name="_Toc530152980"/>
      <w:bookmarkEnd w:id="1070"/>
      <w:bookmarkStart w:id="1071" w:name="_Toc530162947"/>
      <w:bookmarkEnd w:id="1071"/>
      <w:bookmarkStart w:id="1072" w:name="_Toc530162582"/>
      <w:bookmarkEnd w:id="1072"/>
      <w:bookmarkStart w:id="1073" w:name="_Toc530152911"/>
      <w:bookmarkEnd w:id="1073"/>
      <w:bookmarkStart w:id="1074" w:name="_Toc530162574"/>
      <w:bookmarkEnd w:id="1074"/>
      <w:bookmarkStart w:id="1075" w:name="_Toc530162566"/>
      <w:bookmarkEnd w:id="1075"/>
      <w:bookmarkStart w:id="1076" w:name="_Toc530152913"/>
      <w:bookmarkEnd w:id="1076"/>
      <w:bookmarkStart w:id="1077" w:name="_Toc530162138"/>
      <w:bookmarkEnd w:id="1077"/>
      <w:bookmarkStart w:id="1078" w:name="_Toc530162930"/>
      <w:bookmarkEnd w:id="1078"/>
      <w:bookmarkStart w:id="1079" w:name="_Toc530162562"/>
      <w:bookmarkEnd w:id="1079"/>
      <w:bookmarkStart w:id="1080" w:name="_Toc530162950"/>
      <w:bookmarkEnd w:id="1080"/>
      <w:bookmarkStart w:id="1081" w:name="_Toc530162568"/>
      <w:bookmarkEnd w:id="1081"/>
      <w:bookmarkStart w:id="1082" w:name="_Toc530153052"/>
      <w:bookmarkEnd w:id="1082"/>
      <w:bookmarkStart w:id="1083" w:name="_Toc530156276"/>
      <w:bookmarkEnd w:id="1083"/>
      <w:bookmarkStart w:id="1084" w:name="_Toc530162713"/>
      <w:bookmarkEnd w:id="1084"/>
      <w:bookmarkStart w:id="1085" w:name="_Toc530152495"/>
      <w:bookmarkEnd w:id="1085"/>
      <w:bookmarkStart w:id="1086" w:name="_Toc530162123"/>
      <w:bookmarkEnd w:id="1086"/>
      <w:bookmarkStart w:id="1087" w:name="_Toc530162716"/>
      <w:bookmarkEnd w:id="1087"/>
      <w:bookmarkStart w:id="1088" w:name="_Toc530162271"/>
      <w:bookmarkEnd w:id="1088"/>
      <w:bookmarkStart w:id="1089" w:name="_Toc530153056"/>
      <w:bookmarkEnd w:id="1089"/>
      <w:bookmarkStart w:id="1090" w:name="_Toc530162700"/>
      <w:bookmarkEnd w:id="1090"/>
      <w:bookmarkStart w:id="1091" w:name="_Toc530162133"/>
      <w:bookmarkEnd w:id="1091"/>
      <w:bookmarkStart w:id="1092" w:name="_Toc530161996"/>
      <w:bookmarkEnd w:id="1092"/>
      <w:bookmarkStart w:id="1093" w:name="_Toc530152989"/>
      <w:bookmarkEnd w:id="1093"/>
      <w:bookmarkStart w:id="1094" w:name="_Toc530162434"/>
      <w:bookmarkEnd w:id="1094"/>
      <w:bookmarkStart w:id="1095" w:name="_Toc530162572"/>
      <w:bookmarkEnd w:id="1095"/>
      <w:bookmarkStart w:id="1096" w:name="_Toc530152898"/>
      <w:bookmarkEnd w:id="1096"/>
      <w:bookmarkStart w:id="1097" w:name="_Toc530156275"/>
      <w:bookmarkEnd w:id="1097"/>
      <w:bookmarkStart w:id="1098" w:name="_Toc530156301"/>
      <w:bookmarkEnd w:id="1098"/>
      <w:bookmarkStart w:id="1099" w:name="_Toc530152912"/>
      <w:bookmarkEnd w:id="1099"/>
      <w:bookmarkStart w:id="1100" w:name="_Toc530156279"/>
      <w:bookmarkEnd w:id="1100"/>
      <w:bookmarkStart w:id="1101" w:name="_Toc530162557"/>
      <w:bookmarkEnd w:id="1101"/>
      <w:bookmarkStart w:id="1102" w:name="_Toc530156302"/>
      <w:bookmarkEnd w:id="1102"/>
      <w:bookmarkStart w:id="1103" w:name="_Toc530152918"/>
      <w:bookmarkEnd w:id="1103"/>
      <w:bookmarkStart w:id="1104" w:name="_Toc29740"/>
      <w:bookmarkStart w:id="1105" w:name="_Toc170284257"/>
      <w:bookmarkStart w:id="1106" w:name="_Toc32757"/>
      <w:r>
        <w:rPr>
          <w:rFonts w:hint="eastAsia"/>
        </w:rPr>
        <w:t>第六节 听证与复核</w:t>
      </w:r>
      <w:bookmarkEnd w:id="1104"/>
      <w:bookmarkEnd w:id="1105"/>
      <w:bookmarkEnd w:id="1106"/>
    </w:p>
    <w:p w14:paraId="21144A27">
      <w:pPr>
        <w:numPr>
          <w:ilvl w:val="2"/>
          <w:numId w:val="50"/>
        </w:numPr>
        <w:tabs>
          <w:tab w:val="left" w:pos="1560"/>
          <w:tab w:val="left" w:pos="1843"/>
          <w:tab w:val="left" w:pos="1985"/>
          <w:tab w:val="left" w:pos="2127"/>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上市公司收到本所发出的终止上市事先告知书后，可以在5个交易日内，以书面形式向本所提出听证要求，并载明具体事项及理由。</w:t>
      </w:r>
    </w:p>
    <w:p w14:paraId="7B5FF589">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上市公司对终止上市有异议的，可以在收到本所</w:t>
      </w:r>
      <w:r>
        <w:rPr>
          <w:rFonts w:ascii="仿宋_GB2312" w:hAnsi="黑体" w:eastAsia="仿宋_GB2312"/>
          <w:sz w:val="32"/>
          <w:szCs w:val="32"/>
        </w:rPr>
        <w:t>发出的终止上市</w:t>
      </w:r>
      <w:r>
        <w:rPr>
          <w:rFonts w:hint="eastAsia" w:ascii="仿宋_GB2312" w:hAnsi="黑体" w:eastAsia="仿宋_GB2312"/>
          <w:sz w:val="32"/>
          <w:szCs w:val="32"/>
        </w:rPr>
        <w:t>事先</w:t>
      </w:r>
      <w:r>
        <w:rPr>
          <w:rFonts w:ascii="仿宋_GB2312" w:hAnsi="黑体" w:eastAsia="仿宋_GB2312"/>
          <w:sz w:val="32"/>
          <w:szCs w:val="32"/>
        </w:rPr>
        <w:t>告知书后</w:t>
      </w:r>
      <w:r>
        <w:rPr>
          <w:rFonts w:hint="eastAsia" w:ascii="仿宋_GB2312" w:hAnsi="黑体" w:eastAsia="仿宋_GB2312"/>
          <w:sz w:val="32"/>
          <w:szCs w:val="32"/>
        </w:rPr>
        <w:t>10个</w:t>
      </w:r>
      <w:r>
        <w:rPr>
          <w:rFonts w:ascii="仿宋_GB2312" w:hAnsi="黑体" w:eastAsia="仿宋_GB2312"/>
          <w:sz w:val="32"/>
          <w:szCs w:val="32"/>
        </w:rPr>
        <w:t>交易日</w:t>
      </w:r>
      <w:r>
        <w:rPr>
          <w:rFonts w:hint="eastAsia" w:ascii="仿宋_GB2312" w:hAnsi="黑体" w:eastAsia="仿宋_GB2312"/>
          <w:sz w:val="32"/>
          <w:szCs w:val="32"/>
        </w:rPr>
        <w:t>内，向本所提交相关书面陈述和申辩，并提供相关文件。</w:t>
      </w:r>
    </w:p>
    <w:p w14:paraId="3EA10227">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上市公司未在本条规定期限内提出听证要求、书面陈述或者申辩的，视为放弃相应权利。</w:t>
      </w:r>
    </w:p>
    <w:p w14:paraId="40E1F524">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上市公司在本条规定期限内提出听证要求的，由本所上市委员会按照有关规定组织召开听证会。</w:t>
      </w:r>
    </w:p>
    <w:p w14:paraId="4D16E08A">
      <w:pPr>
        <w:numPr>
          <w:ilvl w:val="2"/>
          <w:numId w:val="50"/>
        </w:numPr>
        <w:tabs>
          <w:tab w:val="left" w:pos="1560"/>
          <w:tab w:val="left" w:pos="1843"/>
          <w:tab w:val="left" w:pos="1985"/>
          <w:tab w:val="left" w:pos="2127"/>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上市委员会组织召开听证和审议期间，可以要求上市公司、证券公司和证券服务机构提供补充材料，提供补充材料期间不计入听证及审议期限。</w:t>
      </w:r>
    </w:p>
    <w:p w14:paraId="0559864D">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上市公司和相关机构提供补充材料的期限累计不得超过30个交易日。公司和相关机构未按本所要求在规定期限内提交补充材料的，本所上市委员会继续进行听证或者审议。</w:t>
      </w:r>
    </w:p>
    <w:p w14:paraId="44A5F5D5">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本所可以自行或委托相关机构就上市公司有关情况进行调查核实，并将核查结果提交上市委员会审议。调查核实期间不计入审议期限。</w:t>
      </w:r>
    </w:p>
    <w:p w14:paraId="1701BC74">
      <w:pPr>
        <w:numPr>
          <w:ilvl w:val="2"/>
          <w:numId w:val="50"/>
        </w:numPr>
        <w:tabs>
          <w:tab w:val="left" w:pos="1560"/>
          <w:tab w:val="left" w:pos="1843"/>
          <w:tab w:val="left" w:pos="1985"/>
          <w:tab w:val="left" w:pos="2127"/>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上市公司可以在收到终止上市决定或者本所公告终止</w:t>
      </w:r>
      <w:r>
        <w:rPr>
          <w:rFonts w:ascii="仿宋_GB2312" w:hAnsi="黑体" w:eastAsia="仿宋_GB2312"/>
          <w:sz w:val="32"/>
          <w:szCs w:val="32"/>
        </w:rPr>
        <w:t>上市</w:t>
      </w:r>
      <w:r>
        <w:rPr>
          <w:rFonts w:hint="eastAsia" w:ascii="仿宋_GB2312" w:hAnsi="黑体" w:eastAsia="仿宋_GB2312"/>
          <w:sz w:val="32"/>
          <w:szCs w:val="32"/>
        </w:rPr>
        <w:t>决定之日（以在先者为准）起5个交易日内，以书面形式向本所申请复核。</w:t>
      </w:r>
    </w:p>
    <w:p w14:paraId="1CD970DF">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公司应当在向本所提出复核申请之日的次一交易日披露有关内容。</w:t>
      </w:r>
    </w:p>
    <w:p w14:paraId="3476F3C8">
      <w:pPr>
        <w:numPr>
          <w:ilvl w:val="2"/>
          <w:numId w:val="50"/>
        </w:numPr>
        <w:tabs>
          <w:tab w:val="left" w:pos="1560"/>
          <w:tab w:val="left" w:pos="1843"/>
          <w:tab w:val="left" w:pos="1985"/>
          <w:tab w:val="left" w:pos="2127"/>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上市公司根据前条规定向本所申请复核，应当提交下列文件：</w:t>
      </w:r>
    </w:p>
    <w:p w14:paraId="660FE23C">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（一）复核申请书；</w:t>
      </w:r>
    </w:p>
    <w:p w14:paraId="5FBB5B6E">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（二）证券</w:t>
      </w:r>
      <w:r>
        <w:rPr>
          <w:rFonts w:ascii="仿宋_GB2312" w:hAnsi="黑体" w:eastAsia="仿宋_GB2312"/>
          <w:sz w:val="32"/>
          <w:szCs w:val="32"/>
        </w:rPr>
        <w:t>公司</w:t>
      </w:r>
      <w:r>
        <w:rPr>
          <w:rFonts w:hint="eastAsia" w:ascii="仿宋_GB2312" w:hAnsi="黑体" w:eastAsia="仿宋_GB2312"/>
          <w:sz w:val="32"/>
          <w:szCs w:val="32"/>
        </w:rPr>
        <w:t>就申请复核事项出具的意见书；</w:t>
      </w:r>
    </w:p>
    <w:p w14:paraId="45847BED">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（三）律师事务所就申请复核事项出具的法律意见书；</w:t>
      </w:r>
    </w:p>
    <w:p w14:paraId="22820B79">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（四）本所要求的其他文件。</w:t>
      </w:r>
    </w:p>
    <w:p w14:paraId="653F03F0">
      <w:pPr>
        <w:numPr>
          <w:ilvl w:val="2"/>
          <w:numId w:val="50"/>
        </w:numPr>
        <w:tabs>
          <w:tab w:val="left" w:pos="1560"/>
          <w:tab w:val="left" w:pos="1843"/>
          <w:tab w:val="left" w:pos="1985"/>
          <w:tab w:val="left" w:pos="2127"/>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本所在收到申请人提交的复核申请文件之日后的5个交易日内，作出是否受理的决定并通知申请人。</w:t>
      </w:r>
    </w:p>
    <w:p w14:paraId="045A0C46">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未能按照前条规定提交复核申请文件的，本所不受理其复核申请。</w:t>
      </w:r>
    </w:p>
    <w:p w14:paraId="40DF1C72">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申请人应当在收到本所是否受理其复核申请的决定后，及时披露决定的有关内容并提示相关风险。</w:t>
      </w:r>
    </w:p>
    <w:p w14:paraId="32DF088F">
      <w:pPr>
        <w:numPr>
          <w:ilvl w:val="2"/>
          <w:numId w:val="50"/>
        </w:numPr>
        <w:tabs>
          <w:tab w:val="left" w:pos="1560"/>
          <w:tab w:val="left" w:pos="1843"/>
          <w:tab w:val="left" w:pos="1985"/>
          <w:tab w:val="left" w:pos="2127"/>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本所复核委员会根据《上海证券交易所复核实施办法》的规定进行复核。</w:t>
      </w:r>
    </w:p>
    <w:p w14:paraId="6B4150A0">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复核委员会审议期间，可以要求上市公司、证券</w:t>
      </w:r>
      <w:r>
        <w:rPr>
          <w:rFonts w:ascii="仿宋_GB2312" w:hAnsi="黑体" w:eastAsia="仿宋_GB2312"/>
          <w:sz w:val="32"/>
          <w:szCs w:val="32"/>
        </w:rPr>
        <w:t>公司</w:t>
      </w:r>
      <w:r>
        <w:rPr>
          <w:rFonts w:hint="eastAsia" w:ascii="仿宋_GB2312" w:hAnsi="黑体" w:eastAsia="仿宋_GB2312"/>
          <w:sz w:val="32"/>
          <w:szCs w:val="32"/>
        </w:rPr>
        <w:t>和证券服务机构提供补充材料，提供补充材料期间不计入听证及审议期限。</w:t>
      </w:r>
    </w:p>
    <w:p w14:paraId="2445B292">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公司和相关机构提供补充材料的期限累计不得超过30个交易日。公司和相关机构未按本所要求在规定期限内提交补充材料的，本所复核委员会继续进行听证或者审议。</w:t>
      </w:r>
    </w:p>
    <w:p w14:paraId="2A62EFD1">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本所可以自行或委托相关机构就公司有关情况进行调查核实，并将核查结果提交复核委员会审议。调查核实期间不计入审议期限。</w:t>
      </w:r>
    </w:p>
    <w:p w14:paraId="50A88813">
      <w:pPr>
        <w:numPr>
          <w:ilvl w:val="2"/>
          <w:numId w:val="50"/>
        </w:numPr>
        <w:tabs>
          <w:tab w:val="left" w:pos="1560"/>
          <w:tab w:val="left" w:pos="1843"/>
          <w:tab w:val="left" w:pos="1985"/>
          <w:tab w:val="left" w:pos="2127"/>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本所依据复核委员会的审核意见，作出是否维持终止上市的决定。</w:t>
      </w:r>
    </w:p>
    <w:p w14:paraId="4C62FD88">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申请人应当在收到本所的复核决定后，及时披露决定的有关内容。</w:t>
      </w:r>
    </w:p>
    <w:p w14:paraId="31E1934C">
      <w:pPr>
        <w:pStyle w:val="36"/>
        <w:rPr>
          <w:rFonts w:hint="eastAsia"/>
        </w:rPr>
      </w:pPr>
      <w:bookmarkStart w:id="1107" w:name="_Toc170284258"/>
      <w:bookmarkStart w:id="1108" w:name="_Toc22057"/>
      <w:bookmarkStart w:id="1109" w:name="_Toc31502"/>
      <w:r>
        <w:rPr>
          <w:rFonts w:hint="eastAsia"/>
        </w:rPr>
        <w:t>第七节 退市整理期</w:t>
      </w:r>
      <w:bookmarkEnd w:id="1107"/>
      <w:bookmarkEnd w:id="1108"/>
      <w:bookmarkEnd w:id="1109"/>
    </w:p>
    <w:p w14:paraId="67E9DB56">
      <w:pPr>
        <w:pStyle w:val="34"/>
        <w:numPr>
          <w:ilvl w:val="0"/>
          <w:numId w:val="51"/>
        </w:numPr>
        <w:tabs>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 xml:space="preserve"> 上市公司股票被本所根据本章第二节、第四节、第五节的规定作出终止上市决定后，自本所公告终止上市决定之日后5个交易日届满的次一交易日复牌，进入退市整理期交易</w:t>
      </w:r>
      <w:r>
        <w:rPr>
          <w:rFonts w:ascii="仿宋_GB2312" w:hAnsi="黑体"/>
          <w:kern w:val="2"/>
          <w:sz w:val="32"/>
          <w:szCs w:val="32"/>
        </w:rPr>
        <w:t>。</w:t>
      </w:r>
    </w:p>
    <w:p w14:paraId="73A788C3">
      <w:pPr>
        <w:pStyle w:val="34"/>
        <w:tabs>
          <w:tab w:val="left" w:pos="1560"/>
        </w:tabs>
        <w:snapToGrid w:val="0"/>
        <w:spacing w:line="560" w:lineRule="exact"/>
        <w:ind w:left="640" w:firstLine="0" w:firstLineChars="0"/>
        <w:rPr>
          <w:rFonts w:hint="eastAsia" w:ascii="仿宋_GB2312" w:hAnsi="黑体"/>
          <w:sz w:val="32"/>
          <w:szCs w:val="32"/>
        </w:rPr>
      </w:pPr>
      <w:r>
        <w:rPr>
          <w:rFonts w:hint="eastAsia" w:ascii="仿宋_GB2312" w:hAnsi="黑体"/>
          <w:sz w:val="32"/>
          <w:szCs w:val="32"/>
        </w:rPr>
        <w:t>退市整理股票的简称前冠以“退市”标识。</w:t>
      </w:r>
    </w:p>
    <w:p w14:paraId="5091E388">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上市公司处于破产重整进程，且经法院或者破产管理人认定，如公司股票进入退市整理期交易，将与破产程序或者法院批准的公司重整计划的执行存在冲突的，公司股票可以不进入退市整理期交易。</w:t>
      </w:r>
    </w:p>
    <w:p w14:paraId="491067D1">
      <w:pPr>
        <w:pStyle w:val="34"/>
        <w:numPr>
          <w:ilvl w:val="0"/>
          <w:numId w:val="51"/>
        </w:numPr>
        <w:tabs>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 xml:space="preserve"> 退市整理期的交易期限为15个交易日。公司股票在退市整理期内全天停牌的，停牌期间不计入退市整理期，但停牌天数累计不得超过5个交易日。</w:t>
      </w:r>
    </w:p>
    <w:p w14:paraId="4C55CB62">
      <w:pPr>
        <w:tabs>
          <w:tab w:val="left" w:pos="1560"/>
        </w:tabs>
        <w:snapToGrid w:val="0"/>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累计停牌达到5个交易日后，本所不再接受公司的停牌申请；公司未在累计停牌期满前申请复牌的，本所于停牌期满后的次一交易日恢复公司股票交易。</w:t>
      </w:r>
    </w:p>
    <w:p w14:paraId="1C2B0BD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仿宋" w:eastAsia="仿宋_GB2312" w:cs="Arial"/>
          <w:sz w:val="32"/>
          <w:szCs w:val="32"/>
        </w:rPr>
        <w:t>公司股票进入</w:t>
      </w:r>
      <w:r>
        <w:rPr>
          <w:rFonts w:ascii="仿宋_GB2312" w:hAnsi="仿宋" w:eastAsia="仿宋_GB2312" w:cs="Arial"/>
          <w:sz w:val="32"/>
          <w:szCs w:val="32"/>
        </w:rPr>
        <w:t>退市整理期</w:t>
      </w:r>
      <w:r>
        <w:rPr>
          <w:rFonts w:hint="eastAsia" w:ascii="仿宋_GB2312" w:hAnsi="仿宋" w:eastAsia="仿宋_GB2312" w:cs="Arial"/>
          <w:sz w:val="32"/>
          <w:szCs w:val="32"/>
        </w:rPr>
        <w:t>首日</w:t>
      </w:r>
      <w:r>
        <w:rPr>
          <w:rFonts w:ascii="仿宋_GB2312" w:hAnsi="仿宋" w:eastAsia="仿宋_GB2312" w:cs="Arial"/>
          <w:sz w:val="32"/>
          <w:szCs w:val="32"/>
        </w:rPr>
        <w:t>，</w:t>
      </w:r>
      <w:r>
        <w:rPr>
          <w:rFonts w:hint="eastAsia" w:ascii="仿宋_GB2312" w:hAnsi="仿宋" w:eastAsia="仿宋_GB2312" w:cs="Arial"/>
          <w:sz w:val="32"/>
          <w:szCs w:val="32"/>
        </w:rPr>
        <w:t>不设价格涨跌幅限制。</w:t>
      </w:r>
    </w:p>
    <w:p w14:paraId="54ADBC4F">
      <w:pPr>
        <w:pStyle w:val="34"/>
        <w:numPr>
          <w:ilvl w:val="0"/>
          <w:numId w:val="51"/>
        </w:numPr>
        <w:tabs>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 xml:space="preserve"> 上市公司有限售条件股份的限售期限在退市整理期间连续计算。限售期限未届满的，相关股份在退市整理期内不得转让。</w:t>
      </w:r>
    </w:p>
    <w:p w14:paraId="40B1593F">
      <w:pPr>
        <w:pStyle w:val="34"/>
        <w:numPr>
          <w:ilvl w:val="0"/>
          <w:numId w:val="51"/>
        </w:numPr>
        <w:tabs>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 xml:space="preserve"> 上市公司股票进入退市整理期的，公司及相关信息披露义务人仍应当遵守法律法规、本规则及本所有关规定，履行信息披露及相关义务。</w:t>
      </w:r>
    </w:p>
    <w:p w14:paraId="2D61A52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上市公司未按本规则的规定履行相关义务的，本所将依据本规则的规定对有关责任人予以惩戒。</w:t>
      </w:r>
    </w:p>
    <w:p w14:paraId="3945676F">
      <w:pPr>
        <w:pStyle w:val="34"/>
        <w:numPr>
          <w:ilvl w:val="0"/>
          <w:numId w:val="51"/>
        </w:numPr>
        <w:tabs>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 xml:space="preserve"> 上市公司应当在股票终止上市公告中，同时披露其股票进入退市整理期交易相关情况。</w:t>
      </w:r>
    </w:p>
    <w:p w14:paraId="4451E889">
      <w:pPr>
        <w:pStyle w:val="34"/>
        <w:numPr>
          <w:ilvl w:val="0"/>
          <w:numId w:val="51"/>
        </w:numPr>
        <w:tabs>
          <w:tab w:val="left" w:pos="1560"/>
        </w:tabs>
        <w:snapToGrid w:val="0"/>
        <w:spacing w:line="560" w:lineRule="exact"/>
        <w:ind w:left="0" w:firstLine="640"/>
        <w:rPr>
          <w:rFonts w:hint="eastAsia" w:ascii="仿宋_GB2312" w:hAnsi="黑体"/>
          <w:sz w:val="32"/>
          <w:szCs w:val="32"/>
        </w:rPr>
      </w:pPr>
      <w:r>
        <w:rPr>
          <w:rFonts w:ascii="仿宋_GB2312" w:hAnsi="黑体"/>
          <w:sz w:val="32"/>
          <w:szCs w:val="32"/>
        </w:rPr>
        <w:t xml:space="preserve"> </w:t>
      </w:r>
      <w:r>
        <w:rPr>
          <w:rFonts w:hint="eastAsia" w:ascii="仿宋_GB2312" w:hAnsi="黑体"/>
          <w:sz w:val="32"/>
          <w:szCs w:val="32"/>
        </w:rPr>
        <w:t>上市公司应当于退市整理期交易</w:t>
      </w:r>
      <w:r>
        <w:rPr>
          <w:rFonts w:ascii="仿宋_GB2312" w:hAnsi="黑体"/>
          <w:sz w:val="32"/>
          <w:szCs w:val="32"/>
        </w:rPr>
        <w:t>首日</w:t>
      </w:r>
      <w:r>
        <w:rPr>
          <w:rFonts w:hint="eastAsia" w:ascii="仿宋_GB2312" w:hAnsi="黑体"/>
          <w:sz w:val="32"/>
          <w:szCs w:val="32"/>
        </w:rPr>
        <w:t>，发布公司股票已被本所作出终止上市决定的风险提示公告，说明公司股票进入退市整理期的起始日和终止日等事项。</w:t>
      </w:r>
    </w:p>
    <w:p w14:paraId="50A468F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上市公司应当在退市整理期前10个交易日内，每5个交易日发布一次股票将被终止上市的风险提示公告，在最后5个交易日内每日发布一次股票将被终止上市的风险提示公告。</w:t>
      </w:r>
    </w:p>
    <w:p w14:paraId="4D699953">
      <w:pPr>
        <w:pStyle w:val="34"/>
        <w:numPr>
          <w:ilvl w:val="0"/>
          <w:numId w:val="51"/>
        </w:numPr>
        <w:tabs>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 xml:space="preserve"> 退市整理股票在一段时期内偏离同期可比指数涨跌幅较大，且期间上市公司未有重大事项公告的，本所可以要求上市公司进行停牌核查。上市公司应当对公司信息披露的情况和相关市场传言等进行核查，并及时予以公告。</w:t>
      </w:r>
    </w:p>
    <w:p w14:paraId="1566AFEE">
      <w:pPr>
        <w:pStyle w:val="34"/>
        <w:numPr>
          <w:ilvl w:val="0"/>
          <w:numId w:val="51"/>
        </w:numPr>
        <w:tabs>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 xml:space="preserve"> 上市公司应当在其股票的退市整理期届满当日再次发布终止上市公告，对公司股票进入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的具体事宜，包括拟进入的市场名称、进入日期、股份重新确认、登记、托管等股票终止上市后续安排作出说明。</w:t>
      </w:r>
    </w:p>
    <w:p w14:paraId="5934D9FD">
      <w:pPr>
        <w:pStyle w:val="34"/>
        <w:numPr>
          <w:ilvl w:val="0"/>
          <w:numId w:val="51"/>
        </w:numPr>
        <w:tabs>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 xml:space="preserve"> 上市公司在退市整理期间对外发布公告时，应当在公告的“重要提示”中特别说明已经交易的时间、剩余交易日及交易期满公司股票将被终止上市，并提示相关交易风险。</w:t>
      </w:r>
    </w:p>
    <w:p w14:paraId="00F115B0">
      <w:pPr>
        <w:pStyle w:val="34"/>
        <w:numPr>
          <w:ilvl w:val="0"/>
          <w:numId w:val="51"/>
        </w:numPr>
        <w:tabs>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上市公司股票进入退市整理期的，公司在退市整理期间不得筹划或者实施重大资产重组事项。</w:t>
      </w:r>
    </w:p>
    <w:p w14:paraId="387D1148">
      <w:pPr>
        <w:pStyle w:val="34"/>
        <w:numPr>
          <w:ilvl w:val="0"/>
          <w:numId w:val="51"/>
        </w:numPr>
        <w:tabs>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退市整理期届满后5个交易日内，本所对公司股票予以摘牌，公司股票终止上市，并转入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转让。</w:t>
      </w:r>
    </w:p>
    <w:p w14:paraId="17244C2D">
      <w:pPr>
        <w:pStyle w:val="34"/>
        <w:numPr>
          <w:ilvl w:val="0"/>
          <w:numId w:val="51"/>
        </w:numPr>
        <w:tabs>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上市公司应当在本所作出终止其股票上市决定后，立即安排股票转入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转让相关事宜，保证公司股票在摘牌之日起45个交易日内可以转让。</w:t>
      </w:r>
    </w:p>
    <w:p w14:paraId="6D159A9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上市公司将其股票转入</w:t>
      </w:r>
      <w:r>
        <w:rPr>
          <w:rFonts w:ascii="仿宋_GB2312" w:hAnsi="黑体" w:eastAsia="仿宋_GB2312"/>
          <w:sz w:val="32"/>
          <w:szCs w:val="32"/>
        </w:rPr>
        <w:t>全国中小企业股份转让系统</w:t>
      </w:r>
      <w:r>
        <w:rPr>
          <w:rFonts w:hint="eastAsia" w:ascii="仿宋_GB2312" w:hAnsi="黑体" w:eastAsia="仿宋_GB2312"/>
          <w:sz w:val="32"/>
          <w:szCs w:val="32"/>
        </w:rPr>
        <w:t>等</w:t>
      </w:r>
      <w:r>
        <w:rPr>
          <w:rFonts w:ascii="仿宋_GB2312" w:hAnsi="黑体" w:eastAsia="仿宋_GB2312"/>
          <w:sz w:val="32"/>
          <w:szCs w:val="32"/>
        </w:rPr>
        <w:t>证券交易场所</w:t>
      </w:r>
      <w:r>
        <w:rPr>
          <w:rFonts w:hint="eastAsia" w:ascii="仿宋_GB2312" w:hAnsi="黑体" w:eastAsia="仿宋_GB2312"/>
          <w:sz w:val="32"/>
          <w:szCs w:val="32"/>
        </w:rPr>
        <w:t>转让，应当聘请具有主办券商业务资格的证券公司（以下简称主办券商）并与其签订相关协议。公司未聘请或无主办券商接受其聘请的，本所在作出终止其股票上市的决定后，可以为其协调确定主办券商，通知公司和主办券商，并于2个交易日内就上述事项披露相关公告（公司不再具备法人资格的情形除外）。</w:t>
      </w:r>
    </w:p>
    <w:p w14:paraId="7691712E">
      <w:pPr>
        <w:pStyle w:val="36"/>
        <w:rPr>
          <w:rFonts w:hint="eastAsia"/>
        </w:rPr>
      </w:pPr>
      <w:bookmarkStart w:id="1110" w:name="_Toc3308"/>
      <w:bookmarkStart w:id="1111" w:name="_Toc170284259"/>
      <w:bookmarkStart w:id="1112" w:name="_Toc3754"/>
      <w:r>
        <w:rPr>
          <w:rFonts w:hint="eastAsia"/>
        </w:rPr>
        <w:t>第八节 主动终止上市</w:t>
      </w:r>
      <w:bookmarkEnd w:id="1110"/>
      <w:bookmarkEnd w:id="1111"/>
      <w:bookmarkEnd w:id="1112"/>
    </w:p>
    <w:p w14:paraId="754B4A1B">
      <w:pPr>
        <w:numPr>
          <w:ilvl w:val="2"/>
          <w:numId w:val="52"/>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上市公司出现下列情形之一的，可以向本所申请主动终止上市：</w:t>
      </w:r>
    </w:p>
    <w:p w14:paraId="77E65B5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（一）上市公司股东会决议主动撤回其股票在本所的交易，并决定不再在本所交易；</w:t>
      </w:r>
    </w:p>
    <w:p w14:paraId="2BC79B4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（二）上市公司股东会决议主动撤回其股票在本所的交易，并转而申请在其他交易场所交易或转让；</w:t>
      </w:r>
    </w:p>
    <w:p w14:paraId="6CCB6CF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（三）上市公司向所有股东发出回购全部股份或部分股份的要约，导致公司股本总额、股权分布等发生变化不再具备上市条件；</w:t>
      </w:r>
    </w:p>
    <w:p w14:paraId="38B3788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（四）上市公司股东向所有其他股东发出收购全部股份或部分股份的要约，导致公司股本总额、股权分布等发生变化不再具备上市条件；</w:t>
      </w:r>
    </w:p>
    <w:p w14:paraId="3532EB7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（五）除上市公司股东外的其他收购人向所有股东发出收购全部股份或部分股份的要约，导致公司股本总额、股权分布等发生变化不再具备上市条件；</w:t>
      </w:r>
    </w:p>
    <w:p w14:paraId="15A3C12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（六）上市公司因新设合并或者吸收合并，不再具有独立法人资格并被注销；</w:t>
      </w:r>
    </w:p>
    <w:p w14:paraId="3B293FF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（七）上市公司股东会决议公司解散；</w:t>
      </w:r>
    </w:p>
    <w:p w14:paraId="30459D4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（八）中国证监会和本所认可的其他主动终止上市情形。</w:t>
      </w:r>
    </w:p>
    <w:p w14:paraId="1BADFED0">
      <w:pPr>
        <w:numPr>
          <w:ilvl w:val="2"/>
          <w:numId w:val="52"/>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前条第一项、第二项规定的股东会决议事项，除须经出席会议的全体股东所持有效表决权的三分之二以上通过外，还须经出席会议的除下列股东以外的其他股东所持有效表决权的三分之二以上通过：</w:t>
      </w:r>
    </w:p>
    <w:p w14:paraId="26D4CA7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（一）上市公司的董事、高级管理人员；</w:t>
      </w:r>
    </w:p>
    <w:p w14:paraId="49E30A7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（二）单独或者合计持有上市公司5%以上股份的股东。</w:t>
      </w:r>
    </w:p>
    <w:p w14:paraId="06CC4EBC">
      <w:pPr>
        <w:numPr>
          <w:ilvl w:val="2"/>
          <w:numId w:val="52"/>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第12.8.1条第一项、第二项规定的股东会召开通知发布之前，充分披露主动终止上市方案、退市原因及退市后的发展战略，包括并购重组安排、经营发展计划、为异议股东提供现金选择权等保护措施的专项说明等。</w:t>
      </w:r>
    </w:p>
    <w:p w14:paraId="6CB89E0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上市公司应当聘请财务顾问和律师事务所为主动终止上市提供专业服务，发表专业意见并与股东会召开通知一并公告。</w:t>
      </w:r>
    </w:p>
    <w:p w14:paraId="0FB1B6D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股东会对主动终止上市事项进行审议后，上市公司应当及时披露股东会决议公告，说明议案的审议及通过情况。</w:t>
      </w:r>
    </w:p>
    <w:p w14:paraId="3391E7FC">
      <w:pPr>
        <w:numPr>
          <w:ilvl w:val="2"/>
          <w:numId w:val="52"/>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因第12.8.1条第三项至第七项规定的回购、收购、公司合并以及自愿解散等情形引发主动终止上市的，应当遵守《公司法》《证券法》《上市公司收购管理办法》《重组办法》等有关规定及本所相关业务规则，严格履行决策、实施程序和信息披露义务，并及时向本所申请公司股票停牌或复牌。</w:t>
      </w:r>
    </w:p>
    <w:p w14:paraId="3BB6615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上市公司以自愿解散形式申请主动终止上市的，除遵守法律法规等有关规定外，还应遵守第12.8.2条和第12.8.3条的规定。</w:t>
      </w:r>
    </w:p>
    <w:p w14:paraId="6C264158">
      <w:pPr>
        <w:numPr>
          <w:ilvl w:val="2"/>
          <w:numId w:val="52"/>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上市公司因收购人履行要约收购义务，或收购人以终止公司上市地位为目的而发出全面要约的，要约收购期满至要约收购结果公告前，公司股票应当停牌。</w:t>
      </w:r>
    </w:p>
    <w:p w14:paraId="24C82095">
      <w:pPr>
        <w:tabs>
          <w:tab w:val="left" w:pos="1560"/>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根据收购结果，被收购上市公司股权分布不具备上市条件，上市公司应当按照下列情形分别处理：</w:t>
      </w:r>
    </w:p>
    <w:p w14:paraId="3D07B665">
      <w:pPr>
        <w:tabs>
          <w:tab w:val="left" w:pos="1560"/>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（一）收购人以终止上市公司上市地位为目的的，按照第12.8.1条第四项或者第五项情形相应的退市程序执行，公司股票应当于要约结果公告日继续停牌，直至本所终止其股票上市；</w:t>
      </w:r>
    </w:p>
    <w:p w14:paraId="39F5DBCC">
      <w:pPr>
        <w:tabs>
          <w:tab w:val="left" w:pos="1560"/>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（二）收购人不以终止上市公司上市地位为目的的，按照第12.5.1条第七项情形相应的程序执行。</w:t>
      </w:r>
    </w:p>
    <w:p w14:paraId="67E46FEE">
      <w:pPr>
        <w:numPr>
          <w:ilvl w:val="2"/>
          <w:numId w:val="52"/>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根据第12.8.1条第一项、第二项规定的情形，申请主动终止上市的，应当向本所申请其股票自股东会股权登记日的次一交易日起停牌，并于股东会作出终止上市决议后的15个交易日内，向本所提交主动终止上市申请。</w:t>
      </w:r>
    </w:p>
    <w:p w14:paraId="21036F4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上市公司因第12.8.1条第三项至第七项规定的回购、收购、公司合并以及自愿解散等情形引发主动终止上市的，公司应当按照相关规定，及时向本所提交主动终止上市申请。</w:t>
      </w:r>
    </w:p>
    <w:p w14:paraId="0AE8A1E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公司应当在提出申请后，及时发布相关公告。</w:t>
      </w:r>
    </w:p>
    <w:p w14:paraId="77993FBF">
      <w:pPr>
        <w:numPr>
          <w:ilvl w:val="2"/>
          <w:numId w:val="52"/>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上市公司向本所提出主动终止上市申请的，应当提交下列文件：</w:t>
      </w:r>
    </w:p>
    <w:p w14:paraId="4073256A">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（一）主动终止上市申请书；</w:t>
      </w:r>
    </w:p>
    <w:p w14:paraId="01C6A1E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（二）董事会决议；</w:t>
      </w:r>
    </w:p>
    <w:p w14:paraId="1187D8BB">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（三）股东会决议（如适用）；</w:t>
      </w:r>
    </w:p>
    <w:p w14:paraId="77E9687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（四）主动终止上市的方案；</w:t>
      </w:r>
    </w:p>
    <w:p w14:paraId="2EFFE3C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（五）主动终止上市后去向安排的说明；</w:t>
      </w:r>
    </w:p>
    <w:p w14:paraId="69E0E91B">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（六）为异议股东提供现金选择权等保护措施的专项说明；</w:t>
      </w:r>
    </w:p>
    <w:p w14:paraId="0C4955B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（七）财务顾问出具的关于公司主动终止上市的专项意见；</w:t>
      </w:r>
    </w:p>
    <w:p w14:paraId="0003137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（八）律师出具的关于公司主动终止上市的专项法律意见；</w:t>
      </w:r>
    </w:p>
    <w:p w14:paraId="66B32FF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（九）本所要求的其他材料。</w:t>
      </w:r>
    </w:p>
    <w:p w14:paraId="26D488C7">
      <w:pPr>
        <w:numPr>
          <w:ilvl w:val="2"/>
          <w:numId w:val="52"/>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上市公司主动终止上市事项未获股东会审议通过的，公司应当及时向本所申请其股票自股东会决议公告之日起复牌。</w:t>
      </w:r>
    </w:p>
    <w:p w14:paraId="28BB5855">
      <w:pPr>
        <w:numPr>
          <w:ilvl w:val="2"/>
          <w:numId w:val="52"/>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本所在收到上市公司提交的主动终止上市申请文件之日后5个交易日内，作出是否受理的决定并通知公司。公司应当在收到决定后及时披露，并提示其股票是否存在可能终止上市的风险。</w:t>
      </w:r>
    </w:p>
    <w:p w14:paraId="4713E08D">
      <w:pPr>
        <w:numPr>
          <w:ilvl w:val="2"/>
          <w:numId w:val="52"/>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本所在受理上市公司主动终止上市申请之日后的15个交易日内，作出是否同意其股票终止上市的决定。在此期间，本所要求公司提供补充材料的，公司提供补充材料期间不计入上述作出有关决定的期限，但累计不得超过30个交易日。</w:t>
      </w:r>
    </w:p>
    <w:p w14:paraId="63745D9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因全面要约收购上市公司股份、实施以上市公司为对象的公司合并、上市公司全面回购股份，导致公司股票退出市场交易的，除另有规定外，本所在公司公告回购或者收购结果、完成合并交易之日起15个交易日内，作出是否终止其股票上市的决定。</w:t>
      </w:r>
    </w:p>
    <w:p w14:paraId="037E0CB1">
      <w:pPr>
        <w:numPr>
          <w:ilvl w:val="2"/>
          <w:numId w:val="52"/>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本所上市委员会对上市公司股票主动终止上市事宜进行审议，重点从保护投资者特别是中小投资者权益的角度，在审查上市公司决策程序合规性的基础上，作出独立的专业判断并形成审议意见。</w:t>
      </w:r>
    </w:p>
    <w:p w14:paraId="01CD587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本所根据上市委员会的审议意见，作出是否终止股票上市的决定。</w:t>
      </w:r>
    </w:p>
    <w:p w14:paraId="71D42D2C">
      <w:pPr>
        <w:numPr>
          <w:ilvl w:val="2"/>
          <w:numId w:val="52"/>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本所在作出终止股票上市的决定之日起2个交易日内通知公司并发布相关公告。</w:t>
      </w:r>
    </w:p>
    <w:p w14:paraId="42DBF0E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公司应当在收到本所关于终止其股票上市决定之日的次一交易日，披露股票终止上市公告。公司股票不进入退市整理期交易。</w:t>
      </w:r>
    </w:p>
    <w:p w14:paraId="23661698">
      <w:pPr>
        <w:numPr>
          <w:ilvl w:val="2"/>
          <w:numId w:val="52"/>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上市公司主动终止上市的，本所在公司公告股票终止上市决定之日起5个交易日内对其予以摘牌，公司股票终止上市。</w:t>
      </w:r>
    </w:p>
    <w:p w14:paraId="388EFC66">
      <w:pPr>
        <w:numPr>
          <w:ilvl w:val="2"/>
          <w:numId w:val="52"/>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上市公司主动终止上市的，公司及相关各方应当对公司股票退市后的转让或者交易、异议股东保护措施等作出妥善安排，保护投资者特别是中小投资者的合法权益。</w:t>
      </w:r>
    </w:p>
    <w:p w14:paraId="06DB245A">
      <w:pPr>
        <w:numPr>
          <w:ilvl w:val="2"/>
          <w:numId w:val="52"/>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主动终止上市公司可以选择在全国中小企业股份转让系统等</w:t>
      </w:r>
      <w:r>
        <w:rPr>
          <w:rFonts w:ascii="仿宋_GB2312" w:hAnsi="黑体" w:eastAsia="仿宋_GB2312"/>
          <w:sz w:val="32"/>
          <w:szCs w:val="32"/>
        </w:rPr>
        <w:t>证券交易场所</w:t>
      </w:r>
      <w:r>
        <w:rPr>
          <w:rFonts w:hint="eastAsia" w:ascii="仿宋_GB2312" w:hAnsi="黑体" w:eastAsia="仿宋_GB2312"/>
          <w:sz w:val="32"/>
          <w:szCs w:val="32"/>
        </w:rPr>
        <w:t>转让其股票，或者依法作出其他安排。</w:t>
      </w:r>
    </w:p>
    <w:p w14:paraId="2CA0C105">
      <w:pPr>
        <w:numPr>
          <w:ilvl w:val="2"/>
          <w:numId w:val="52"/>
        </w:numPr>
        <w:tabs>
          <w:tab w:val="left" w:pos="0"/>
          <w:tab w:val="left" w:pos="1560"/>
          <w:tab w:val="clear" w:pos="1418"/>
        </w:tabs>
        <w:snapToGrid w:val="0"/>
        <w:spacing w:line="560" w:lineRule="exact"/>
        <w:ind w:left="0" w:firstLine="640" w:firstLineChars="200"/>
        <w:rPr>
          <w:rFonts w:hint="eastAsia" w:ascii="仿宋_GB2312" w:hAnsi="黑体" w:eastAsia="仿宋_GB2312"/>
          <w:sz w:val="32"/>
          <w:szCs w:val="32"/>
        </w:rPr>
      </w:pPr>
      <w:r>
        <w:rPr>
          <w:rFonts w:hint="eastAsia" w:ascii="仿宋_GB2312" w:hAnsi="黑体" w:eastAsia="仿宋_GB2312"/>
          <w:sz w:val="32"/>
          <w:szCs w:val="32"/>
        </w:rPr>
        <w:t>本所在作出同意或者不同意上市公司主动终止上市决定之日起15个交易日内，以及上市公司退出市场交易之日起15个交易日内，将上市公司主动终止上市的情况报告中国证监会。</w:t>
      </w:r>
    </w:p>
    <w:p w14:paraId="7A4FF09A">
      <w:pPr>
        <w:pStyle w:val="36"/>
        <w:numPr>
          <w:ilvl w:val="0"/>
          <w:numId w:val="53"/>
        </w:numPr>
        <w:rPr>
          <w:rFonts w:hint="eastAsia"/>
        </w:rPr>
      </w:pPr>
      <w:bookmarkStart w:id="1113" w:name="_Toc6948"/>
      <w:bookmarkStart w:id="1114" w:name="_Toc10508"/>
      <w:bookmarkStart w:id="1115" w:name="_Toc170284260"/>
      <w:r>
        <w:rPr>
          <w:rFonts w:hint="eastAsia"/>
        </w:rPr>
        <w:t>其他风险警示</w:t>
      </w:r>
      <w:bookmarkEnd w:id="1113"/>
      <w:bookmarkEnd w:id="1114"/>
      <w:bookmarkEnd w:id="1115"/>
    </w:p>
    <w:p w14:paraId="18774956">
      <w:pPr>
        <w:pStyle w:val="34"/>
        <w:numPr>
          <w:ilvl w:val="0"/>
          <w:numId w:val="54"/>
        </w:numPr>
        <w:tabs>
          <w:tab w:val="left" w:pos="1134"/>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 xml:space="preserve"> 上市公司出现下列情形之一的，本所对其股票实施其他风险警示：</w:t>
      </w:r>
    </w:p>
    <w:p w14:paraId="3216F197">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一）公司被控股股东（无控股股东的，则为第一大股东）及其关联人非经营性占用资金，余额达到最近一期经审计净资产绝对值5%以上，或者金额超过1000万元，未能在1个月内完成清偿或整改；或者公司违反规定决策程序对外提供担保（担保对象为上市公司合并报表范围内子公司的除外），余额达到最近一期经审计净资产绝对值5%以上，或者金额超过1000万元，未能在1个月内完成清偿或整改；</w:t>
      </w:r>
    </w:p>
    <w:p w14:paraId="1C056499">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（二）董事会、股东会无法正常召开会议并形成有效决议；</w:t>
      </w:r>
    </w:p>
    <w:p w14:paraId="3192687D">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（三）最近一个会计年度财务报告内部控制被出具无法表示意见或否定意见的审计报告，或未按照规定披露财务报告内部控制审计报告；</w:t>
      </w:r>
    </w:p>
    <w:p w14:paraId="6D5F7B41">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（四）公司生产经营活动受到严重影响且预计在3个月内不能恢复正常；</w:t>
      </w:r>
    </w:p>
    <w:p w14:paraId="3C8CED69">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（五）主要银行账户被冻结；</w:t>
      </w:r>
    </w:p>
    <w:p w14:paraId="0F6C53CE">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（六）最近连续3个会计年度扣除非经常性损益前后净利润孰低者均为负值，且最近一个会计年度财务会计报告的审计报告显示公司持续经营能力存在不确定性；</w:t>
      </w:r>
    </w:p>
    <w:p w14:paraId="11E97920">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七）根据中国证监会行政处罚事先告知书载明的事实，公司披露的年度报告财务指标存在虚假记载，但未触及本规则第12.2.2条第一款规定情形，前述财务指标包括营业收入、利润总额、净利润、资产负债表中的资产或者负债科目；</w:t>
      </w:r>
    </w:p>
    <w:p w14:paraId="69FA2AA8">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八）最近一个会计年度净利润为正值且母公司报表年度末未分配利润为正值的公司，其最近三个会计年度累计现金分红总额低于最近三个会计年度年均净利润的30%，且最近三个会计年度累计现金分红金额低于3000万元，但最近三个会计</w:t>
      </w:r>
      <w:r>
        <w:rPr>
          <w:rFonts w:ascii="仿宋_GB2312" w:hAnsi="黑体"/>
          <w:sz w:val="32"/>
          <w:szCs w:val="32"/>
        </w:rPr>
        <w:t>年度</w:t>
      </w:r>
      <w:r>
        <w:rPr>
          <w:rFonts w:hint="eastAsia" w:ascii="仿宋_GB2312" w:hAnsi="黑体"/>
          <w:sz w:val="32"/>
          <w:szCs w:val="32"/>
        </w:rPr>
        <w:t>累计研发投入占累计营业收入比例在15%以上或最近三个会计</w:t>
      </w:r>
      <w:r>
        <w:rPr>
          <w:rFonts w:ascii="仿宋_GB2312" w:hAnsi="黑体"/>
          <w:sz w:val="32"/>
          <w:szCs w:val="32"/>
        </w:rPr>
        <w:t>年度</w:t>
      </w:r>
      <w:r>
        <w:rPr>
          <w:rFonts w:hint="eastAsia" w:ascii="仿宋_GB2312" w:hAnsi="黑体"/>
          <w:sz w:val="32"/>
          <w:szCs w:val="32"/>
        </w:rPr>
        <w:t>累计研发投入金额在3亿元以上的除外；</w:t>
      </w:r>
    </w:p>
    <w:p w14:paraId="4769AFB5">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（九）公司存在严重失信，或持续经营能力明显存在重大不确定性等投资者难以判断公司前景，导致投资者权益可能受到损害的其他情形。</w:t>
      </w:r>
    </w:p>
    <w:p w14:paraId="1F7F38C1">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公司上市不满三个完整会计年度的，前款第八项所称最近三个会计年度以公司上市后的首个完整会计年度作为首个起算年度。</w:t>
      </w:r>
    </w:p>
    <w:p w14:paraId="484909A4">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公司将最近一个会计年度母公司报表未分配利润全部分配后，仍出现第一款第八项规定情形的，本所不对其公司股票实施其他风险警示。</w:t>
      </w:r>
    </w:p>
    <w:p w14:paraId="52974307">
      <w:pPr>
        <w:pStyle w:val="34"/>
        <w:numPr>
          <w:ilvl w:val="0"/>
          <w:numId w:val="54"/>
        </w:numPr>
        <w:tabs>
          <w:tab w:val="left" w:pos="1134"/>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 xml:space="preserve"> 上市公司出现第12.9.1条第一款第一项至第七项规定情形之一的，应当在事实发生之日及时向本所报告，提交董事会的书面意见，同时进行公告并申请其股票于事实发生次一交易日起开始停牌。本所在收到公司报告之日后5个交易日内，根据实际情况，对公司股票实施其他风险警示。</w:t>
      </w:r>
    </w:p>
    <w:p w14:paraId="1DE30F7F">
      <w:pPr>
        <w:pStyle w:val="34"/>
        <w:numPr>
          <w:ilvl w:val="0"/>
          <w:numId w:val="54"/>
        </w:numPr>
        <w:tabs>
          <w:tab w:val="left" w:pos="1134"/>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 xml:space="preserve"> 上市公司董事会审议通过的年度利润分配方案实施后，公司可能出现第12.9.1条第一款第八项规定情形的，应当在年度利润分配方案披露的同时提示存在被实施其他风险警示的风险。公司股东会审议通过该利润分配方案后，公司应当及时向本所报告，提交董事会的书面意见，同时进行公告并申请其股票于次一交易日起开始停牌。本所在收到公司报告之日后5个交易日内，根据实际情况，对公司股票实施其他风险警示。</w:t>
      </w:r>
    </w:p>
    <w:p w14:paraId="7E9E314F">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东会如未及时审议通过有效的年度利润分配方案，导致公司直至当年6月30日仍触及第12.9.1条第一款第八项规定情形的，公司应当及时向本所报告，提交董事会的书面意见，同时进行公告并申请其股票于次一交易日起开始停牌。本所在收到公司报告之日后5个交易日内，根据实际情况，对公司股票实施其他风险警示。公司应当根据股东会审议利润分配的结果情况，及时评估是否存在可能被实施其他风险警示的风险，并及时披露。</w:t>
      </w:r>
    </w:p>
    <w:p w14:paraId="3E208C8B">
      <w:pPr>
        <w:pStyle w:val="34"/>
        <w:numPr>
          <w:ilvl w:val="0"/>
          <w:numId w:val="54"/>
        </w:numPr>
        <w:tabs>
          <w:tab w:val="left" w:pos="1134"/>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 xml:space="preserve"> 上市公司股票因第12.9.1条第一款第一项规定情形被实施其他风险警示的，在被实施其他风险警示期间，公司应当至少每月披露1次提示性公告，披露资金占用或违规担保的解决进展情况。</w:t>
      </w:r>
    </w:p>
    <w:p w14:paraId="512147BB">
      <w:pPr>
        <w:pStyle w:val="34"/>
        <w:numPr>
          <w:ilvl w:val="0"/>
          <w:numId w:val="54"/>
        </w:numPr>
        <w:tabs>
          <w:tab w:val="left" w:pos="1134"/>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 xml:space="preserve"> 上市公司股票因第12.9.1条第一款第二项至第五项规定情形被实施其他风险警示的，在被实施其他风险警示期间，公司应当至少每月披露1次提示性公告，分阶段披露涉及事项的解决进展情况。</w:t>
      </w:r>
    </w:p>
    <w:p w14:paraId="15269908">
      <w:pPr>
        <w:pStyle w:val="34"/>
        <w:numPr>
          <w:ilvl w:val="0"/>
          <w:numId w:val="54"/>
        </w:numPr>
        <w:tabs>
          <w:tab w:val="left" w:pos="1134"/>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上市公司股票因第12.9.1条第一款第一项规定情形被实施其他风险警示后，相关情形已完全消除的，公司应当及时公告，并可以向本所申请撤销对其股票实施的其他风险警示。</w:t>
      </w:r>
    </w:p>
    <w:p w14:paraId="4E1FF850">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公司关联人资金占用情形已完全消除，向本所申请撤销对其股票实施的其他风险警示的，应当提交会计师事务所出具的专项核查意见等文件。</w:t>
      </w:r>
    </w:p>
    <w:p w14:paraId="32D5C1F2">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公司违规担保情形已完全消除，向本所申请撤销对其股票实施的其他风险警示的，应当提交律师事务所出具的法律意见书。</w:t>
      </w:r>
    </w:p>
    <w:p w14:paraId="0BE9E546">
      <w:pPr>
        <w:pStyle w:val="34"/>
        <w:numPr>
          <w:ilvl w:val="0"/>
          <w:numId w:val="54"/>
        </w:numPr>
        <w:tabs>
          <w:tab w:val="left" w:pos="1134"/>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上市公司股票因第12.9.1条第一款第二项至第六项、第九项规定情形被实施其他风险警示后，相关情形已完全消除的，公司应当及时公告，并可以向本所申请撤销对其股票实施的其他风险警示。</w:t>
      </w:r>
    </w:p>
    <w:p w14:paraId="72E637A5">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票因第12.9.1条第一款第三项规定情形被实施其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按照相关规定无法披露财务报告内部控制审计报告的，公司股票继续实施其他风险警示，直至披露下一个会计年度财务报告内部控制审计报告后，按照本节相关规定执行。</w:t>
      </w:r>
    </w:p>
    <w:p w14:paraId="47166CD4">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票因第12.9.1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14:paraId="1044234E">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票因第12.9.1条第一款第八项规定情形被实施其他风险警示后，经股东会审议通过的年度利润分配方案表明第12.9.1条第一款第八项规定的情形已消除，公司最近一个会计年度净利润为正值，且经股东会审议通过的年度利润分配方案显示当年现金分红金额不低于当年净利润30%的，公司应当及时公告，并可以向本所申请撤销对其股票实施的其他风险警示。</w:t>
      </w:r>
    </w:p>
    <w:p w14:paraId="34B1B5EB">
      <w:pPr>
        <w:pStyle w:val="34"/>
        <w:numPr>
          <w:ilvl w:val="0"/>
          <w:numId w:val="54"/>
        </w:numPr>
        <w:tabs>
          <w:tab w:val="left" w:pos="1134"/>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上市公司股票因第12.9.1条第一款第七项规定情形被实施其他风险警示后，同时符合下列条件的，可以向本所申请撤销对其股票实施的其他风险警示并披露：</w:t>
      </w:r>
    </w:p>
    <w:p w14:paraId="56F3695F">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（一）中国证监会作出行政处罚决定书已满12个月；</w:t>
      </w:r>
    </w:p>
    <w:p w14:paraId="0838AAC7">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（二）公司已就行政处罚决定所涉事项对相应年度财务会计报告进行追溯重述。</w:t>
      </w:r>
    </w:p>
    <w:p w14:paraId="5F3F9C10">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公司向本所申请撤销对其股票实施的其他风险警示时，如已被提起证券虚假陈述诉讼，公司应当就投资者索赔事项充分计提预计负债，及时披露相关事项进展并提示风险。</w:t>
      </w:r>
    </w:p>
    <w:p w14:paraId="04AE9062">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公司在股票被实施其他风险警示期间，收到中国证监会行政处罚决定书或者结案通知书，显示未触及第12.9.1条第一款第七项规定情形，应当及时公告，并可以向本所申请撤销对其股票实施的其他风险警示。</w:t>
      </w:r>
    </w:p>
    <w:p w14:paraId="3C535A50">
      <w:pPr>
        <w:pStyle w:val="34"/>
        <w:numPr>
          <w:ilvl w:val="0"/>
          <w:numId w:val="54"/>
        </w:numPr>
        <w:tabs>
          <w:tab w:val="left" w:pos="1134"/>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上市公司向本所申请撤销对其股票实施的其他风险警示，应当同时作出公告。本所于收到公司申请后15个交易日内，根据实际情况，决定是否撤销对其股票实施的其他风险警示。</w:t>
      </w:r>
    </w:p>
    <w:p w14:paraId="5FF8E675">
      <w:pPr>
        <w:pStyle w:val="34"/>
        <w:numPr>
          <w:ilvl w:val="0"/>
          <w:numId w:val="54"/>
        </w:numPr>
        <w:tabs>
          <w:tab w:val="left" w:pos="1134"/>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本所决定撤销其他风险警示的，上市公司应当按照本所要求在撤销其他风险警示的前一个交易日作出公告。</w:t>
      </w:r>
    </w:p>
    <w:p w14:paraId="23C74FBF">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公司股票在公告披露日停牌1天。自复牌之日起，本所撤销对公司股票实施的其他风险警示。</w:t>
      </w:r>
    </w:p>
    <w:p w14:paraId="3A1A4500">
      <w:pPr>
        <w:pStyle w:val="34"/>
        <w:numPr>
          <w:ilvl w:val="0"/>
          <w:numId w:val="54"/>
        </w:numPr>
        <w:tabs>
          <w:tab w:val="left" w:pos="1134"/>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本所决定不予撤销其他风险警示的，上市公司应当在收到本所有关书面通知后的次一交易日作出公告。公司未按规定公告的，本所可以向市场公告。</w:t>
      </w:r>
    </w:p>
    <w:p w14:paraId="6DA1EE2D">
      <w:pPr>
        <w:pStyle w:val="34"/>
        <w:numPr>
          <w:ilvl w:val="0"/>
          <w:numId w:val="54"/>
        </w:numPr>
        <w:tabs>
          <w:tab w:val="left" w:pos="1134"/>
          <w:tab w:val="left" w:pos="1560"/>
        </w:tabs>
        <w:snapToGrid w:val="0"/>
        <w:spacing w:line="560" w:lineRule="exact"/>
        <w:ind w:left="0" w:firstLine="640"/>
        <w:rPr>
          <w:rFonts w:hint="eastAsia" w:ascii="仿宋_GB2312" w:hAnsi="黑体"/>
          <w:sz w:val="32"/>
          <w:szCs w:val="32"/>
        </w:rPr>
      </w:pPr>
      <w:r>
        <w:rPr>
          <w:rFonts w:hint="eastAsia" w:ascii="仿宋_GB2312" w:hAnsi="黑体"/>
          <w:sz w:val="32"/>
          <w:szCs w:val="32"/>
        </w:rPr>
        <w:t>上市公司以现金为对价，采用要约方式、集中竞价方式回购股份并注销的，纳入本节所称现金分红金额。</w:t>
      </w:r>
    </w:p>
    <w:p w14:paraId="6CFA4F0D">
      <w:pPr>
        <w:pStyle w:val="36"/>
        <w:rPr>
          <w:rFonts w:hint="eastAsia"/>
        </w:rPr>
      </w:pPr>
      <w:bookmarkStart w:id="1116" w:name="_Toc16105"/>
      <w:bookmarkStart w:id="1117" w:name="_Toc170284261"/>
      <w:bookmarkStart w:id="1118" w:name="_Toc28272"/>
      <w:r>
        <w:rPr>
          <w:rFonts w:hint="eastAsia"/>
        </w:rPr>
        <w:t>第十节 再次</w:t>
      </w:r>
      <w:r>
        <w:t>上市</w:t>
      </w:r>
      <w:bookmarkEnd w:id="1116"/>
      <w:bookmarkEnd w:id="1117"/>
      <w:bookmarkEnd w:id="1118"/>
    </w:p>
    <w:p w14:paraId="760628B5">
      <w:pPr>
        <w:pStyle w:val="34"/>
        <w:numPr>
          <w:ilvl w:val="0"/>
          <w:numId w:val="55"/>
        </w:numPr>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sz w:val="32"/>
          <w:szCs w:val="32"/>
        </w:rPr>
        <w:t>本所上市公司的股票终止上市后，符合本所规定条件的，可以向本所申请再次上市。</w:t>
      </w:r>
    </w:p>
    <w:p w14:paraId="29AC540A">
      <w:pPr>
        <w:pStyle w:val="34"/>
        <w:numPr>
          <w:ilvl w:val="0"/>
          <w:numId w:val="55"/>
        </w:numPr>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sz w:val="32"/>
          <w:szCs w:val="32"/>
        </w:rPr>
        <w:t>上市公司因本规则第12.2.2条第一项、第二项规定的欺诈发行情形，其股票被终止上市的，本所不再受理其再次上市申请。</w:t>
      </w:r>
    </w:p>
    <w:p w14:paraId="79F3DDE5">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上市公司因本规则第12.2.2条第三项至第八项和第12.2.3条规定的重大违法等情形，其股票被终止上市的，自其股票进入全国中小企业股份转让系统等证券交易场所转让之日起的5个完整会计年度内，本所不再受理其再次上市申请。公司提交再次上市申请的，应当同时符合下列条件：</w:t>
      </w:r>
    </w:p>
    <w:p w14:paraId="20461232">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（一）已全面纠正重大违法行为并符合下列要求：</w:t>
      </w:r>
    </w:p>
    <w:p w14:paraId="5B559305">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1.公司已就重大信息披露违法行为所涉事项披露补充或更正公告；</w:t>
      </w:r>
    </w:p>
    <w:p w14:paraId="50401D87">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2.对重大违法行为的责任追究已处理完毕；</w:t>
      </w:r>
    </w:p>
    <w:p w14:paraId="36B0D2A5">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3.公司已就重大违法行为所涉事项补充履行相关决策程序；</w:t>
      </w:r>
    </w:p>
    <w:p w14:paraId="4013FA0B">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4.公司控股股东、实际控制人等相关责任主体对公司因重大违法行为发生的损失已作出补偿；</w:t>
      </w:r>
    </w:p>
    <w:p w14:paraId="53EF290F">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5.重大违法行为可能引发的与公司相关的风险因素已消除。</w:t>
      </w:r>
    </w:p>
    <w:p w14:paraId="29C1D2B3">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（二）已撤换下列与重大违法行为有关的责任人员：</w:t>
      </w:r>
    </w:p>
    <w:p w14:paraId="68E9AF18">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1.被人民法院判决有罪的有关人员；</w:t>
      </w:r>
    </w:p>
    <w:p w14:paraId="1B0BB3E0">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2.被相关行政机关行政处罚的有关人员；</w:t>
      </w:r>
    </w:p>
    <w:p w14:paraId="2E04D80F">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3.被相关行政机关依法移送公安机关立案调查的有关人员；</w:t>
      </w:r>
    </w:p>
    <w:p w14:paraId="539999B6">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4.中国证监会、本所认定的与重大违法行为有关的其他责任人员。</w:t>
      </w:r>
    </w:p>
    <w:p w14:paraId="2C92F887">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（三）已对相关民事赔偿承担做出妥善安排并符合下列要求：</w:t>
      </w:r>
    </w:p>
    <w:p w14:paraId="70A263E2">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1.相关赔偿事项已由人民法院作出判决的，该判决已执行完毕；</w:t>
      </w:r>
    </w:p>
    <w:p w14:paraId="4C8CA0A7">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2.相关赔偿事项未由人民法院作出判决，但已达成和解的，该和解协议已执行完毕；</w:t>
      </w:r>
    </w:p>
    <w:p w14:paraId="412E2576">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3.相关赔偿事项未由人民法院作出判决，且也未达成和解的，公司及相关责任主体已按预计最高索赔金额计提赔偿基金，并将足额资金划入专项账户，且公司的控股股东和实际控制人已承诺：若赔偿基金不足赔付，其将予以补足。</w:t>
      </w:r>
    </w:p>
    <w:p w14:paraId="33A4461A">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（四）不存在本规则规定的终止上市情形。</w:t>
      </w:r>
    </w:p>
    <w:p w14:paraId="5350EFBD">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（五）公司聘请的再次上市保荐机构、律师事务所已对前述4项条件所述情况进行核查验证，并出具专项核查意见，明确认定公司已完全符合前述4项条件。</w:t>
      </w:r>
    </w:p>
    <w:p w14:paraId="7E1C8533">
      <w:pPr>
        <w:pStyle w:val="34"/>
        <w:numPr>
          <w:ilvl w:val="0"/>
          <w:numId w:val="55"/>
        </w:numPr>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sz w:val="32"/>
          <w:szCs w:val="32"/>
        </w:rPr>
        <w:t>上市公司股票被强制终止上市后，公司不配合退市相关工作，或者未按本规则的规定履行相关义务的，本所自其股票进入全国中小企业股份转让系统等证券交易场所转让之日起36个月内不受理其再次上市申请。</w:t>
      </w:r>
    </w:p>
    <w:p w14:paraId="256B5BEE">
      <w:pPr>
        <w:pStyle w:val="34"/>
        <w:numPr>
          <w:ilvl w:val="0"/>
          <w:numId w:val="55"/>
        </w:numPr>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sz w:val="32"/>
          <w:szCs w:val="32"/>
        </w:rPr>
        <w:t>上市公司主动退市的，可以随时向本所提出再次上市申请。</w:t>
      </w:r>
    </w:p>
    <w:p w14:paraId="631F867F">
      <w:pPr>
        <w:pStyle w:val="34"/>
        <w:numPr>
          <w:ilvl w:val="0"/>
          <w:numId w:val="55"/>
        </w:numPr>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sz w:val="32"/>
          <w:szCs w:val="32"/>
        </w:rPr>
        <w:t>退市公司申请再次上市，应当按照中国证监会、本所有关规定制作申请文件，依法由保荐机构保荐并向本所申报。本所审核部门负责审核退市公司再次上市申请。</w:t>
      </w:r>
    </w:p>
    <w:p w14:paraId="1633F5C9">
      <w:pPr>
        <w:pStyle w:val="34"/>
        <w:numPr>
          <w:ilvl w:val="0"/>
          <w:numId w:val="55"/>
        </w:numPr>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sz w:val="32"/>
          <w:szCs w:val="32"/>
        </w:rPr>
        <w:t>再次上市的其他事宜，由本所另行规定。</w:t>
      </w:r>
    </w:p>
    <w:p w14:paraId="170F7E2C">
      <w:pPr>
        <w:tabs>
          <w:tab w:val="left" w:pos="1560"/>
        </w:tabs>
        <w:snapToGrid w:val="0"/>
        <w:spacing w:line="560" w:lineRule="exact"/>
        <w:rPr>
          <w:rFonts w:hint="eastAsia" w:ascii="仿宋_GB2312" w:hAnsi="黑体" w:eastAsia="仿宋_GB2312"/>
          <w:sz w:val="32"/>
          <w:szCs w:val="32"/>
        </w:rPr>
      </w:pPr>
    </w:p>
    <w:p w14:paraId="7345C10D">
      <w:pPr>
        <w:pStyle w:val="38"/>
        <w:numPr>
          <w:ilvl w:val="0"/>
          <w:numId w:val="1"/>
        </w:numPr>
        <w:tabs>
          <w:tab w:val="clear" w:pos="992"/>
        </w:tabs>
        <w:ind w:left="0" w:firstLine="643"/>
        <w:rPr>
          <w:rFonts w:hint="eastAsia"/>
          <w:b/>
        </w:rPr>
      </w:pPr>
      <w:bookmarkStart w:id="1119" w:name="_Toc170284262"/>
      <w:bookmarkStart w:id="1120" w:name="_Toc25622"/>
      <w:bookmarkStart w:id="1121" w:name="_Toc30337"/>
      <w:r>
        <w:rPr>
          <w:rFonts w:hint="eastAsia"/>
          <w:b/>
        </w:rPr>
        <w:t>红筹企业和境内外事项的协调</w:t>
      </w:r>
      <w:bookmarkEnd w:id="1119"/>
      <w:bookmarkEnd w:id="1120"/>
      <w:bookmarkEnd w:id="1121"/>
    </w:p>
    <w:p w14:paraId="6D5A6EB6">
      <w:pPr>
        <w:pStyle w:val="36"/>
        <w:numPr>
          <w:ilvl w:val="1"/>
          <w:numId w:val="1"/>
        </w:numPr>
        <w:ind w:left="0" w:firstLine="643"/>
        <w:rPr>
          <w:rFonts w:hint="eastAsia"/>
        </w:rPr>
      </w:pPr>
      <w:bookmarkStart w:id="1122" w:name="_Toc170284263"/>
      <w:bookmarkStart w:id="1123" w:name="_Toc26464"/>
      <w:bookmarkStart w:id="1124" w:name="_Toc31861"/>
      <w:r>
        <w:rPr>
          <w:rFonts w:hint="eastAsia"/>
        </w:rPr>
        <w:t>红筹企业特别规定</w:t>
      </w:r>
      <w:bookmarkEnd w:id="1122"/>
      <w:bookmarkEnd w:id="1123"/>
      <w:bookmarkEnd w:id="1124"/>
    </w:p>
    <w:p w14:paraId="6E6F7F33">
      <w:pPr>
        <w:pStyle w:val="34"/>
        <w:numPr>
          <w:ilvl w:val="0"/>
          <w:numId w:val="56"/>
        </w:numPr>
        <w:spacing w:line="560" w:lineRule="exact"/>
        <w:ind w:left="0" w:firstLine="640"/>
        <w:rPr>
          <w:rFonts w:ascii="仿宋_GB2312" w:cs="仿宋_GB2312"/>
          <w:sz w:val="32"/>
          <w:szCs w:val="32"/>
          <w:lang w:val="zh-CN"/>
        </w:rPr>
      </w:pPr>
      <w:r>
        <w:rPr>
          <w:rFonts w:hint="eastAsia" w:ascii="仿宋_GB2312" w:cs="仿宋_GB2312"/>
          <w:sz w:val="32"/>
          <w:szCs w:val="32"/>
          <w:lang w:val="zh-CN"/>
        </w:rPr>
        <w:t>红筹企业申请发行股票或者存托凭证并在科创板上市的，适用中国证监会、本所关于发行上市审核注册程序的规定。</w:t>
      </w:r>
    </w:p>
    <w:p w14:paraId="4C3BA74D">
      <w:pPr>
        <w:pStyle w:val="34"/>
        <w:numPr>
          <w:ilvl w:val="0"/>
          <w:numId w:val="56"/>
        </w:numPr>
        <w:spacing w:line="560" w:lineRule="exact"/>
        <w:ind w:left="0" w:firstLine="640"/>
        <w:rPr>
          <w:rFonts w:ascii="仿宋_GB2312" w:cs="仿宋_GB2312"/>
          <w:sz w:val="32"/>
          <w:szCs w:val="32"/>
          <w:lang w:val="zh-CN"/>
        </w:rPr>
      </w:pPr>
      <w:r>
        <w:rPr>
          <w:rFonts w:hint="eastAsia" w:ascii="仿宋_GB2312" w:cs="仿宋_GB2312"/>
          <w:sz w:val="32"/>
          <w:szCs w:val="32"/>
          <w:lang w:val="zh-CN"/>
        </w:rPr>
        <w:t>红筹企业申请其在境内首次公开发行的股票上市的，应当根据《上海证券交易所科创板股票发行上市审核规则》的规定，取得本所出具的同意发行上市审核意见并</w:t>
      </w:r>
      <w:r>
        <w:rPr>
          <w:rFonts w:hint="eastAsia" w:ascii="仿宋_GB2312" w:hAnsi="宋体"/>
          <w:sz w:val="32"/>
          <w:szCs w:val="32"/>
        </w:rPr>
        <w:t>由中国证监会作出同意注册决定</w:t>
      </w:r>
      <w:r>
        <w:rPr>
          <w:rFonts w:hint="eastAsia" w:ascii="仿宋_GB2312" w:cs="仿宋_GB2312"/>
          <w:sz w:val="32"/>
          <w:szCs w:val="32"/>
          <w:lang w:val="zh-CN"/>
        </w:rPr>
        <w:t>。</w:t>
      </w:r>
    </w:p>
    <w:p w14:paraId="6A7B02D5">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红筹企业在境内发行存托凭证并上市的，还应当提交本次发行的存托凭证已经中国结算存管的证明文件、经签署的存托协议、托管协议文本以及托管人出具的存托凭证所对应基础证券的托管凭证等文件。</w:t>
      </w:r>
    </w:p>
    <w:p w14:paraId="44301E38">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根据公司注册地公司法等法律法规和公司章程或者章程性文件（以下简称公司章程）规定，红筹企业无需就本次境内发行上市事宜提交股东会审议的，其申请上市时可以不提交股东会决议，但应当提交相关董事会决议。</w:t>
      </w:r>
    </w:p>
    <w:p w14:paraId="47D398E6">
      <w:pPr>
        <w:pStyle w:val="34"/>
        <w:numPr>
          <w:ilvl w:val="0"/>
          <w:numId w:val="56"/>
        </w:numPr>
        <w:spacing w:line="560" w:lineRule="exact"/>
        <w:ind w:left="0" w:firstLine="640"/>
        <w:rPr>
          <w:rFonts w:ascii="仿宋_GB2312" w:cs="仿宋_GB2312"/>
          <w:sz w:val="32"/>
          <w:szCs w:val="32"/>
          <w:lang w:val="zh-CN"/>
        </w:rPr>
      </w:pPr>
      <w:r>
        <w:rPr>
          <w:rFonts w:hint="eastAsia" w:ascii="仿宋_GB2312" w:hAnsi="Arial Unicode MS" w:cs="Arial Unicode MS"/>
          <w:sz w:val="32"/>
          <w:szCs w:val="32"/>
        </w:rPr>
        <w:t>红筹企业在境内发行股票或者存托凭证并在本所科创板上市，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14:paraId="5D9D3DDC">
      <w:pPr>
        <w:pStyle w:val="34"/>
        <w:numPr>
          <w:ilvl w:val="0"/>
          <w:numId w:val="56"/>
        </w:numPr>
        <w:spacing w:line="560" w:lineRule="exact"/>
        <w:ind w:left="0" w:firstLine="640"/>
        <w:rPr>
          <w:rFonts w:hint="eastAsia" w:ascii="仿宋_GB2312" w:hAnsi="Arial Unicode MS" w:cs="Arial Unicode MS"/>
          <w:sz w:val="32"/>
          <w:szCs w:val="32"/>
        </w:rPr>
      </w:pPr>
      <w:r>
        <w:rPr>
          <w:rFonts w:hint="eastAsia" w:ascii="仿宋_GB2312" w:hAnsi="Arial Unicode MS" w:cs="Arial Unicode MS"/>
          <w:sz w:val="32"/>
          <w:szCs w:val="32"/>
        </w:rPr>
        <w:t>红筹企业提交的上市申请文件和持续信息披露文件，应当使用中文。</w:t>
      </w:r>
    </w:p>
    <w:p w14:paraId="222E5A36">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红筹企业和相关信息披露义务人应当按照中国证监会和本所规定，</w:t>
      </w:r>
      <w:r>
        <w:rPr>
          <w:rFonts w:ascii="仿宋_GB2312" w:hAnsi="Arial Unicode MS" w:eastAsia="仿宋_GB2312" w:cs="Arial Unicode MS"/>
          <w:bCs/>
          <w:sz w:val="32"/>
          <w:szCs w:val="32"/>
        </w:rPr>
        <w:t>在</w:t>
      </w:r>
      <w:r>
        <w:rPr>
          <w:rFonts w:hint="eastAsia" w:ascii="仿宋_GB2312" w:hAnsi="Arial Unicode MS" w:eastAsia="仿宋_GB2312" w:cs="Arial Unicode MS"/>
          <w:bCs/>
          <w:sz w:val="32"/>
          <w:szCs w:val="32"/>
        </w:rPr>
        <w:t>符合条件的媒体</w:t>
      </w:r>
      <w:r>
        <w:rPr>
          <w:rFonts w:hint="eastAsia" w:ascii="仿宋_GB2312" w:hAnsi="Arial Unicode MS" w:eastAsia="仿宋_GB2312" w:cs="Arial Unicode MS"/>
          <w:sz w:val="32"/>
          <w:szCs w:val="32"/>
        </w:rPr>
        <w:t>披露上市和持续信息披露文件。</w:t>
      </w:r>
    </w:p>
    <w:p w14:paraId="5D20B377">
      <w:pPr>
        <w:pStyle w:val="34"/>
        <w:numPr>
          <w:ilvl w:val="0"/>
          <w:numId w:val="56"/>
        </w:numPr>
        <w:spacing w:line="560" w:lineRule="exact"/>
        <w:ind w:left="0" w:firstLine="640"/>
        <w:rPr>
          <w:rFonts w:hint="eastAsia" w:ascii="仿宋_GB2312" w:hAnsi="Arial Unicode MS" w:cs="Arial Unicode MS"/>
          <w:sz w:val="32"/>
          <w:szCs w:val="32"/>
        </w:rPr>
      </w:pPr>
      <w:r>
        <w:rPr>
          <w:rFonts w:hint="eastAsia" w:ascii="仿宋_GB2312" w:hAnsi="Arial Unicode MS" w:cs="Arial Unicode MS"/>
          <w:sz w:val="32"/>
          <w:szCs w:val="32"/>
        </w:rPr>
        <w:t>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14:paraId="11A8EB68">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红筹企业应当建立与境内投资者、监管机构及本所的有效沟通渠道，按照规定保障境内投资者的合法权益，保持与境内监管机构及本所的畅通联系。</w:t>
      </w:r>
    </w:p>
    <w:p w14:paraId="63DF34BF">
      <w:pPr>
        <w:pStyle w:val="34"/>
        <w:numPr>
          <w:ilvl w:val="0"/>
          <w:numId w:val="56"/>
        </w:numPr>
        <w:spacing w:line="560" w:lineRule="exact"/>
        <w:ind w:left="0" w:firstLine="640"/>
        <w:rPr>
          <w:rFonts w:ascii="仿宋_GB2312" w:cs="仿宋_GB2312"/>
          <w:sz w:val="32"/>
          <w:szCs w:val="32"/>
          <w:lang w:val="zh-CN"/>
        </w:rPr>
      </w:pPr>
      <w:r>
        <w:rPr>
          <w:rFonts w:hint="eastAsia" w:ascii="仿宋_GB2312" w:cs="仿宋_GB2312"/>
          <w:sz w:val="32"/>
          <w:szCs w:val="32"/>
          <w:lang w:val="zh-CN"/>
        </w:rPr>
        <w:t>红筹企业具有协议控制架构或者类似特殊安排的，应当充分、详细披露相关情况，特别是风险、公司治理等信息，以及依法落实保护投资者合法权益规定的各项措施。</w:t>
      </w:r>
    </w:p>
    <w:p w14:paraId="6299329F">
      <w:pPr>
        <w:spacing w:line="560" w:lineRule="exact"/>
        <w:ind w:firstLine="640" w:firstLineChars="200"/>
        <w:rPr>
          <w:rFonts w:ascii="仿宋_GB2312" w:eastAsia="仿宋_GB2312"/>
          <w:sz w:val="32"/>
          <w:szCs w:val="32"/>
        </w:rPr>
      </w:pPr>
      <w:r>
        <w:rPr>
          <w:rFonts w:hint="eastAsia" w:ascii="仿宋_GB2312" w:eastAsia="仿宋_GB2312"/>
          <w:sz w:val="32"/>
          <w:szCs w:val="32"/>
        </w:rPr>
        <w:t>红筹企业应当在年度报告中披露</w:t>
      </w:r>
      <w:r>
        <w:rPr>
          <w:rFonts w:hint="eastAsia" w:ascii="仿宋_GB2312" w:eastAsia="仿宋_GB2312" w:cs="仿宋_GB2312"/>
          <w:sz w:val="32"/>
          <w:szCs w:val="32"/>
          <w:lang w:val="zh-CN"/>
        </w:rPr>
        <w:t>协议控制架构或者类似特殊安排</w:t>
      </w:r>
      <w:r>
        <w:rPr>
          <w:rFonts w:hint="eastAsia" w:ascii="仿宋_GB2312" w:eastAsia="仿宋_GB2312"/>
          <w:sz w:val="32"/>
          <w:szCs w:val="32"/>
        </w:rPr>
        <w:t>在报告期内的实施和变化情况，以及该等安排下保护境内投资者合法权益有关措施的实施情况。</w:t>
      </w:r>
    </w:p>
    <w:p w14:paraId="179B5CCB">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仿宋" w:eastAsia="仿宋_GB2312"/>
          <w:sz w:val="32"/>
          <w:szCs w:val="32"/>
        </w:rPr>
        <w:t>前款规定事项出现重大变化或者调整，可能对公司股票、存托凭证交易价格产生较大影响的，公司和相关信息披露义务人应当及时予以披露。</w:t>
      </w:r>
    </w:p>
    <w:p w14:paraId="6BA481BD">
      <w:pPr>
        <w:pStyle w:val="34"/>
        <w:numPr>
          <w:ilvl w:val="0"/>
          <w:numId w:val="56"/>
        </w:numPr>
        <w:spacing w:line="560" w:lineRule="exact"/>
        <w:ind w:left="0" w:firstLine="640"/>
        <w:rPr>
          <w:rFonts w:hint="eastAsia" w:ascii="仿宋_GB2312" w:hAnsi="Arial Unicode MS" w:cs="Arial Unicode MS"/>
          <w:sz w:val="32"/>
          <w:szCs w:val="32"/>
        </w:rPr>
      </w:pPr>
      <w:r>
        <w:rPr>
          <w:rFonts w:hint="eastAsia" w:ascii="仿宋_GB2312" w:hAnsi="Arial Unicode MS" w:cs="Arial Unicode MS"/>
          <w:sz w:val="32"/>
          <w:szCs w:val="32"/>
        </w:rPr>
        <w:t>红筹企业进行本规则规定需提交股东会审议的重大交易、关联交易等事项，可以按照其已披露的境外注册地公司法等法律法规和公司章程规定的权限和程序执行，法律法规另有规定的除外。</w:t>
      </w:r>
    </w:p>
    <w:p w14:paraId="51F5537F">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公司按照前款规定将相关事项提交股东会审议的，应当及时予以披露。</w:t>
      </w:r>
    </w:p>
    <w:p w14:paraId="7C678463">
      <w:pPr>
        <w:pStyle w:val="34"/>
        <w:numPr>
          <w:ilvl w:val="0"/>
          <w:numId w:val="56"/>
        </w:numPr>
        <w:spacing w:line="560" w:lineRule="exact"/>
        <w:ind w:left="0" w:firstLine="640"/>
        <w:rPr>
          <w:rFonts w:hint="eastAsia" w:ascii="仿宋_GB2312" w:hAnsi="Arial Unicode MS" w:cs="Arial Unicode MS"/>
          <w:sz w:val="32"/>
          <w:szCs w:val="32"/>
        </w:rPr>
      </w:pPr>
      <w:r>
        <w:rPr>
          <w:rFonts w:hint="eastAsia" w:ascii="仿宋_GB2312" w:hAnsi="Arial Unicode MS" w:cs="Arial Unicode MS"/>
          <w:sz w:val="32"/>
          <w:szCs w:val="32"/>
        </w:rPr>
        <w:t>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14:paraId="10BA9254">
      <w:pPr>
        <w:pStyle w:val="34"/>
        <w:numPr>
          <w:ilvl w:val="0"/>
          <w:numId w:val="56"/>
        </w:numPr>
        <w:spacing w:line="560" w:lineRule="exact"/>
        <w:ind w:left="0" w:firstLine="640"/>
        <w:rPr>
          <w:rFonts w:hint="eastAsia" w:ascii="仿宋_GB2312" w:hAnsi="Arial Unicode MS" w:cs="Arial Unicode MS"/>
          <w:sz w:val="32"/>
          <w:szCs w:val="32"/>
        </w:rPr>
      </w:pPr>
      <w:r>
        <w:rPr>
          <w:rFonts w:hint="eastAsia" w:ascii="仿宋_GB2312" w:hAnsi="Arial Unicode MS" w:cs="Arial Unicode MS"/>
          <w:sz w:val="32"/>
          <w:szCs w:val="32"/>
        </w:rPr>
        <w:t>红筹企业在本所上市存托凭证的，应当在年度报告和中期报告中披露存托、托管相关安排在报告期内的实施和变化情况以及报告期末前10名境内存托凭证持有人的名单和持有量。发生下列情形之一的，公司应当及时披露：</w:t>
      </w:r>
    </w:p>
    <w:p w14:paraId="760F0301">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（一）存托人、托管人发生变化；</w:t>
      </w:r>
    </w:p>
    <w:p w14:paraId="00A316FF">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（二）存托的基础财产发生被质押、挪用、司法冻结或者其他权属变化；</w:t>
      </w:r>
    </w:p>
    <w:p w14:paraId="537A5399">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（三）对存托协议、托管协议作出重大修改；</w:t>
      </w:r>
    </w:p>
    <w:p w14:paraId="3A048267">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（四）存托凭证与基础证券的转换比例发生变动；</w:t>
      </w:r>
    </w:p>
    <w:p w14:paraId="5DE0522D">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（五）中国证监会和本所要求披露的其他情形。</w:t>
      </w:r>
    </w:p>
    <w:p w14:paraId="07E8D8A3">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红筹企业变更存托凭证与基础证券的转换比例的，应当经本所同意。</w:t>
      </w:r>
    </w:p>
    <w:p w14:paraId="55A5088C">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发生第一款第一项、第二项规定的情形，或者托管协议发生重大修改的，存托人应当及时告知红筹企业，公司应当及时进行披露。</w:t>
      </w:r>
    </w:p>
    <w:p w14:paraId="3014AB83">
      <w:pPr>
        <w:pStyle w:val="34"/>
        <w:numPr>
          <w:ilvl w:val="0"/>
          <w:numId w:val="56"/>
        </w:numPr>
        <w:spacing w:line="560" w:lineRule="exact"/>
        <w:ind w:left="0" w:firstLine="640"/>
        <w:rPr>
          <w:rFonts w:hint="eastAsia" w:ascii="仿宋_GB2312" w:hAnsi="Arial Unicode MS" w:cs="Arial Unicode MS"/>
          <w:sz w:val="32"/>
          <w:szCs w:val="32"/>
        </w:rPr>
      </w:pPr>
      <w:r>
        <w:rPr>
          <w:rFonts w:hint="eastAsia" w:ascii="仿宋_GB2312" w:hAnsi="Arial Unicode MS" w:cs="Arial Unicode MS"/>
          <w:sz w:val="32"/>
          <w:szCs w:val="32"/>
        </w:rPr>
        <w:t>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14:paraId="7905FA3A">
      <w:pPr>
        <w:spacing w:line="560" w:lineRule="exact"/>
        <w:ind w:firstLine="640" w:firstLineChars="200"/>
        <w:rPr>
          <w:rFonts w:ascii="楷体_GB2312" w:eastAsia="楷体_GB2312"/>
          <w:sz w:val="32"/>
          <w:szCs w:val="32"/>
        </w:rPr>
      </w:pPr>
      <w:r>
        <w:rPr>
          <w:rFonts w:hint="eastAsia" w:ascii="仿宋_GB2312" w:hAnsi="Arial Unicode MS" w:eastAsia="仿宋_GB2312" w:cs="Arial Unicode MS"/>
          <w:sz w:val="32"/>
          <w:szCs w:val="32"/>
        </w:rPr>
        <w:t>公司、存托人通过本所或者本所子公司提供的网络系统征集存托凭证持有人投票意愿的，具体业务流程按照本所相关规定或者业务协议的约定办理，并由公司或者存托人按照存托协议的约定向市场公告。</w:t>
      </w:r>
    </w:p>
    <w:p w14:paraId="3E9D1A1B">
      <w:pPr>
        <w:pStyle w:val="34"/>
        <w:numPr>
          <w:ilvl w:val="0"/>
          <w:numId w:val="56"/>
        </w:numPr>
        <w:spacing w:line="560" w:lineRule="exact"/>
        <w:ind w:left="0" w:firstLine="640"/>
        <w:rPr>
          <w:rFonts w:hint="eastAsia" w:ascii="仿宋_GB2312" w:hAnsi="Arial Unicode MS" w:cs="Arial Unicode MS"/>
          <w:sz w:val="32"/>
          <w:szCs w:val="32"/>
        </w:rPr>
      </w:pPr>
      <w:r>
        <w:rPr>
          <w:rFonts w:hint="eastAsia" w:ascii="仿宋_GB2312" w:cs="仿宋_GB2312"/>
          <w:sz w:val="32"/>
          <w:szCs w:val="32"/>
          <w:lang w:val="zh-CN"/>
        </w:rPr>
        <w:t>红筹企业和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和相关信息披露义务人应当执行本规则相关规定。</w:t>
      </w:r>
    </w:p>
    <w:p w14:paraId="51867B34">
      <w:pPr>
        <w:pStyle w:val="36"/>
        <w:numPr>
          <w:ilvl w:val="1"/>
          <w:numId w:val="1"/>
        </w:numPr>
        <w:ind w:left="0" w:firstLine="643"/>
        <w:rPr>
          <w:rFonts w:hint="eastAsia"/>
        </w:rPr>
      </w:pPr>
      <w:bookmarkStart w:id="1125" w:name="_Toc531602011"/>
      <w:bookmarkEnd w:id="1125"/>
      <w:bookmarkStart w:id="1126" w:name="_Toc531600912"/>
      <w:bookmarkEnd w:id="1126"/>
      <w:bookmarkStart w:id="1127" w:name="_Toc531551669"/>
      <w:bookmarkEnd w:id="1127"/>
      <w:bookmarkStart w:id="1128" w:name="_Toc531600911"/>
      <w:bookmarkEnd w:id="1128"/>
      <w:bookmarkStart w:id="1129" w:name="_Toc531602012"/>
      <w:bookmarkEnd w:id="1129"/>
      <w:bookmarkStart w:id="1130" w:name="_Toc531551668"/>
      <w:bookmarkEnd w:id="1130"/>
      <w:bookmarkStart w:id="1131" w:name="_Toc170284264"/>
      <w:bookmarkStart w:id="1132" w:name="_Toc20416"/>
      <w:bookmarkStart w:id="1133" w:name="_Toc25618"/>
      <w:r>
        <w:rPr>
          <w:rFonts w:hint="eastAsia"/>
        </w:rPr>
        <w:t>境内外事项的协调</w:t>
      </w:r>
      <w:bookmarkEnd w:id="1131"/>
      <w:bookmarkEnd w:id="1132"/>
      <w:bookmarkEnd w:id="1133"/>
    </w:p>
    <w:p w14:paraId="2327F6D1">
      <w:pPr>
        <w:pStyle w:val="34"/>
        <w:numPr>
          <w:ilvl w:val="0"/>
          <w:numId w:val="57"/>
        </w:numPr>
        <w:spacing w:line="560" w:lineRule="exact"/>
        <w:ind w:left="0" w:firstLine="640"/>
        <w:rPr>
          <w:rFonts w:hint="eastAsia" w:ascii="仿宋_GB2312" w:hAnsi="Arial Unicode MS" w:cs="Arial Unicode MS"/>
          <w:sz w:val="32"/>
          <w:szCs w:val="32"/>
        </w:rPr>
      </w:pPr>
      <w:r>
        <w:rPr>
          <w:rFonts w:hint="eastAsia" w:ascii="仿宋_GB2312" w:hAnsi="Arial Unicode MS" w:cs="Arial Unicode MS"/>
          <w:sz w:val="32"/>
          <w:szCs w:val="32"/>
        </w:rPr>
        <w:t>在本所上市的公司同时有证券在境外证券交易所上市的，应当保证将境外证券交易所要求披露的信息，及时向本所报告，并同时在</w:t>
      </w:r>
      <w:r>
        <w:rPr>
          <w:rFonts w:hint="eastAsia" w:ascii="仿宋_GB2312" w:hAnsi="Arial Unicode MS" w:cs="Arial Unicode MS"/>
          <w:bCs/>
          <w:sz w:val="32"/>
          <w:szCs w:val="32"/>
        </w:rPr>
        <w:t>符合条件的</w:t>
      </w:r>
      <w:r>
        <w:rPr>
          <w:rFonts w:hint="eastAsia" w:ascii="仿宋_GB2312" w:hAnsi="Arial Unicode MS" w:cs="Arial Unicode MS"/>
          <w:sz w:val="32"/>
          <w:szCs w:val="32"/>
        </w:rPr>
        <w:t>媒体上按照本规则规定披露。</w:t>
      </w:r>
    </w:p>
    <w:p w14:paraId="022C8311">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公司及相关信息披露义务人在境外市场进行信息披露时，不在本所规定的信息披露时段内的，应当在本所最近一个信息披露时段内披露。</w:t>
      </w:r>
    </w:p>
    <w:p w14:paraId="4D064CDE">
      <w:pPr>
        <w:pStyle w:val="34"/>
        <w:numPr>
          <w:ilvl w:val="0"/>
          <w:numId w:val="57"/>
        </w:numPr>
        <w:spacing w:line="560" w:lineRule="exact"/>
        <w:ind w:left="0" w:firstLine="640"/>
        <w:rPr>
          <w:rFonts w:hint="eastAsia" w:ascii="仿宋_GB2312" w:hAnsi="Arial Unicode MS" w:cs="Arial Unicode MS"/>
          <w:sz w:val="32"/>
          <w:szCs w:val="32"/>
        </w:rPr>
      </w:pPr>
      <w:r>
        <w:rPr>
          <w:rFonts w:hint="eastAsia" w:ascii="仿宋_GB2312" w:hAnsi="Arial Unicode MS" w:cs="Arial Unicode MS"/>
          <w:sz w:val="32"/>
          <w:szCs w:val="32"/>
        </w:rPr>
        <w:t>上市公司就同一事件向境外证券交易所提供的报告和公告应当与向本所提供的内容一致。出现重大差异时，公司应当向本所作出专项说明，并按照本所要求披露更正或补充公告。</w:t>
      </w:r>
    </w:p>
    <w:p w14:paraId="56D2D578">
      <w:pPr>
        <w:pStyle w:val="34"/>
        <w:numPr>
          <w:ilvl w:val="0"/>
          <w:numId w:val="57"/>
        </w:numPr>
        <w:spacing w:line="560" w:lineRule="exact"/>
        <w:ind w:left="0" w:firstLine="640"/>
        <w:rPr>
          <w:rFonts w:ascii="仿宋_GB2312"/>
          <w:sz w:val="32"/>
          <w:szCs w:val="32"/>
        </w:rPr>
      </w:pPr>
      <w:r>
        <w:rPr>
          <w:rFonts w:hint="eastAsia" w:ascii="仿宋_GB2312" w:hAnsi="Arial Unicode MS" w:cs="Arial Unicode MS"/>
          <w:sz w:val="32"/>
          <w:szCs w:val="32"/>
        </w:rPr>
        <w:t>上市公司股票及其衍生品种被境外证券交易所停牌的，应当及时向本所报告停牌的事项和原因，并提交是否需要向本所申请停牌的书面说明。</w:t>
      </w:r>
    </w:p>
    <w:p w14:paraId="02B18408">
      <w:pPr>
        <w:pStyle w:val="34"/>
        <w:numPr>
          <w:ilvl w:val="0"/>
          <w:numId w:val="57"/>
        </w:numPr>
        <w:spacing w:line="560" w:lineRule="exact"/>
        <w:ind w:left="0" w:firstLine="640"/>
        <w:rPr>
          <w:rFonts w:hint="eastAsia" w:ascii="仿宋_GB2312" w:hAnsi="黑体"/>
          <w:sz w:val="32"/>
          <w:szCs w:val="32"/>
        </w:rPr>
      </w:pPr>
      <w:r>
        <w:rPr>
          <w:rFonts w:hint="eastAsia" w:ascii="仿宋_GB2312" w:hAnsi="黑体"/>
          <w:sz w:val="32"/>
          <w:szCs w:val="32"/>
        </w:rPr>
        <w:t>本章未尽事宜，适用有关法律法规和本所与其他证券交易所签署的监管合作备忘录以及其他相关规定。</w:t>
      </w:r>
    </w:p>
    <w:p w14:paraId="3818D5A4">
      <w:pPr>
        <w:spacing w:line="560" w:lineRule="exact"/>
        <w:rPr>
          <w:rFonts w:hint="eastAsia" w:ascii="仿宋_GB2312" w:hAnsi="黑体" w:eastAsia="仿宋_GB2312"/>
          <w:sz w:val="32"/>
          <w:szCs w:val="32"/>
        </w:rPr>
      </w:pPr>
    </w:p>
    <w:p w14:paraId="661F98DE">
      <w:pPr>
        <w:pStyle w:val="38"/>
        <w:numPr>
          <w:ilvl w:val="0"/>
          <w:numId w:val="1"/>
        </w:numPr>
        <w:tabs>
          <w:tab w:val="clear" w:pos="992"/>
        </w:tabs>
        <w:ind w:left="0" w:firstLine="643"/>
        <w:rPr>
          <w:rFonts w:hint="eastAsia"/>
          <w:b/>
        </w:rPr>
      </w:pPr>
      <w:bookmarkStart w:id="1134" w:name="_Toc8980"/>
      <w:bookmarkStart w:id="1135" w:name="_Toc441"/>
      <w:bookmarkStart w:id="1136" w:name="_Toc170284265"/>
      <w:r>
        <w:rPr>
          <w:rFonts w:hint="eastAsia"/>
          <w:b/>
        </w:rPr>
        <w:t>日常监管和违反本规则的处理</w:t>
      </w:r>
      <w:bookmarkEnd w:id="1134"/>
      <w:bookmarkEnd w:id="1135"/>
      <w:bookmarkEnd w:id="1136"/>
    </w:p>
    <w:p w14:paraId="2F99CF76">
      <w:pPr>
        <w:pStyle w:val="36"/>
        <w:numPr>
          <w:ilvl w:val="1"/>
          <w:numId w:val="1"/>
        </w:numPr>
        <w:ind w:left="0" w:firstLine="643"/>
        <w:rPr>
          <w:rFonts w:hint="eastAsia"/>
        </w:rPr>
      </w:pPr>
      <w:bookmarkStart w:id="1137" w:name="_Toc6702"/>
      <w:bookmarkStart w:id="1138" w:name="_Toc10365"/>
      <w:bookmarkStart w:id="1139" w:name="_Toc170284266"/>
      <w:r>
        <w:rPr>
          <w:rFonts w:hint="eastAsia"/>
        </w:rPr>
        <w:t>日常监管</w:t>
      </w:r>
      <w:bookmarkEnd w:id="1137"/>
      <w:bookmarkEnd w:id="1138"/>
      <w:bookmarkEnd w:id="1139"/>
    </w:p>
    <w:p w14:paraId="0DEFA425">
      <w:pPr>
        <w:numPr>
          <w:ilvl w:val="2"/>
          <w:numId w:val="58"/>
        </w:numPr>
        <w:tabs>
          <w:tab w:val="left" w:pos="0"/>
          <w:tab w:val="left" w:pos="1560"/>
          <w:tab w:val="clear" w:pos="1418"/>
        </w:tabs>
        <w:snapToGrid w:val="0"/>
        <w:spacing w:line="560" w:lineRule="exact"/>
        <w:ind w:left="0"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本所可对本规则第1.4条、第1.5条规定的机构及其相关人员（以下统称监管对象），单独或者合并采取下列日常工作措施：</w:t>
      </w:r>
    </w:p>
    <w:p w14:paraId="7B6D5647">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（一）要求对有关问题作出解释和说明；</w:t>
      </w:r>
    </w:p>
    <w:p w14:paraId="31DC9002">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（二）要求提供相关备查文件或材料；</w:t>
      </w:r>
    </w:p>
    <w:p w14:paraId="43BC80DA">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（三）要求聘请保荐机构、相关证券服务机构发表意见；</w:t>
      </w:r>
    </w:p>
    <w:p w14:paraId="193948BB">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（四）约见有关人员；</w:t>
      </w:r>
    </w:p>
    <w:p w14:paraId="64D91176">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（五）调阅、查看工作底稿、证券业务活动记录及相关资料；</w:t>
      </w:r>
    </w:p>
    <w:p w14:paraId="012EA6A4">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（六）发出规范运作建议书；</w:t>
      </w:r>
    </w:p>
    <w:p w14:paraId="6CB7D553">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（七）向中国证监会报告有关情况；</w:t>
      </w:r>
    </w:p>
    <w:p w14:paraId="7B9A275B">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（八）向有关单位通报相关情况；</w:t>
      </w:r>
    </w:p>
    <w:p w14:paraId="276E2DD4">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（九）其他措施。</w:t>
      </w:r>
    </w:p>
    <w:p w14:paraId="49349B2A">
      <w:pPr>
        <w:numPr>
          <w:ilvl w:val="2"/>
          <w:numId w:val="58"/>
        </w:numPr>
        <w:tabs>
          <w:tab w:val="left" w:pos="0"/>
          <w:tab w:val="left" w:pos="1560"/>
          <w:tab w:val="clear" w:pos="1418"/>
        </w:tabs>
        <w:snapToGrid w:val="0"/>
        <w:spacing w:line="560" w:lineRule="exact"/>
        <w:ind w:left="0"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本所可以对上市公司、保荐机构、证券服务机构等主体（以下统称检查对象）进行现场检查，相关主体应当积极配合。</w:t>
      </w:r>
    </w:p>
    <w:p w14:paraId="31B4C779">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前款所述现场检查，是指本所在检查对象的生产、经营、管理场所以及其他相关场所，采取查阅、复制文件和资料、查看实物、谈话及询问等方式，对检查对象的信息披露、公司治理等规范运作情况或者履职情况进行监督检查的行为。</w:t>
      </w:r>
    </w:p>
    <w:p w14:paraId="75D43D93">
      <w:pPr>
        <w:numPr>
          <w:ilvl w:val="2"/>
          <w:numId w:val="58"/>
        </w:numPr>
        <w:tabs>
          <w:tab w:val="left" w:pos="0"/>
          <w:tab w:val="left" w:pos="1560"/>
          <w:tab w:val="clear" w:pos="1418"/>
        </w:tabs>
        <w:snapToGrid w:val="0"/>
        <w:spacing w:line="560" w:lineRule="exact"/>
        <w:ind w:left="0"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本所认为必要的，可以公开对监管对象采取的日常工作措施，上市公司应当按照本所要求及时披露有关事项。</w:t>
      </w:r>
    </w:p>
    <w:p w14:paraId="418C5AB1">
      <w:pPr>
        <w:pStyle w:val="36"/>
        <w:numPr>
          <w:ilvl w:val="1"/>
          <w:numId w:val="1"/>
        </w:numPr>
        <w:ind w:left="0" w:firstLine="643"/>
        <w:rPr>
          <w:rFonts w:hint="eastAsia"/>
        </w:rPr>
      </w:pPr>
      <w:bookmarkStart w:id="1140" w:name="_Toc170284267"/>
      <w:bookmarkStart w:id="1141" w:name="_Toc32123"/>
      <w:bookmarkStart w:id="1142" w:name="_Toc24139"/>
      <w:r>
        <w:rPr>
          <w:rFonts w:hint="eastAsia"/>
        </w:rPr>
        <w:t>违反本规则的处理</w:t>
      </w:r>
      <w:bookmarkEnd w:id="1140"/>
      <w:bookmarkEnd w:id="1141"/>
      <w:bookmarkEnd w:id="1142"/>
    </w:p>
    <w:p w14:paraId="1215E6F6">
      <w:pPr>
        <w:numPr>
          <w:ilvl w:val="2"/>
          <w:numId w:val="59"/>
        </w:numPr>
        <w:tabs>
          <w:tab w:val="left" w:pos="0"/>
          <w:tab w:val="left" w:pos="1560"/>
          <w:tab w:val="left" w:pos="1843"/>
        </w:tabs>
        <w:snapToGrid w:val="0"/>
        <w:spacing w:line="560" w:lineRule="exact"/>
        <w:ind w:left="0"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监管对象违反本规则的，本所可以视情节轻重，对其单独或者合并采取监管措施或者实施纪律处分。</w:t>
      </w:r>
    </w:p>
    <w:p w14:paraId="1DC64860">
      <w:pPr>
        <w:numPr>
          <w:ilvl w:val="2"/>
          <w:numId w:val="59"/>
        </w:numPr>
        <w:tabs>
          <w:tab w:val="left" w:pos="0"/>
          <w:tab w:val="left" w:pos="1560"/>
          <w:tab w:val="left" w:pos="1843"/>
        </w:tabs>
        <w:snapToGrid w:val="0"/>
        <w:spacing w:line="560" w:lineRule="exact"/>
        <w:ind w:left="0"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本所可以根据本规则及本所其他有关规定，视情节轻重对监管对象采取下列监管措施：</w:t>
      </w:r>
    </w:p>
    <w:p w14:paraId="2D43D3DC">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（一）口头警示；</w:t>
      </w:r>
    </w:p>
    <w:p w14:paraId="2C02E4E2">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（二）书面警示；</w:t>
      </w:r>
    </w:p>
    <w:p w14:paraId="4F52F4F1">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（三）监管谈话；</w:t>
      </w:r>
    </w:p>
    <w:p w14:paraId="31DBC411">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（四）要求限期改正；</w:t>
      </w:r>
    </w:p>
    <w:p w14:paraId="21EC6E9B">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（五）要求公开更正、澄清或说明；</w:t>
      </w:r>
    </w:p>
    <w:p w14:paraId="57102FE5">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（六）要求公开致歉；</w:t>
      </w:r>
    </w:p>
    <w:p w14:paraId="664F3DF2">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（七）要求聘请保荐机构、证券服务机构进行核查并发表意见；</w:t>
      </w:r>
    </w:p>
    <w:p w14:paraId="1929BEA3">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（八）要求限期参加培训或考试；</w:t>
      </w:r>
    </w:p>
    <w:p w14:paraId="1568E227">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（九）要求限期召开投资者说明会；</w:t>
      </w:r>
    </w:p>
    <w:p w14:paraId="52B79F93">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（十）要求上市公司董事会追偿损失；</w:t>
      </w:r>
    </w:p>
    <w:p w14:paraId="7290D7C8">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（十一）对未按要求改正的上市公司股票实施停牌；</w:t>
      </w:r>
    </w:p>
    <w:p w14:paraId="7F87A4A7">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（十二）</w:t>
      </w:r>
      <w:r>
        <w:rPr>
          <w:rFonts w:ascii="仿宋_GB2312" w:hAnsi="Arial Unicode MS" w:eastAsia="仿宋_GB2312" w:cs="Arial Unicode MS"/>
          <w:sz w:val="32"/>
          <w:szCs w:val="32"/>
        </w:rPr>
        <w:t>建议上市公司更换相关任职人员</w:t>
      </w:r>
      <w:r>
        <w:rPr>
          <w:rFonts w:hint="eastAsia" w:ascii="仿宋_GB2312" w:hAnsi="Arial Unicode MS" w:eastAsia="仿宋_GB2312" w:cs="Arial Unicode MS"/>
          <w:sz w:val="32"/>
          <w:szCs w:val="32"/>
        </w:rPr>
        <w:t>；</w:t>
      </w:r>
    </w:p>
    <w:p w14:paraId="50CA94EB">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（十三）向相关主管部门出具监管建议函；</w:t>
      </w:r>
    </w:p>
    <w:p w14:paraId="396CECFF">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（十四）本所规定的其他监管措施。</w:t>
      </w:r>
    </w:p>
    <w:p w14:paraId="623FEA60">
      <w:pPr>
        <w:numPr>
          <w:ilvl w:val="2"/>
          <w:numId w:val="59"/>
        </w:numPr>
        <w:tabs>
          <w:tab w:val="left" w:pos="0"/>
          <w:tab w:val="left" w:pos="1560"/>
          <w:tab w:val="left" w:pos="1843"/>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发行人、上市公司、相关信息披露义务人及相关人员未能履行信息披露义务，</w:t>
      </w:r>
      <w:r>
        <w:rPr>
          <w:rFonts w:hint="eastAsia" w:ascii="仿宋_GB2312" w:hAnsi="Arial Unicode MS" w:eastAsia="仿宋_GB2312" w:cs="Arial Unicode MS"/>
          <w:sz w:val="32"/>
          <w:szCs w:val="32"/>
        </w:rPr>
        <w:t>或者信息披露不符合真实、准确、完整、及时、公平要求，或者存在违反本规则、</w:t>
      </w:r>
      <w:r>
        <w:rPr>
          <w:rFonts w:hint="eastAsia" w:ascii="仿宋_GB2312" w:eastAsia="仿宋_GB2312"/>
          <w:sz w:val="32"/>
          <w:szCs w:val="32"/>
        </w:rPr>
        <w:t>向本所作出的承诺的其他情形的，本所可以视情节轻重实施下列纪律处分：</w:t>
      </w:r>
    </w:p>
    <w:p w14:paraId="7BEDC8CA">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（一）通报批评；</w:t>
      </w:r>
    </w:p>
    <w:p w14:paraId="6D6ACC27">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（二）公开谴责；</w:t>
      </w:r>
    </w:p>
    <w:p w14:paraId="5515ACF2">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（三）收取惩罚性违约金。</w:t>
      </w:r>
    </w:p>
    <w:p w14:paraId="2EA9D3C7">
      <w:pPr>
        <w:numPr>
          <w:ilvl w:val="2"/>
          <w:numId w:val="59"/>
        </w:numPr>
        <w:tabs>
          <w:tab w:val="left" w:pos="0"/>
          <w:tab w:val="left" w:pos="1560"/>
          <w:tab w:val="left" w:pos="1843"/>
        </w:tabs>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上市公司控股股东、实际控制人存在下列情形之一的，本所</w:t>
      </w:r>
      <w:r>
        <w:rPr>
          <w:rFonts w:hint="eastAsia" w:ascii="仿宋_GB2312" w:eastAsia="仿宋_GB2312"/>
          <w:sz w:val="32"/>
          <w:szCs w:val="32"/>
        </w:rPr>
        <w:t>可以视情节轻重实施第14.2.5条规定的纪律处分：</w:t>
      </w:r>
    </w:p>
    <w:p w14:paraId="2D8A6288">
      <w:pPr>
        <w:tabs>
          <w:tab w:val="left" w:pos="1560"/>
          <w:tab w:val="left" w:pos="1986"/>
        </w:tabs>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（一）拒不履行或者拒不配合上市公司履行信息披露义务；</w:t>
      </w:r>
    </w:p>
    <w:p w14:paraId="0F59E3C0">
      <w:pPr>
        <w:tabs>
          <w:tab w:val="left" w:pos="1560"/>
          <w:tab w:val="left" w:pos="1986"/>
        </w:tabs>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（二）违反法律法规、本规则及本所其他规定、公司章程，直接或间接干预公司决策和经营活动；</w:t>
      </w:r>
    </w:p>
    <w:p w14:paraId="75A3E3D5">
      <w:pPr>
        <w:tabs>
          <w:tab w:val="left" w:pos="1560"/>
          <w:tab w:val="left" w:pos="1986"/>
        </w:tabs>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（三）利用控股、控制地位，侵害上市公司财产权利，谋取上市公司商业机会，损害上市公司和中小股东合法利益；</w:t>
      </w:r>
    </w:p>
    <w:p w14:paraId="09A04EC9">
      <w:pPr>
        <w:tabs>
          <w:tab w:val="left" w:pos="1560"/>
          <w:tab w:val="left" w:pos="1986"/>
        </w:tabs>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（四）违反向上市公司或者其他股东作出的承诺；</w:t>
      </w:r>
    </w:p>
    <w:p w14:paraId="13A5A48F">
      <w:pPr>
        <w:tabs>
          <w:tab w:val="left" w:pos="1560"/>
          <w:tab w:val="left" w:pos="1986"/>
        </w:tabs>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（五）违反本规则规定或者向本所作出的承诺的其他情形。</w:t>
      </w:r>
    </w:p>
    <w:p w14:paraId="18F07311">
      <w:pPr>
        <w:numPr>
          <w:ilvl w:val="2"/>
          <w:numId w:val="59"/>
        </w:numPr>
        <w:tabs>
          <w:tab w:val="left" w:pos="0"/>
          <w:tab w:val="left" w:pos="1560"/>
          <w:tab w:val="left" w:pos="1843"/>
        </w:tabs>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上市公司董事、高级管理人员未能履行忠实、勤勉义务，或者存在违反本规则、向本所作出的承诺的其他情形的，本所可以视情节轻重实施下列纪律处分：</w:t>
      </w:r>
    </w:p>
    <w:p w14:paraId="36119CE7">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（一）通报批评；</w:t>
      </w:r>
    </w:p>
    <w:p w14:paraId="24540A5C">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（二）公开谴责；</w:t>
      </w:r>
    </w:p>
    <w:p w14:paraId="38343049">
      <w:pPr>
        <w:autoSpaceDE w:val="0"/>
        <w:autoSpaceDN w:val="0"/>
        <w:snapToGrid w:val="0"/>
        <w:spacing w:line="560" w:lineRule="exact"/>
        <w:ind w:firstLine="640" w:firstLineChars="200"/>
        <w:rPr>
          <w:rFonts w:hint="eastAsia" w:ascii="仿宋_GB2312" w:hAnsi="宋体" w:eastAsia="仿宋_GB2312"/>
          <w:sz w:val="32"/>
          <w:szCs w:val="32"/>
        </w:rPr>
      </w:pPr>
      <w:bookmarkStart w:id="1143" w:name="OLE_LINK2"/>
      <w:r>
        <w:rPr>
          <w:rFonts w:hint="eastAsia" w:ascii="仿宋_GB2312" w:hAnsi="宋体" w:eastAsia="仿宋_GB2312"/>
          <w:sz w:val="32"/>
          <w:szCs w:val="32"/>
        </w:rPr>
        <w:t>（三）公开认定其3年以上不适合担任上市公司董事</w:t>
      </w:r>
      <w:bookmarkEnd w:id="1143"/>
      <w:r>
        <w:rPr>
          <w:rFonts w:hint="eastAsia" w:ascii="仿宋_GB2312" w:hAnsi="宋体" w:eastAsia="仿宋_GB2312"/>
          <w:sz w:val="32"/>
          <w:szCs w:val="32"/>
        </w:rPr>
        <w:t>、高级管理人员；</w:t>
      </w:r>
    </w:p>
    <w:p w14:paraId="4FF9E191">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（四）收取惩罚性违约金。</w:t>
      </w:r>
    </w:p>
    <w:p w14:paraId="089AD766">
      <w:pPr>
        <w:numPr>
          <w:ilvl w:val="2"/>
          <w:numId w:val="59"/>
        </w:numPr>
        <w:tabs>
          <w:tab w:val="left" w:pos="0"/>
          <w:tab w:val="left" w:pos="1560"/>
          <w:tab w:val="left" w:pos="1843"/>
        </w:tabs>
        <w:snapToGrid w:val="0"/>
        <w:spacing w:line="560" w:lineRule="exact"/>
        <w:ind w:left="0" w:firstLine="640" w:firstLineChars="200"/>
        <w:rPr>
          <w:rFonts w:hint="eastAsia" w:ascii="仿宋_GB2312" w:hAnsi="Arial Unicode MS" w:eastAsia="仿宋_GB2312" w:cs="Arial Unicode MS"/>
          <w:sz w:val="32"/>
          <w:szCs w:val="32"/>
        </w:rPr>
      </w:pPr>
      <w:r>
        <w:rPr>
          <w:rFonts w:hint="eastAsia" w:ascii="仿宋_GB2312" w:hAnsi="宋体" w:eastAsia="仿宋_GB2312"/>
          <w:color w:val="000000"/>
          <w:sz w:val="32"/>
          <w:szCs w:val="32"/>
        </w:rPr>
        <w:t>破产管理人和破产管理人成员违反本规则规定的，</w:t>
      </w:r>
      <w:r>
        <w:rPr>
          <w:rFonts w:hint="eastAsia" w:ascii="仿宋_GB2312" w:hAnsi="宋体" w:eastAsia="仿宋_GB2312"/>
          <w:sz w:val="32"/>
          <w:szCs w:val="32"/>
        </w:rPr>
        <w:t>本所可以视情节轻重实施下列纪律处分：</w:t>
      </w:r>
    </w:p>
    <w:p w14:paraId="5E37424B">
      <w:pPr>
        <w:tabs>
          <w:tab w:val="left" w:pos="1080"/>
        </w:tabs>
        <w:autoSpaceDE w:val="0"/>
        <w:autoSpaceDN w:val="0"/>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（一）通报批评；</w:t>
      </w:r>
    </w:p>
    <w:p w14:paraId="5C82E95C">
      <w:pPr>
        <w:tabs>
          <w:tab w:val="left" w:pos="1080"/>
        </w:tabs>
        <w:autoSpaceDE w:val="0"/>
        <w:autoSpaceDN w:val="0"/>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（二）公开谴责；</w:t>
      </w:r>
    </w:p>
    <w:p w14:paraId="41E4AB89">
      <w:pPr>
        <w:tabs>
          <w:tab w:val="left" w:pos="1560"/>
          <w:tab w:val="left" w:pos="1986"/>
        </w:tabs>
        <w:snapToGrid w:val="0"/>
        <w:spacing w:line="560" w:lineRule="exact"/>
        <w:ind w:left="640"/>
        <w:rPr>
          <w:rFonts w:hint="eastAsia" w:ascii="仿宋_GB2312" w:hAnsi="宋体" w:eastAsia="仿宋_GB2312"/>
          <w:color w:val="000000"/>
          <w:sz w:val="32"/>
          <w:szCs w:val="32"/>
        </w:rPr>
      </w:pPr>
      <w:r>
        <w:rPr>
          <w:rFonts w:hint="eastAsia" w:ascii="仿宋_GB2312" w:hAnsi="宋体" w:eastAsia="仿宋_GB2312"/>
          <w:color w:val="000000"/>
          <w:sz w:val="32"/>
          <w:szCs w:val="32"/>
        </w:rPr>
        <w:t>（三）建议法院更换破产管理人或破产管理人成员。</w:t>
      </w:r>
    </w:p>
    <w:p w14:paraId="5F148D28">
      <w:pPr>
        <w:numPr>
          <w:ilvl w:val="2"/>
          <w:numId w:val="59"/>
        </w:numPr>
        <w:tabs>
          <w:tab w:val="left" w:pos="0"/>
          <w:tab w:val="left" w:pos="1560"/>
          <w:tab w:val="left" w:pos="1843"/>
        </w:tabs>
        <w:snapToGrid w:val="0"/>
        <w:spacing w:line="560" w:lineRule="exact"/>
        <w:ind w:left="0" w:firstLine="640" w:firstLineChars="200"/>
        <w:rPr>
          <w:rFonts w:ascii="仿宋_GB2312" w:eastAsia="仿宋_GB2312"/>
          <w:sz w:val="32"/>
          <w:szCs w:val="32"/>
        </w:rPr>
      </w:pPr>
      <w:r>
        <w:rPr>
          <w:rFonts w:hint="eastAsia" w:ascii="仿宋_GB2312" w:eastAsia="仿宋_GB2312"/>
          <w:sz w:val="32"/>
          <w:szCs w:val="32"/>
        </w:rPr>
        <w:t>上市公司股东减持股份违反本规则，或者通过交易、转让或者其他安排规避本规则的，本所可以采取书面警示、通报批评、公开谴责、限制交易等监管措施或者纪律处分。</w:t>
      </w:r>
    </w:p>
    <w:p w14:paraId="5D38E515">
      <w:pPr>
        <w:tabs>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违规减持行为导致股价异常波动、严重影响市场交易秩序或者损害投资者利益的，本所从重予以处分。</w:t>
      </w:r>
    </w:p>
    <w:p w14:paraId="35FE140B">
      <w:pPr>
        <w:numPr>
          <w:ilvl w:val="2"/>
          <w:numId w:val="59"/>
        </w:numPr>
        <w:tabs>
          <w:tab w:val="left" w:pos="0"/>
          <w:tab w:val="left" w:pos="1560"/>
          <w:tab w:val="left" w:pos="1843"/>
        </w:tabs>
        <w:snapToGrid w:val="0"/>
        <w:spacing w:line="560" w:lineRule="exact"/>
        <w:ind w:left="0"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保荐机构、保荐代表人、证券服务机构及其相关人员未按本规则履行职责，或者履行职责过程中未能诚实守信、勤勉尽责的，本所可以根据情节轻重，对其采取口头警示、书面警示、监管谈话、要求限期改正等相应监管措施或者实施通报批评、公开谴责等纪律处分。</w:t>
      </w:r>
    </w:p>
    <w:p w14:paraId="7F8FDAA7">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前款规定的主体制作或者出具的文件存在虚假记载、误导性陈述或者重大遗漏的，本所可以采取3个月至3年内不接受保荐机构、证券服务机构提交的申请文件或信息披露文件，1年至3年内不接受保荐代表人及其他相关人员、证券服务机构相关人员签字的申请文件或者信息披露文件的纪律处分。</w:t>
      </w:r>
    </w:p>
    <w:p w14:paraId="336FA267">
      <w:pPr>
        <w:numPr>
          <w:ilvl w:val="2"/>
          <w:numId w:val="59"/>
        </w:numPr>
        <w:tabs>
          <w:tab w:val="left" w:pos="0"/>
          <w:tab w:val="left" w:pos="1560"/>
          <w:tab w:val="left" w:pos="1843"/>
        </w:tabs>
        <w:snapToGrid w:val="0"/>
        <w:spacing w:line="560" w:lineRule="exact"/>
        <w:ind w:left="0"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上市公司出现下列情形之一，保荐机构、保荐代表人未能诚实守信、勤勉尽责的，本所可以根据情节轻重，对相关机构及其人员采取前条规定的监管措施或者纪律处分：</w:t>
      </w:r>
    </w:p>
    <w:p w14:paraId="48A14C96">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（一）信息披露文件存在虚假记载、误导性陈述或者重大遗漏；</w:t>
      </w:r>
    </w:p>
    <w:p w14:paraId="1F7FDA04">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（二）控股股东、实际控制人或其他关联方违规占用上市公司资金；</w:t>
      </w:r>
    </w:p>
    <w:p w14:paraId="6224066B">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（三）董事、高级管理人员因侵害上市公司利益受到行政处罚或者被追究刑事责任；</w:t>
      </w:r>
    </w:p>
    <w:p w14:paraId="7AF3425A">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（四）违规提供担保；</w:t>
      </w:r>
    </w:p>
    <w:p w14:paraId="4D49C812">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（五）违反规范运作和信息披露相关规定的其他情形。</w:t>
      </w:r>
    </w:p>
    <w:p w14:paraId="6C931584">
      <w:pPr>
        <w:numPr>
          <w:ilvl w:val="2"/>
          <w:numId w:val="59"/>
        </w:numPr>
        <w:tabs>
          <w:tab w:val="left" w:pos="0"/>
          <w:tab w:val="left" w:pos="1560"/>
          <w:tab w:val="left" w:pos="1843"/>
        </w:tabs>
        <w:snapToGrid w:val="0"/>
        <w:spacing w:line="560" w:lineRule="exact"/>
        <w:ind w:left="0"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纪律处分由本所根据纪律处分委员会的意见作出决定并实施，监管措施由本所或者本所公司监管部门根据相关规则的规定作出决定并实施。</w:t>
      </w:r>
    </w:p>
    <w:p w14:paraId="57C8E819">
      <w:pPr>
        <w:numPr>
          <w:ilvl w:val="2"/>
          <w:numId w:val="59"/>
        </w:numPr>
        <w:tabs>
          <w:tab w:val="left" w:pos="0"/>
          <w:tab w:val="left" w:pos="1560"/>
          <w:tab w:val="left" w:pos="1843"/>
        </w:tabs>
        <w:snapToGrid w:val="0"/>
        <w:spacing w:line="560" w:lineRule="exact"/>
        <w:ind w:left="0"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纪律处分对象对本所纪律处分意向书有异议的，可以按照本所关于听证程序的相关规定，向本所提出听证要求。</w:t>
      </w:r>
    </w:p>
    <w:p w14:paraId="61EE5608">
      <w:pPr>
        <w:numPr>
          <w:ilvl w:val="2"/>
          <w:numId w:val="59"/>
        </w:numPr>
        <w:tabs>
          <w:tab w:val="left" w:pos="0"/>
          <w:tab w:val="left" w:pos="1560"/>
          <w:tab w:val="left" w:pos="1843"/>
        </w:tabs>
        <w:snapToGrid w:val="0"/>
        <w:spacing w:line="560" w:lineRule="exact"/>
        <w:ind w:left="0"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纪律处分对象不服本所纪律处分决定的，可以按照本所关于复核程序的相关规定，向本所复核委员会申请复核。复核期间不停止该处分决定的执行。</w:t>
      </w:r>
    </w:p>
    <w:p w14:paraId="31059D04">
      <w:pPr>
        <w:numPr>
          <w:ilvl w:val="2"/>
          <w:numId w:val="59"/>
        </w:numPr>
        <w:tabs>
          <w:tab w:val="left" w:pos="0"/>
          <w:tab w:val="left" w:pos="1560"/>
          <w:tab w:val="left" w:pos="1843"/>
        </w:tabs>
        <w:snapToGrid w:val="0"/>
        <w:spacing w:line="560" w:lineRule="exact"/>
        <w:ind w:left="0"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本所建立监管对象诚信公示制度，公开对监管对象实施监管措施或纪律处分的情况，记入诚信档案，并向中国证监会报告。</w:t>
      </w:r>
    </w:p>
    <w:p w14:paraId="4AA14F68">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本所可以要求监管对象</w:t>
      </w:r>
      <w:r>
        <w:rPr>
          <w:rFonts w:ascii="仿宋_GB2312" w:hAnsi="Arial Unicode MS" w:eastAsia="仿宋_GB2312" w:cs="Arial Unicode MS"/>
          <w:bCs/>
          <w:sz w:val="32"/>
          <w:szCs w:val="32"/>
        </w:rPr>
        <w:t>在</w:t>
      </w:r>
      <w:r>
        <w:rPr>
          <w:rFonts w:hint="eastAsia" w:ascii="仿宋_GB2312" w:hAnsi="Arial Unicode MS" w:eastAsia="仿宋_GB2312" w:cs="Arial Unicode MS"/>
          <w:bCs/>
          <w:sz w:val="32"/>
          <w:szCs w:val="32"/>
        </w:rPr>
        <w:t>符合条件的媒体</w:t>
      </w:r>
      <w:r>
        <w:rPr>
          <w:rFonts w:hint="eastAsia" w:ascii="仿宋_GB2312" w:hAnsi="Arial Unicode MS" w:eastAsia="仿宋_GB2312" w:cs="Arial Unicode MS"/>
          <w:sz w:val="32"/>
          <w:szCs w:val="32"/>
        </w:rPr>
        <w:t>就被实施监管措施或纪律处分的相关情况作出公告。</w:t>
      </w:r>
    </w:p>
    <w:p w14:paraId="7A6E3057">
      <w:pPr>
        <w:numPr>
          <w:ilvl w:val="2"/>
          <w:numId w:val="59"/>
        </w:numPr>
        <w:tabs>
          <w:tab w:val="left" w:pos="0"/>
          <w:tab w:val="left" w:pos="1560"/>
          <w:tab w:val="left" w:pos="1843"/>
        </w:tabs>
        <w:snapToGrid w:val="0"/>
        <w:spacing w:line="560" w:lineRule="exact"/>
        <w:ind w:left="0"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监管对象被本所实施监管措施或者纪律处分，本所要求其自查整改的，监管对象应当及时报送并按要求披露相关自查整改报告。</w:t>
      </w:r>
    </w:p>
    <w:p w14:paraId="15C79871">
      <w:pPr>
        <w:spacing w:line="560" w:lineRule="exact"/>
        <w:ind w:firstLine="640" w:firstLineChars="200"/>
        <w:rPr>
          <w:sz w:val="32"/>
          <w:szCs w:val="32"/>
        </w:rPr>
      </w:pPr>
    </w:p>
    <w:p w14:paraId="57AFAA9B">
      <w:pPr>
        <w:pStyle w:val="38"/>
        <w:numPr>
          <w:ilvl w:val="0"/>
          <w:numId w:val="1"/>
        </w:numPr>
        <w:tabs>
          <w:tab w:val="clear" w:pos="992"/>
        </w:tabs>
        <w:ind w:left="0" w:firstLine="643"/>
        <w:rPr>
          <w:rFonts w:hint="eastAsia"/>
          <w:b/>
        </w:rPr>
      </w:pPr>
      <w:bookmarkStart w:id="1144" w:name="_Toc170284268"/>
      <w:bookmarkStart w:id="1145" w:name="_Toc2388"/>
      <w:bookmarkStart w:id="1146" w:name="_Toc24486"/>
      <w:r>
        <w:rPr>
          <w:rFonts w:hint="eastAsia"/>
          <w:b/>
        </w:rPr>
        <w:t>释</w:t>
      </w:r>
      <w:r>
        <w:rPr>
          <w:b/>
        </w:rPr>
        <w:t xml:space="preserve">  </w:t>
      </w:r>
      <w:r>
        <w:rPr>
          <w:rFonts w:hint="eastAsia"/>
          <w:b/>
        </w:rPr>
        <w:t>义</w:t>
      </w:r>
      <w:bookmarkEnd w:id="1144"/>
      <w:bookmarkEnd w:id="1145"/>
      <w:bookmarkEnd w:id="1146"/>
    </w:p>
    <w:p w14:paraId="2B04EF7C">
      <w:pPr>
        <w:numPr>
          <w:ilvl w:val="2"/>
          <w:numId w:val="60"/>
        </w:numPr>
        <w:tabs>
          <w:tab w:val="left" w:pos="0"/>
          <w:tab w:val="left" w:pos="1560"/>
          <w:tab w:val="clear" w:pos="1418"/>
        </w:tabs>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本规则下列用语含义如下：</w:t>
      </w:r>
    </w:p>
    <w:p w14:paraId="5F0A6D75">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上市公司，指其股票、存托凭证及其衍生品种在本所科创板上市的股份有限公司。</w:t>
      </w:r>
    </w:p>
    <w:p w14:paraId="5216BFBA">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Times New Roman" w:hAnsi="Times New Roman"/>
          <w:sz w:val="32"/>
          <w:szCs w:val="32"/>
        </w:rPr>
        <w:t>上市时未盈利，指公司上市前一个会计年度经审计扣除非经常性损益前后净利润孰低者为负。</w:t>
      </w:r>
    </w:p>
    <w:p w14:paraId="5C367486">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sz w:val="32"/>
          <w:szCs w:val="32"/>
        </w:rPr>
        <w:t>实现盈利，指上市时未盈利的科创企业上市后首次在一个完整会计年度实现盈利。</w:t>
      </w:r>
    </w:p>
    <w:p w14:paraId="1BF2DB83">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sz w:val="32"/>
          <w:szCs w:val="32"/>
        </w:rPr>
        <w:t>协议控制架构，指红筹企业通过协议方式实际控制境内实体运营企业的一种投资结构。</w:t>
      </w:r>
    </w:p>
    <w:p w14:paraId="7D27DDBE">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sz w:val="32"/>
          <w:szCs w:val="32"/>
        </w:rPr>
        <w:t>红筹企业</w:t>
      </w:r>
      <w:r>
        <w:rPr>
          <w:rFonts w:hint="eastAsia" w:ascii="仿宋_GB2312" w:hAnsi="宋体"/>
          <w:sz w:val="32"/>
          <w:szCs w:val="32"/>
        </w:rPr>
        <w:t>，指注册地在境外，主要经营活动在境内的企业。</w:t>
      </w:r>
    </w:p>
    <w:p w14:paraId="120F3183">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相关信息披露义务人，指</w:t>
      </w:r>
      <w:r>
        <w:rPr>
          <w:rFonts w:hint="eastAsia" w:ascii="仿宋_GB2312" w:hAnsi="宋体"/>
          <w:bCs/>
          <w:iCs/>
          <w:kern w:val="28"/>
          <w:sz w:val="32"/>
          <w:szCs w:val="32"/>
        </w:rPr>
        <w:t>发行人、</w:t>
      </w:r>
      <w:r>
        <w:rPr>
          <w:rFonts w:hint="eastAsia" w:ascii="仿宋_GB2312" w:hAnsi="宋体"/>
          <w:sz w:val="32"/>
          <w:szCs w:val="32"/>
        </w:rPr>
        <w:t>上市公司的董事、高级管理人员、核心技术人员、股东或存托凭证持有人、实际控制人、收购人，重大资产重组</w:t>
      </w:r>
      <w:r>
        <w:rPr>
          <w:rFonts w:hint="eastAsia" w:ascii="仿宋_GB2312" w:hAnsi="宋体"/>
          <w:bCs/>
          <w:sz w:val="32"/>
          <w:szCs w:val="32"/>
        </w:rPr>
        <w:t>、再融资、重大交易有关各方等自然人、单位</w:t>
      </w:r>
      <w:r>
        <w:rPr>
          <w:rFonts w:hint="eastAsia" w:ascii="仿宋_GB2312" w:hAnsi="宋体"/>
          <w:sz w:val="32"/>
          <w:szCs w:val="32"/>
        </w:rPr>
        <w:t>及其相关人员，破产管理人及其成员，</w:t>
      </w:r>
      <w:r>
        <w:rPr>
          <w:rFonts w:hint="eastAsia" w:ascii="仿宋_GB2312" w:hAnsi="宋体"/>
          <w:bCs/>
          <w:sz w:val="32"/>
          <w:szCs w:val="32"/>
        </w:rPr>
        <w:t>以及法律、行政法规和中国证监会规定的其他承担信息披露义务的主体</w:t>
      </w:r>
      <w:r>
        <w:rPr>
          <w:rFonts w:hint="eastAsia" w:ascii="仿宋_GB2312" w:hAnsi="宋体"/>
          <w:sz w:val="32"/>
          <w:szCs w:val="32"/>
        </w:rPr>
        <w:t>。</w:t>
      </w:r>
    </w:p>
    <w:p w14:paraId="732980DE">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及时，指自起算日起或触及本规则披露时点的2个交易日内。</w:t>
      </w:r>
    </w:p>
    <w:p w14:paraId="2DDCB789">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披露</w:t>
      </w:r>
      <w:r>
        <w:rPr>
          <w:rFonts w:hint="eastAsia" w:ascii="仿宋_GB2312" w:hAnsi="宋体"/>
          <w:bCs/>
          <w:sz w:val="32"/>
          <w:szCs w:val="32"/>
        </w:rPr>
        <w:t>或者公告</w:t>
      </w:r>
      <w:r>
        <w:rPr>
          <w:rFonts w:hint="eastAsia" w:ascii="仿宋_GB2312" w:hAnsi="宋体"/>
          <w:sz w:val="32"/>
          <w:szCs w:val="32"/>
        </w:rPr>
        <w:t>，指上市公司或者相关信息披露义务人按照法律法规</w:t>
      </w:r>
      <w:r>
        <w:rPr>
          <w:rFonts w:hint="eastAsia" w:ascii="仿宋_GB2312" w:hAnsi="宋体"/>
          <w:bCs/>
          <w:sz w:val="32"/>
          <w:szCs w:val="32"/>
        </w:rPr>
        <w:t>、</w:t>
      </w:r>
      <w:r>
        <w:rPr>
          <w:rFonts w:hint="eastAsia" w:ascii="仿宋_GB2312" w:hAnsi="宋体"/>
          <w:sz w:val="32"/>
          <w:szCs w:val="32"/>
        </w:rPr>
        <w:t>本规则及本所其他规定在符合条件的媒体发布信息。</w:t>
      </w:r>
    </w:p>
    <w:p w14:paraId="56DC1EBB">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直通车业务，指上市公司按照本规则的规定，通过本所信息披露系统自行登记和上传信息披露文件，并直接提交至符合条件的媒体进行披露的信息披露方式。</w:t>
      </w:r>
    </w:p>
    <w:p w14:paraId="7A062601">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独立董事，指不在上市公司担任除董事外的其他职务，并与其所受聘的上市公司及其主要股东、实际控制人不存在直接或者间接利害关系，或者其他可能影响其进行独立客观判断关系的董事。</w:t>
      </w:r>
    </w:p>
    <w:p w14:paraId="25F3288F">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高级管理人员，指公司总经理、副总经理、财务负责人、董事会秘书及公司章程规定的其他人员。</w:t>
      </w:r>
    </w:p>
    <w:p w14:paraId="7FA8AC4D">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控股股东，指其持有的股份占公司股本总额超过50%的股东，或者持有股份的比例虽然未超过50%，但依其持有的股份所享有的表决权已足以对股东会的决议产生重大影响的股东。</w:t>
      </w:r>
    </w:p>
    <w:p w14:paraId="7952F37E">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实际控制人，指通过投资关系、协议或者其他安排，能够实际支配公司行为的</w:t>
      </w:r>
      <w:r>
        <w:rPr>
          <w:rFonts w:hint="eastAsia" w:ascii="仿宋_GB2312" w:hAnsi="宋体"/>
          <w:bCs/>
          <w:sz w:val="32"/>
          <w:szCs w:val="32"/>
        </w:rPr>
        <w:t>自然人、法人或者其他组织</w:t>
      </w:r>
      <w:r>
        <w:rPr>
          <w:rFonts w:hint="eastAsia" w:ascii="仿宋_GB2312" w:hAnsi="宋体"/>
          <w:sz w:val="32"/>
          <w:szCs w:val="32"/>
        </w:rPr>
        <w:t>。</w:t>
      </w:r>
    </w:p>
    <w:p w14:paraId="7478455C">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上市公司控股子公司，指上市公司持有其超过50%的股份，或者能够决定其董事会半数以上成员的当选，或者通过协议或其他安排能够实际控制的公司。</w:t>
      </w:r>
    </w:p>
    <w:p w14:paraId="356F456D">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上市公司的关联人，指具有下列情形之一的自然人、法人或其他组织：</w:t>
      </w:r>
    </w:p>
    <w:p w14:paraId="3390FAE4">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直接或者间接控制上市公司的自然人、法人或其他组织；</w:t>
      </w:r>
    </w:p>
    <w:p w14:paraId="050B871A">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直接或间接持有上市公司5%以上股份的自然人；</w:t>
      </w:r>
    </w:p>
    <w:p w14:paraId="6E4A949C">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上市公司董事、高级管理人员；</w:t>
      </w:r>
    </w:p>
    <w:p w14:paraId="23399548">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与本项第1目、第2目和第3目所述关联自然人关系密切的家庭成员，包括配偶、年满18周岁的子女及其配偶、父母及配偶的父母、兄弟姐妹及其配偶、配偶的兄弟姐妹、子女配偶的父母；</w:t>
      </w:r>
    </w:p>
    <w:p w14:paraId="36A98E2A">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直接持有上市公司5%以上股份的法人</w:t>
      </w:r>
      <w:r>
        <w:rPr>
          <w:rFonts w:hint="eastAsia" w:ascii="仿宋_GB2312"/>
          <w:bCs/>
          <w:sz w:val="32"/>
          <w:szCs w:val="32"/>
        </w:rPr>
        <w:t>或其他组织及其一致行动人</w:t>
      </w:r>
      <w:r>
        <w:rPr>
          <w:rFonts w:hint="eastAsia" w:ascii="仿宋_GB2312"/>
          <w:sz w:val="32"/>
          <w:szCs w:val="32"/>
        </w:rPr>
        <w:t>；</w:t>
      </w:r>
    </w:p>
    <w:p w14:paraId="15855A04">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直接或间接控制上市公司的法人或其他组织的董事、监事、高级管理人员或其他主要负责人；</w:t>
      </w:r>
    </w:p>
    <w:p w14:paraId="0F19957F">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由本项第1目至第6目所列关联法人或关联自然人直接或者间接控制的，或者由前述关联自然人（独立董事除外）担任董事、高级管理人员的法人或其他组织，但上市公司及其控股子公司除外；</w:t>
      </w:r>
    </w:p>
    <w:p w14:paraId="5E26DC1D">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间接持有上市公司5%以上股份的法人</w:t>
      </w:r>
      <w:r>
        <w:rPr>
          <w:rFonts w:hint="eastAsia" w:ascii="仿宋_GB2312"/>
          <w:bCs/>
          <w:sz w:val="32"/>
          <w:szCs w:val="32"/>
        </w:rPr>
        <w:t>或其他组织及其一致行动人</w:t>
      </w:r>
      <w:r>
        <w:rPr>
          <w:rFonts w:hint="eastAsia" w:ascii="仿宋_GB2312"/>
          <w:sz w:val="32"/>
          <w:szCs w:val="32"/>
        </w:rPr>
        <w:t>；</w:t>
      </w:r>
    </w:p>
    <w:p w14:paraId="266190D7">
      <w:pPr>
        <w:pStyle w:val="34"/>
        <w:numPr>
          <w:ilvl w:val="0"/>
          <w:numId w:val="62"/>
        </w:numPr>
        <w:tabs>
          <w:tab w:val="left" w:pos="993"/>
          <w:tab w:val="left" w:pos="1560"/>
        </w:tabs>
        <w:spacing w:line="560" w:lineRule="exact"/>
        <w:ind w:left="0" w:firstLine="640"/>
        <w:rPr>
          <w:rFonts w:ascii="仿宋_GB2312"/>
          <w:sz w:val="32"/>
          <w:szCs w:val="32"/>
        </w:rPr>
      </w:pPr>
      <w:r>
        <w:rPr>
          <w:rFonts w:hint="eastAsia" w:ascii="仿宋_GB2312"/>
          <w:sz w:val="32"/>
          <w:szCs w:val="32"/>
        </w:rPr>
        <w:t>中国证监会、本所或者上市公司根据实质重于形式原则认定的其他与上市公司有特殊关系，可能导致上市公司利益对其倾斜的自然人、法人或其他组织。</w:t>
      </w:r>
    </w:p>
    <w:p w14:paraId="179055CE">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在交易发生之日前12个月内，或相关交易协议生效或安排实施后12个月内，具有前述所列情形之一的法人、其他组织或自然人，视同上市公司的关联方。</w:t>
      </w:r>
    </w:p>
    <w:p w14:paraId="37629317">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与本项第1目所列法人或其他组织受同一国有资产监督管理机构控制而形成该项所述情形的，不因此而构成关联关系，但该法人或其他组织的法定代表人、董事长、总经理、负责人或者半数以上董事兼任上市公司董事或者高级管理人员的除外。</w:t>
      </w:r>
    </w:p>
    <w:p w14:paraId="37DCE40C">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上市公司的关联董事包括下列董事或者具有下列情形之一的董事：</w:t>
      </w:r>
    </w:p>
    <w:p w14:paraId="150CF537">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1.为交易对方；</w:t>
      </w:r>
    </w:p>
    <w:p w14:paraId="53E33872">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2.为交易对方的直接或者间接控制人；</w:t>
      </w:r>
    </w:p>
    <w:p w14:paraId="2D264AC8">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3.在交易对方任职，或者在能够直接或者间接控制该交易对方的法人或其他组织、该交易对方直接或者间接控制的法人或者其他组织任职；</w:t>
      </w:r>
    </w:p>
    <w:p w14:paraId="455E0566">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4.为与本项第1目和第2目所列自然人关系密切的家庭成员（具体范围参见前项第4目的规定）；</w:t>
      </w:r>
    </w:p>
    <w:p w14:paraId="5F6157D8">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5.为与本项第1目和第2目所列法人或者组织的董事、监事或高级管理人员关系密切的家庭成员（具体范围参见前项第4目的规定）；</w:t>
      </w:r>
    </w:p>
    <w:p w14:paraId="738058C8">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6.中国证监会、本所或者上市公司基于实质重于形式原则认定的其独立商业判断可能受到影响的董事。</w:t>
      </w:r>
    </w:p>
    <w:p w14:paraId="02DBBB76">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上市公司的关联股东包括下列股东或者具有下列情形之一的股东：</w:t>
      </w:r>
    </w:p>
    <w:p w14:paraId="66747B51">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1.为交易对方；</w:t>
      </w:r>
    </w:p>
    <w:p w14:paraId="20A0EB15">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2.为交易对方的直接或者间接控制人；</w:t>
      </w:r>
    </w:p>
    <w:p w14:paraId="2A16F260">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3.被交易对方直接或者间接控制；</w:t>
      </w:r>
    </w:p>
    <w:p w14:paraId="32A16391">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4.与交易对方受同一自然人、法人或其他组织直接或者间接控制；</w:t>
      </w:r>
    </w:p>
    <w:p w14:paraId="1F4A632C">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在交易对方任职，或者在能直接或间接控制该交易对方的法人或其他组织、该交易对方直接或者间接控制的法人或其他组织任职；</w:t>
      </w:r>
    </w:p>
    <w:p w14:paraId="6A197F53">
      <w:pPr>
        <w:tabs>
          <w:tab w:val="left" w:pos="1418"/>
        </w:tabs>
        <w:autoSpaceDE w:val="0"/>
        <w:autoSpaceDN w:val="0"/>
        <w:adjustRightInd w:val="0"/>
        <w:snapToGrid w:val="0"/>
        <w:spacing w:line="560" w:lineRule="exact"/>
        <w:ind w:firstLine="640" w:firstLineChars="200"/>
      </w:pPr>
      <w:r>
        <w:rPr>
          <w:rFonts w:ascii="仿宋_GB2312" w:hAnsi="宋体" w:eastAsia="仿宋_GB2312"/>
          <w:sz w:val="32"/>
          <w:szCs w:val="32"/>
        </w:rPr>
        <w:t>6.</w:t>
      </w:r>
      <w:r>
        <w:rPr>
          <w:rFonts w:hint="eastAsia" w:ascii="仿宋_GB2312" w:hAnsi="宋体" w:eastAsia="仿宋_GB2312"/>
          <w:sz w:val="32"/>
          <w:szCs w:val="32"/>
        </w:rPr>
        <w:t>为交易对方或者其直接或者间接控制人的关系密切的家庭成员；</w:t>
      </w:r>
    </w:p>
    <w:p w14:paraId="18F1F38B">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7.因与交易对方或者其关联人存在尚未履行完毕的股权转让协议或者其他协议而使其表决权受到限制或影响的股东；</w:t>
      </w:r>
    </w:p>
    <w:p w14:paraId="69F8708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8.中国证监会或者本所认定的可能造成上市公司利益对其倾斜的股东。</w:t>
      </w:r>
    </w:p>
    <w:p w14:paraId="1EC468BF">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股权分布不具备上市条件，指社会公众股东持有的股份连续20个交易日低于公司总股本的25%；公司股本总额超过人民币4亿元的，低于公司总股本的10%。</w:t>
      </w:r>
    </w:p>
    <w:p w14:paraId="26C44213">
      <w:pPr>
        <w:autoSpaceDE w:val="0"/>
        <w:autoSpaceDN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上述社会公众股东指不包括下列股东的上市公司其他股东：</w:t>
      </w:r>
    </w:p>
    <w:p w14:paraId="717DB8B9">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1.持有上市公司10%以上股份的股东及其一致行动人；</w:t>
      </w:r>
    </w:p>
    <w:p w14:paraId="10265B89">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2.上市公司的董事、高级管理人员及其关联人。</w:t>
      </w:r>
    </w:p>
    <w:p w14:paraId="5E500B89">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证券服务机构，指</w:t>
      </w:r>
      <w:r>
        <w:rPr>
          <w:rFonts w:hint="eastAsia" w:ascii="仿宋_GB2312" w:hAnsi="宋体"/>
          <w:bCs/>
          <w:sz w:val="32"/>
          <w:szCs w:val="32"/>
        </w:rPr>
        <w:t>符合《证券法》规定的，</w:t>
      </w:r>
      <w:r>
        <w:rPr>
          <w:rFonts w:hint="eastAsia" w:ascii="仿宋_GB2312" w:hAnsi="宋体"/>
          <w:sz w:val="32"/>
          <w:szCs w:val="32"/>
        </w:rPr>
        <w:t>为证券发行、上市、交易等证券业务活动制作、出具审计报告、</w:t>
      </w:r>
      <w:r>
        <w:rPr>
          <w:rFonts w:hint="eastAsia" w:ascii="仿宋_GB2312" w:hAnsi="宋体"/>
          <w:bCs/>
          <w:sz w:val="32"/>
          <w:szCs w:val="32"/>
        </w:rPr>
        <w:t>鉴证报告、</w:t>
      </w:r>
      <w:r>
        <w:rPr>
          <w:rFonts w:hint="eastAsia" w:ascii="仿宋_GB2312" w:hAnsi="宋体"/>
          <w:sz w:val="32"/>
          <w:szCs w:val="32"/>
        </w:rPr>
        <w:t>资产评估报告、法律意见书、财务顾问报告、资信评级报告等文件的会计师事务所、资产评估机构、律师事务所、财务顾问机构、资信评级机构。</w:t>
      </w:r>
    </w:p>
    <w:p w14:paraId="1826FAF0">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净资产，指归属于母公司所有者的期末净资产，不包括少数股东权益金额。</w:t>
      </w:r>
    </w:p>
    <w:p w14:paraId="73F747CC">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净利润，指归属于母公司所有者的净利润，不包括少数股东损益金额。</w:t>
      </w:r>
    </w:p>
    <w:p w14:paraId="51D81969">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每股收益，指根据中国证监会有关规定计算的基本每股收益。</w:t>
      </w:r>
    </w:p>
    <w:p w14:paraId="55CE0C86">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净资产收益率，指根据中国证监会有关规定计算的全面摊薄净资产收益率。</w:t>
      </w:r>
    </w:p>
    <w:p w14:paraId="20D3B0B9">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回购股份，指上市公司收购本公司发行的股份。</w:t>
      </w:r>
    </w:p>
    <w:p w14:paraId="1BC73B21">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破产程序，指《企业破产法》所规范的重整、和解或破产清算程序。</w:t>
      </w:r>
    </w:p>
    <w:p w14:paraId="033CE406">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破产管理人管理或监督运作模式，指根据《企业破产法》，经法院裁定由破产</w:t>
      </w:r>
      <w:r>
        <w:rPr>
          <w:rFonts w:ascii="仿宋_GB2312" w:hAnsi="宋体"/>
          <w:sz w:val="32"/>
          <w:szCs w:val="32"/>
        </w:rPr>
        <w:t>管理人负责管理</w:t>
      </w:r>
      <w:r>
        <w:rPr>
          <w:rFonts w:hint="eastAsia" w:ascii="仿宋_GB2312" w:hAnsi="宋体"/>
          <w:sz w:val="32"/>
          <w:szCs w:val="32"/>
        </w:rPr>
        <w:t>上市公司</w:t>
      </w:r>
      <w:r>
        <w:rPr>
          <w:rFonts w:ascii="仿宋_GB2312" w:hAnsi="宋体"/>
          <w:sz w:val="32"/>
          <w:szCs w:val="32"/>
        </w:rPr>
        <w:t>财产和营业事务的</w:t>
      </w:r>
      <w:r>
        <w:rPr>
          <w:rFonts w:hint="eastAsia" w:ascii="仿宋_GB2312" w:hAnsi="宋体"/>
          <w:sz w:val="32"/>
          <w:szCs w:val="32"/>
        </w:rPr>
        <w:t>运作模式或者由公司</w:t>
      </w:r>
      <w:r>
        <w:rPr>
          <w:rFonts w:ascii="仿宋_GB2312" w:hAnsi="宋体"/>
          <w:sz w:val="32"/>
          <w:szCs w:val="32"/>
        </w:rPr>
        <w:t>在</w:t>
      </w:r>
      <w:r>
        <w:rPr>
          <w:rFonts w:hint="eastAsia" w:ascii="仿宋_GB2312" w:hAnsi="宋体"/>
          <w:sz w:val="32"/>
          <w:szCs w:val="32"/>
        </w:rPr>
        <w:t>破产</w:t>
      </w:r>
      <w:r>
        <w:rPr>
          <w:rFonts w:ascii="仿宋_GB2312" w:hAnsi="宋体"/>
          <w:sz w:val="32"/>
          <w:szCs w:val="32"/>
        </w:rPr>
        <w:t>管理人的监督下自行管理</w:t>
      </w:r>
      <w:r>
        <w:rPr>
          <w:rFonts w:hint="eastAsia" w:ascii="仿宋_GB2312" w:hAnsi="宋体"/>
          <w:sz w:val="32"/>
          <w:szCs w:val="32"/>
        </w:rPr>
        <w:t>公司</w:t>
      </w:r>
      <w:r>
        <w:rPr>
          <w:rFonts w:ascii="仿宋_GB2312" w:hAnsi="宋体"/>
          <w:sz w:val="32"/>
          <w:szCs w:val="32"/>
        </w:rPr>
        <w:t>财产和营业事务</w:t>
      </w:r>
      <w:r>
        <w:rPr>
          <w:rFonts w:hint="eastAsia" w:ascii="仿宋_GB2312" w:hAnsi="宋体"/>
          <w:sz w:val="32"/>
          <w:szCs w:val="32"/>
        </w:rPr>
        <w:t>的运作模式。</w:t>
      </w:r>
    </w:p>
    <w:p w14:paraId="0CE0CDE2">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追溯重述，指因财务会计报告存在重大会计差错或者虚假记载，公司主动改正或者被中国证监会责令改正后，对此前披露的年度财务会计报告进行的调整。</w:t>
      </w:r>
    </w:p>
    <w:p w14:paraId="0A12E6A1">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公司股票停牌日，指本所对公司股票全天予以停牌的交易日。</w:t>
      </w:r>
    </w:p>
    <w:p w14:paraId="754EEE27">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元</w:t>
      </w:r>
      <w:r>
        <w:rPr>
          <w:rFonts w:ascii="仿宋_GB2312" w:hAnsi="宋体"/>
          <w:sz w:val="32"/>
          <w:szCs w:val="32"/>
        </w:rPr>
        <w:t>，如无特指</w:t>
      </w:r>
      <w:r>
        <w:rPr>
          <w:rFonts w:hint="eastAsia" w:ascii="仿宋_GB2312" w:hAnsi="宋体"/>
          <w:sz w:val="32"/>
          <w:szCs w:val="32"/>
        </w:rPr>
        <w:t>或者本所</w:t>
      </w:r>
      <w:r>
        <w:rPr>
          <w:rFonts w:ascii="仿宋_GB2312" w:hAnsi="宋体"/>
          <w:sz w:val="32"/>
          <w:szCs w:val="32"/>
        </w:rPr>
        <w:t>特别</w:t>
      </w:r>
      <w:r>
        <w:rPr>
          <w:rFonts w:hint="eastAsia" w:ascii="仿宋_GB2312" w:hAnsi="宋体"/>
          <w:sz w:val="32"/>
          <w:szCs w:val="32"/>
        </w:rPr>
        <w:t>规定</w:t>
      </w:r>
      <w:r>
        <w:rPr>
          <w:rFonts w:ascii="仿宋_GB2312" w:hAnsi="宋体"/>
          <w:sz w:val="32"/>
          <w:szCs w:val="32"/>
        </w:rPr>
        <w:t>的，均</w:t>
      </w:r>
      <w:r>
        <w:rPr>
          <w:rFonts w:hint="eastAsia" w:ascii="仿宋_GB2312" w:hAnsi="宋体"/>
          <w:sz w:val="32"/>
          <w:szCs w:val="32"/>
        </w:rPr>
        <w:t>指</w:t>
      </w:r>
      <w:r>
        <w:rPr>
          <w:rFonts w:ascii="仿宋_GB2312" w:hAnsi="宋体"/>
          <w:sz w:val="32"/>
          <w:szCs w:val="32"/>
        </w:rPr>
        <w:t>人</w:t>
      </w:r>
      <w:r>
        <w:rPr>
          <w:rFonts w:hint="eastAsia" w:ascii="仿宋_GB2312" w:hAnsi="宋体"/>
          <w:sz w:val="32"/>
          <w:szCs w:val="32"/>
        </w:rPr>
        <w:t>民</w:t>
      </w:r>
      <w:r>
        <w:rPr>
          <w:rFonts w:ascii="仿宋_GB2312" w:hAnsi="宋体"/>
          <w:sz w:val="32"/>
          <w:szCs w:val="32"/>
        </w:rPr>
        <w:t>币元。</w:t>
      </w:r>
    </w:p>
    <w:p w14:paraId="566785C5">
      <w:pPr>
        <w:pStyle w:val="34"/>
        <w:numPr>
          <w:ilvl w:val="3"/>
          <w:numId w:val="61"/>
        </w:numPr>
        <w:tabs>
          <w:tab w:val="left" w:pos="1560"/>
        </w:tabs>
        <w:snapToGrid w:val="0"/>
        <w:spacing w:line="560" w:lineRule="exact"/>
        <w:ind w:left="0" w:firstLine="640"/>
        <w:rPr>
          <w:rFonts w:hint="eastAsia" w:ascii="仿宋_GB2312" w:hAnsi="宋体"/>
          <w:sz w:val="32"/>
          <w:szCs w:val="32"/>
        </w:rPr>
      </w:pPr>
      <w:r>
        <w:rPr>
          <w:rFonts w:hint="eastAsia" w:ascii="仿宋_GB2312" w:hAnsi="宋体"/>
          <w:sz w:val="32"/>
          <w:szCs w:val="32"/>
        </w:rPr>
        <w:t>本规则所称以上含本数，超过、少于、低于、以下不含本数。</w:t>
      </w:r>
    </w:p>
    <w:p w14:paraId="0AE0162D">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本规则未定义的用语的含义，依照有关法律法规和本所有关业务规则确定。</w:t>
      </w:r>
    </w:p>
    <w:p w14:paraId="0FC163AB">
      <w:pPr>
        <w:tabs>
          <w:tab w:val="left" w:pos="1560"/>
        </w:tabs>
        <w:snapToGrid w:val="0"/>
        <w:spacing w:line="560" w:lineRule="exact"/>
        <w:ind w:firstLine="640" w:firstLineChars="200"/>
        <w:rPr>
          <w:rFonts w:hint="eastAsia" w:ascii="仿宋_GB2312" w:hAnsi="宋体" w:eastAsia="仿宋_GB2312"/>
          <w:sz w:val="32"/>
          <w:szCs w:val="32"/>
        </w:rPr>
      </w:pPr>
    </w:p>
    <w:p w14:paraId="07EC4915">
      <w:pPr>
        <w:pStyle w:val="79"/>
        <w:tabs>
          <w:tab w:val="left" w:pos="142"/>
          <w:tab w:val="clear" w:pos="992"/>
        </w:tabs>
        <w:ind w:firstLine="643"/>
        <w:rPr>
          <w:rFonts w:hint="eastAsia"/>
          <w:b/>
        </w:rPr>
      </w:pPr>
      <w:bookmarkStart w:id="1147" w:name="_Toc170284269"/>
      <w:bookmarkStart w:id="1148" w:name="_Toc20802"/>
      <w:bookmarkStart w:id="1149" w:name="_Toc21677"/>
      <w:r>
        <w:rPr>
          <w:rFonts w:hint="eastAsia"/>
          <w:b/>
        </w:rPr>
        <w:t>附</w:t>
      </w:r>
      <w:r>
        <w:rPr>
          <w:b/>
        </w:rPr>
        <w:t xml:space="preserve">  </w:t>
      </w:r>
      <w:r>
        <w:rPr>
          <w:rFonts w:hint="eastAsia"/>
          <w:b/>
        </w:rPr>
        <w:t>则</w:t>
      </w:r>
      <w:bookmarkEnd w:id="1147"/>
      <w:bookmarkEnd w:id="1148"/>
      <w:bookmarkEnd w:id="1149"/>
    </w:p>
    <w:p w14:paraId="02AB4894">
      <w:pPr>
        <w:numPr>
          <w:ilvl w:val="2"/>
          <w:numId w:val="63"/>
        </w:numPr>
        <w:tabs>
          <w:tab w:val="left" w:pos="0"/>
          <w:tab w:val="left" w:pos="1560"/>
          <w:tab w:val="clear" w:pos="1418"/>
        </w:tabs>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存托凭证、可转换公司债券、股票或者存托凭证衍生品的上市和持续监管等事宜参照适用本规则关于股票的有关规定，本</w:t>
      </w:r>
      <w:r>
        <w:rPr>
          <w:rFonts w:ascii="仿宋_GB2312" w:hAnsi="宋体" w:eastAsia="仿宋_GB2312"/>
          <w:sz w:val="32"/>
          <w:szCs w:val="32"/>
        </w:rPr>
        <w:t>规则未作规定的，适用本所其他有关规定</w:t>
      </w:r>
      <w:r>
        <w:rPr>
          <w:rFonts w:hint="eastAsia" w:ascii="仿宋_GB2312" w:hAnsi="宋体" w:eastAsia="仿宋_GB2312"/>
          <w:sz w:val="32"/>
          <w:szCs w:val="32"/>
        </w:rPr>
        <w:t>。</w:t>
      </w:r>
    </w:p>
    <w:p w14:paraId="3DFAEF4F">
      <w:pPr>
        <w:numPr>
          <w:ilvl w:val="2"/>
          <w:numId w:val="63"/>
        </w:numPr>
        <w:tabs>
          <w:tab w:val="left" w:pos="0"/>
          <w:tab w:val="left" w:pos="1560"/>
          <w:tab w:val="clear" w:pos="1418"/>
        </w:tabs>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本规则经本所理事会审议通过并报中国证监会批准后生效，修订时亦同。</w:t>
      </w:r>
    </w:p>
    <w:p w14:paraId="7A641261">
      <w:pPr>
        <w:numPr>
          <w:ilvl w:val="2"/>
          <w:numId w:val="63"/>
        </w:numPr>
        <w:tabs>
          <w:tab w:val="left" w:pos="1560"/>
        </w:tabs>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本规则由本所负责解释。</w:t>
      </w:r>
    </w:p>
    <w:p w14:paraId="75A803E3">
      <w:pPr>
        <w:numPr>
          <w:ilvl w:val="2"/>
          <w:numId w:val="63"/>
        </w:numPr>
        <w:tabs>
          <w:tab w:val="left" w:pos="1560"/>
        </w:tabs>
        <w:snapToGrid w:val="0"/>
        <w:spacing w:line="560" w:lineRule="exact"/>
        <w:ind w:left="0" w:firstLine="640" w:firstLineChars="200"/>
        <w:rPr>
          <w:rFonts w:hint="eastAsia" w:ascii="仿宋_GB2312" w:hAnsi="宋体" w:eastAsia="仿宋_GB2312"/>
          <w:sz w:val="32"/>
          <w:szCs w:val="32"/>
        </w:rPr>
      </w:pPr>
      <w:r>
        <w:rPr>
          <w:rFonts w:hint="eastAsia" w:ascii="仿宋_GB2312" w:hAnsi="宋体" w:eastAsia="仿宋_GB2312"/>
          <w:sz w:val="32"/>
          <w:szCs w:val="32"/>
        </w:rPr>
        <w:t>本规则自发布之日起施行。</w:t>
      </w:r>
    </w:p>
    <w:p w14:paraId="332D207D">
      <w:pPr>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Arial Unicode MS">
    <w:altName w:val="Times New Roman"/>
    <w:panose1 w:val="020B0604020202020204"/>
    <w:charset w:val="86"/>
    <w:family w:val="swiss"/>
    <w:pitch w:val="default"/>
    <w:sig w:usb0="00000000" w:usb1="00000000" w:usb2="0000003F" w:usb3="00000000" w:csb0="603F01FF" w:csb1="FFFF0000"/>
  </w:font>
  <w:font w:name="楷体_GB2312">
    <w:panose1 w:val="02000000000000000000"/>
    <w:charset w:val="86"/>
    <w:family w:val="modern"/>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FBFC0">
    <w:pPr>
      <w:pStyle w:val="13"/>
      <w:framePr w:wrap="around" w:vAnchor="text" w:hAnchor="margin" w:xAlign="center" w:y="1"/>
      <w:rPr>
        <w:rStyle w:val="26"/>
        <w:rFonts w:ascii="Times New Roman" w:hAnsi="Times New Roman" w:eastAsia="仿宋_GB2312"/>
        <w:sz w:val="24"/>
        <w:szCs w:val="24"/>
      </w:rPr>
    </w:pPr>
    <w:r>
      <w:rPr>
        <w:rStyle w:val="26"/>
        <w:rFonts w:ascii="Times New Roman" w:hAnsi="Times New Roman" w:eastAsia="仿宋_GB2312"/>
        <w:sz w:val="24"/>
        <w:szCs w:val="24"/>
      </w:rPr>
      <w:fldChar w:fldCharType="begin"/>
    </w:r>
    <w:r>
      <w:rPr>
        <w:rStyle w:val="26"/>
        <w:rFonts w:ascii="Times New Roman" w:hAnsi="Times New Roman" w:eastAsia="仿宋_GB2312"/>
        <w:sz w:val="24"/>
        <w:szCs w:val="24"/>
      </w:rPr>
      <w:instrText xml:space="preserve">PAGE  </w:instrText>
    </w:r>
    <w:r>
      <w:rPr>
        <w:rStyle w:val="26"/>
        <w:rFonts w:ascii="Times New Roman" w:hAnsi="Times New Roman" w:eastAsia="仿宋_GB2312"/>
        <w:sz w:val="24"/>
        <w:szCs w:val="24"/>
      </w:rPr>
      <w:fldChar w:fldCharType="separate"/>
    </w:r>
    <w:r>
      <w:rPr>
        <w:rStyle w:val="26"/>
        <w:rFonts w:ascii="Times New Roman" w:hAnsi="Times New Roman" w:eastAsia="仿宋_GB2312"/>
        <w:sz w:val="24"/>
        <w:szCs w:val="24"/>
      </w:rPr>
      <w:t>1</w:t>
    </w:r>
    <w:r>
      <w:rPr>
        <w:rStyle w:val="26"/>
        <w:rFonts w:ascii="Times New Roman" w:hAnsi="Times New Roman" w:eastAsia="仿宋_GB2312"/>
        <w:sz w:val="24"/>
        <w:szCs w:val="24"/>
      </w:rPr>
      <w:fldChar w:fldCharType="end"/>
    </w:r>
  </w:p>
  <w:p w14:paraId="1F68C905">
    <w:pPr>
      <w:pStyle w:val="13"/>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E0F9C">
    <w:pPr>
      <w:pStyle w:val="13"/>
      <w:framePr w:wrap="around" w:vAnchor="text" w:hAnchor="margin" w:xAlign="center" w:y="1"/>
      <w:rPr>
        <w:rStyle w:val="26"/>
        <w:rFonts w:hint="eastAsia"/>
      </w:rPr>
    </w:pPr>
    <w:r>
      <w:rPr>
        <w:rStyle w:val="26"/>
      </w:rPr>
      <w:fldChar w:fldCharType="begin"/>
    </w:r>
    <w:r>
      <w:rPr>
        <w:rStyle w:val="26"/>
      </w:rPr>
      <w:instrText xml:space="preserve">PAGE  </w:instrText>
    </w:r>
    <w:r>
      <w:rPr>
        <w:rStyle w:val="26"/>
      </w:rPr>
      <w:fldChar w:fldCharType="separate"/>
    </w:r>
    <w:r>
      <w:rPr>
        <w:rStyle w:val="26"/>
      </w:rPr>
      <w:t>4</w:t>
    </w:r>
    <w:r>
      <w:rPr>
        <w:rStyle w:val="26"/>
      </w:rPr>
      <w:fldChar w:fldCharType="end"/>
    </w:r>
  </w:p>
  <w:p w14:paraId="08368225">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DD0C">
    <w:pPr>
      <w:pStyle w:val="14"/>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654B4"/>
    <w:multiLevelType w:val="multilevel"/>
    <w:tmpl w:val="EDA654B4"/>
    <w:lvl w:ilvl="0" w:tentative="0">
      <w:start w:val="1"/>
      <w:numFmt w:val="decimal"/>
      <w:lvlText w:val="12.10.%1"/>
      <w:lvlJc w:val="left"/>
      <w:pPr>
        <w:ind w:left="640" w:hanging="420"/>
      </w:pPr>
      <w:rPr>
        <w:rFonts w:hint="eastAsia" w:ascii="仿宋_GB2312" w:eastAsia="仿宋_GB2312" w:cs="仿宋_GB2312"/>
        <w:sz w:val="32"/>
      </w:rPr>
    </w:lvl>
    <w:lvl w:ilvl="1" w:tentative="0">
      <w:start w:val="1"/>
      <w:numFmt w:val="lowerLetter"/>
      <w:lvlText w:val="%2)"/>
      <w:lvlJc w:val="left"/>
      <w:pPr>
        <w:ind w:left="1060" w:hanging="420"/>
      </w:pPr>
      <w:rPr>
        <w:rFonts w:hint="eastAsia"/>
      </w:rPr>
    </w:lvl>
    <w:lvl w:ilvl="2" w:tentative="0">
      <w:start w:val="1"/>
      <w:numFmt w:val="lowerRoman"/>
      <w:lvlText w:val="%3."/>
      <w:lvlJc w:val="right"/>
      <w:pPr>
        <w:ind w:left="1480" w:hanging="420"/>
      </w:pPr>
      <w:rPr>
        <w:rFonts w:hint="eastAsia"/>
      </w:rPr>
    </w:lvl>
    <w:lvl w:ilvl="3" w:tentative="0">
      <w:start w:val="1"/>
      <w:numFmt w:val="decimal"/>
      <w:lvlText w:val="%4."/>
      <w:lvlJc w:val="left"/>
      <w:pPr>
        <w:ind w:left="1900" w:hanging="420"/>
      </w:pPr>
      <w:rPr>
        <w:rFonts w:hint="eastAsia"/>
      </w:rPr>
    </w:lvl>
    <w:lvl w:ilvl="4" w:tentative="0">
      <w:start w:val="1"/>
      <w:numFmt w:val="lowerLetter"/>
      <w:lvlText w:val="%5)"/>
      <w:lvlJc w:val="left"/>
      <w:pPr>
        <w:ind w:left="2320" w:hanging="420"/>
      </w:pPr>
      <w:rPr>
        <w:rFonts w:hint="eastAsia"/>
      </w:rPr>
    </w:lvl>
    <w:lvl w:ilvl="5" w:tentative="0">
      <w:start w:val="1"/>
      <w:numFmt w:val="lowerRoman"/>
      <w:lvlText w:val="%6."/>
      <w:lvlJc w:val="right"/>
      <w:pPr>
        <w:ind w:left="2740" w:hanging="420"/>
      </w:pPr>
      <w:rPr>
        <w:rFonts w:hint="eastAsia"/>
      </w:rPr>
    </w:lvl>
    <w:lvl w:ilvl="6" w:tentative="0">
      <w:start w:val="1"/>
      <w:numFmt w:val="decimal"/>
      <w:lvlText w:val="%7."/>
      <w:lvlJc w:val="left"/>
      <w:pPr>
        <w:ind w:left="3160" w:hanging="420"/>
      </w:pPr>
      <w:rPr>
        <w:rFonts w:hint="eastAsia"/>
      </w:rPr>
    </w:lvl>
    <w:lvl w:ilvl="7" w:tentative="0">
      <w:start w:val="1"/>
      <w:numFmt w:val="lowerLetter"/>
      <w:lvlText w:val="%8)"/>
      <w:lvlJc w:val="left"/>
      <w:pPr>
        <w:ind w:left="3580" w:hanging="420"/>
      </w:pPr>
      <w:rPr>
        <w:rFonts w:hint="eastAsia"/>
      </w:rPr>
    </w:lvl>
    <w:lvl w:ilvl="8" w:tentative="0">
      <w:start w:val="1"/>
      <w:numFmt w:val="lowerRoman"/>
      <w:lvlText w:val="%9."/>
      <w:lvlJc w:val="right"/>
      <w:pPr>
        <w:ind w:left="4000" w:hanging="420"/>
      </w:pPr>
      <w:rPr>
        <w:rFonts w:hint="eastAsia"/>
      </w:rPr>
    </w:lvl>
  </w:abstractNum>
  <w:abstractNum w:abstractNumId="1">
    <w:nsid w:val="00B4319F"/>
    <w:multiLevelType w:val="multilevel"/>
    <w:tmpl w:val="00B4319F"/>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1.%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171ED09"/>
    <w:multiLevelType w:val="singleLevel"/>
    <w:tmpl w:val="0171ED09"/>
    <w:lvl w:ilvl="0" w:tentative="0">
      <w:start w:val="9"/>
      <w:numFmt w:val="chineseCounting"/>
      <w:suff w:val="space"/>
      <w:lvlText w:val="第%1节"/>
      <w:lvlJc w:val="left"/>
      <w:rPr>
        <w:rFonts w:hint="eastAsia"/>
      </w:rPr>
    </w:lvl>
  </w:abstractNum>
  <w:abstractNum w:abstractNumId="3">
    <w:nsid w:val="01D5083E"/>
    <w:multiLevelType w:val="multilevel"/>
    <w:tmpl w:val="01D5083E"/>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9.3.%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3365CA5"/>
    <w:multiLevelType w:val="multilevel"/>
    <w:tmpl w:val="03365CA5"/>
    <w:lvl w:ilvl="0" w:tentative="0">
      <w:start w:val="2"/>
      <w:numFmt w:val="decimal"/>
      <w:lvlText w:val="%1"/>
      <w:lvlJc w:val="left"/>
      <w:pPr>
        <w:tabs>
          <w:tab w:val="left" w:pos="425"/>
        </w:tabs>
        <w:ind w:left="425" w:hanging="425"/>
      </w:pPr>
      <w:rPr>
        <w:rFonts w:hint="eastAsia"/>
      </w:rPr>
    </w:lvl>
    <w:lvl w:ilvl="1" w:tentative="0">
      <w:start w:val="1"/>
      <w:numFmt w:val="decimal"/>
      <w:lvlText w:val="5.2.%2"/>
      <w:lvlJc w:val="left"/>
      <w:pPr>
        <w:tabs>
          <w:tab w:val="left" w:pos="992"/>
        </w:tabs>
        <w:ind w:left="992" w:hanging="567"/>
      </w:pPr>
      <w:rPr>
        <w:rFonts w:hint="eastAsia" w:ascii="仿宋_GB2312" w:eastAsia="仿宋_GB2312"/>
        <w:b w:val="0"/>
        <w:i w:val="0"/>
        <w:color w:val="auto"/>
        <w:sz w:val="32"/>
        <w:szCs w:val="32"/>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4FD1334"/>
    <w:multiLevelType w:val="multilevel"/>
    <w:tmpl w:val="04FD1334"/>
    <w:lvl w:ilvl="0" w:tentative="0">
      <w:start w:val="1"/>
      <w:numFmt w:val="japaneseCounting"/>
      <w:lvlText w:val="（%1）"/>
      <w:lvlJc w:val="left"/>
      <w:pPr>
        <w:ind w:left="1680" w:hanging="1080"/>
      </w:pPr>
      <w:rPr>
        <w:rFonts w:hint="default"/>
        <w:lang w:val="en-US"/>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057E59E7"/>
    <w:multiLevelType w:val="multilevel"/>
    <w:tmpl w:val="057E59E7"/>
    <w:lvl w:ilvl="0" w:tentative="0">
      <w:start w:val="1"/>
      <w:numFmt w:val="chineseCountingThousand"/>
      <w:pStyle w:val="2"/>
      <w:lvlText w:val="第%1章"/>
      <w:lvlJc w:val="center"/>
      <w:pPr>
        <w:tabs>
          <w:tab w:val="left" w:pos="992"/>
        </w:tabs>
        <w:ind w:left="992" w:firstLine="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chineseCountingThousand"/>
      <w:pStyle w:val="3"/>
      <w:lvlText w:val="第%2节"/>
      <w:lvlJc w:val="center"/>
      <w:pPr>
        <w:tabs>
          <w:tab w:val="left" w:pos="5671"/>
        </w:tabs>
        <w:ind w:left="5671" w:firstLine="0"/>
      </w:pPr>
      <w:rPr>
        <w:rFonts w:ascii="Times New Roman" w:hAnsi="Times New Roman" w:cs="Times New Roman"/>
        <w:b/>
        <w:bCs w:val="0"/>
        <w:i w:val="0"/>
        <w:iCs w:val="0"/>
        <w:caps w:val="0"/>
        <w:smallCaps w:val="0"/>
        <w:strike w:val="0"/>
        <w:dstrike w:val="0"/>
        <w:vanish w:val="0"/>
        <w:spacing w:val="0"/>
        <w:position w:val="0"/>
        <w:u w:val="none"/>
        <w:vertAlign w:val="baseline"/>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eastAsia"/>
        <w:lang w:val="en-US"/>
      </w:rPr>
    </w:lvl>
    <w:lvl w:ilvl="4" w:tentative="0">
      <w:start w:val="3"/>
      <w:numFmt w:val="japaneseCounting"/>
      <w:lvlText w:val="第%5节"/>
      <w:lvlJc w:val="left"/>
      <w:pPr>
        <w:ind w:left="2760" w:hanging="108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6EB1F40"/>
    <w:multiLevelType w:val="multilevel"/>
    <w:tmpl w:val="06EB1F40"/>
    <w:lvl w:ilvl="0" w:tentative="0">
      <w:start w:val="1"/>
      <w:numFmt w:val="chineseCountingThousand"/>
      <w:lvlText w:val="（%1）"/>
      <w:lvlJc w:val="left"/>
      <w:pPr>
        <w:ind w:left="232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083D3A70"/>
    <w:multiLevelType w:val="multilevel"/>
    <w:tmpl w:val="083D3A70"/>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2.%3"/>
      <w:lvlJc w:val="left"/>
      <w:pPr>
        <w:tabs>
          <w:tab w:val="left" w:pos="1844"/>
        </w:tabs>
        <w:ind w:left="1844" w:hanging="567"/>
      </w:pPr>
      <w:rPr>
        <w:rFonts w:hint="eastAsia"/>
        <w:i w:val="0"/>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ACE355A"/>
    <w:multiLevelType w:val="multilevel"/>
    <w:tmpl w:val="0ACE355A"/>
    <w:lvl w:ilvl="0" w:tentative="0">
      <w:start w:val="1"/>
      <w:numFmt w:val="decimal"/>
      <w:lvlText w:val="6.1.%1"/>
      <w:lvlJc w:val="left"/>
      <w:pPr>
        <w:ind w:left="1555" w:hanging="420"/>
      </w:pPr>
      <w:rPr>
        <w:rFonts w:hint="eastAsia"/>
        <w:sz w:val="32"/>
        <w:szCs w:val="32"/>
      </w:rPr>
    </w:lvl>
    <w:lvl w:ilvl="1" w:tentative="0">
      <w:start w:val="1"/>
      <w:numFmt w:val="lowerLetter"/>
      <w:lvlText w:val="%2)"/>
      <w:lvlJc w:val="left"/>
      <w:pPr>
        <w:ind w:left="1975" w:hanging="420"/>
      </w:pPr>
    </w:lvl>
    <w:lvl w:ilvl="2" w:tentative="0">
      <w:start w:val="1"/>
      <w:numFmt w:val="lowerRoman"/>
      <w:lvlText w:val="%3."/>
      <w:lvlJc w:val="right"/>
      <w:pPr>
        <w:ind w:left="2395" w:hanging="420"/>
      </w:pPr>
    </w:lvl>
    <w:lvl w:ilvl="3" w:tentative="0">
      <w:start w:val="1"/>
      <w:numFmt w:val="decimal"/>
      <w:lvlText w:val="%4."/>
      <w:lvlJc w:val="left"/>
      <w:pPr>
        <w:ind w:left="2815" w:hanging="420"/>
      </w:pPr>
    </w:lvl>
    <w:lvl w:ilvl="4" w:tentative="0">
      <w:start w:val="1"/>
      <w:numFmt w:val="lowerLetter"/>
      <w:lvlText w:val="%5)"/>
      <w:lvlJc w:val="left"/>
      <w:pPr>
        <w:ind w:left="3235" w:hanging="420"/>
      </w:pPr>
    </w:lvl>
    <w:lvl w:ilvl="5" w:tentative="0">
      <w:start w:val="1"/>
      <w:numFmt w:val="lowerRoman"/>
      <w:lvlText w:val="%6."/>
      <w:lvlJc w:val="right"/>
      <w:pPr>
        <w:ind w:left="3655" w:hanging="420"/>
      </w:pPr>
    </w:lvl>
    <w:lvl w:ilvl="6" w:tentative="0">
      <w:start w:val="1"/>
      <w:numFmt w:val="decimal"/>
      <w:lvlText w:val="%7."/>
      <w:lvlJc w:val="left"/>
      <w:pPr>
        <w:ind w:left="4075" w:hanging="420"/>
      </w:pPr>
    </w:lvl>
    <w:lvl w:ilvl="7" w:tentative="0">
      <w:start w:val="1"/>
      <w:numFmt w:val="lowerLetter"/>
      <w:lvlText w:val="%8)"/>
      <w:lvlJc w:val="left"/>
      <w:pPr>
        <w:ind w:left="4495" w:hanging="420"/>
      </w:pPr>
    </w:lvl>
    <w:lvl w:ilvl="8" w:tentative="0">
      <w:start w:val="1"/>
      <w:numFmt w:val="lowerRoman"/>
      <w:lvlText w:val="%9."/>
      <w:lvlJc w:val="right"/>
      <w:pPr>
        <w:ind w:left="4915" w:hanging="420"/>
      </w:pPr>
    </w:lvl>
  </w:abstractNum>
  <w:abstractNum w:abstractNumId="10">
    <w:nsid w:val="0AF22042"/>
    <w:multiLevelType w:val="multilevel"/>
    <w:tmpl w:val="0AF22042"/>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9.2.%3"/>
      <w:lvlJc w:val="left"/>
      <w:pPr>
        <w:tabs>
          <w:tab w:val="left" w:pos="709"/>
        </w:tabs>
        <w:ind w:left="709" w:hanging="709"/>
      </w:pPr>
      <w:rPr>
        <w:rFonts w:hint="eastAsia"/>
        <w:b w:val="0"/>
        <w:i w:val="0"/>
        <w:sz w:val="32"/>
        <w:szCs w:val="32"/>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B212E02"/>
    <w:multiLevelType w:val="multilevel"/>
    <w:tmpl w:val="0B212E02"/>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4.5.%3"/>
      <w:lvlJc w:val="left"/>
      <w:pPr>
        <w:tabs>
          <w:tab w:val="left" w:pos="1418"/>
        </w:tabs>
        <w:ind w:left="1418" w:hanging="567"/>
      </w:pPr>
      <w:rPr>
        <w:rFonts w:hint="eastAsia" w:ascii="仿宋_GB2312" w:eastAsia="仿宋_GB231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B322206"/>
    <w:multiLevelType w:val="multilevel"/>
    <w:tmpl w:val="0B322206"/>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3.%3"/>
      <w:lvlJc w:val="left"/>
      <w:pPr>
        <w:tabs>
          <w:tab w:val="left" w:pos="1418"/>
        </w:tabs>
        <w:ind w:left="1418" w:hanging="567"/>
      </w:pPr>
      <w:rPr>
        <w:rFonts w:hint="eastAsia"/>
        <w:color w:val="000000"/>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C4553E6"/>
    <w:multiLevelType w:val="multilevel"/>
    <w:tmpl w:val="0C4553E6"/>
    <w:lvl w:ilvl="0" w:tentative="0">
      <w:start w:val="1"/>
      <w:numFmt w:val="chineseCountingThousand"/>
      <w:lvlText w:val="（%1）"/>
      <w:lvlJc w:val="left"/>
      <w:pPr>
        <w:ind w:left="2320" w:hanging="420"/>
      </w:pPr>
      <w:rPr>
        <w:rFonts w:hint="eastAsia"/>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0FF601E7"/>
    <w:multiLevelType w:val="multilevel"/>
    <w:tmpl w:val="0FF601E7"/>
    <w:lvl w:ilvl="0" w:tentative="0">
      <w:start w:val="1"/>
      <w:numFmt w:val="japaneseCount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2113D12"/>
    <w:multiLevelType w:val="multilevel"/>
    <w:tmpl w:val="12113D12"/>
    <w:lvl w:ilvl="0" w:tentative="0">
      <w:start w:val="1"/>
      <w:numFmt w:val="decimal"/>
      <w:lvlText w:val="12.7.%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34A2A79"/>
    <w:multiLevelType w:val="multilevel"/>
    <w:tmpl w:val="134A2A79"/>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2.4.%3"/>
      <w:lvlJc w:val="left"/>
      <w:pPr>
        <w:tabs>
          <w:tab w:val="left" w:pos="1713"/>
        </w:tabs>
        <w:ind w:left="1713" w:hanging="720"/>
      </w:pPr>
      <w:rPr>
        <w:rFonts w:hint="eastAsia" w:ascii="仿宋_GB2312" w:eastAsia="仿宋_GB2312"/>
        <w:b w:val="0"/>
        <w:i w:val="0"/>
        <w:sz w:val="32"/>
        <w:szCs w:val="32"/>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7">
    <w:nsid w:val="177C206F"/>
    <w:multiLevelType w:val="multilevel"/>
    <w:tmpl w:val="177C206F"/>
    <w:lvl w:ilvl="0" w:tentative="0">
      <w:start w:val="1"/>
      <w:numFmt w:val="decimal"/>
      <w:lvlText w:val="7.2.%1"/>
      <w:lvlJc w:val="left"/>
      <w:pPr>
        <w:ind w:left="420" w:hanging="420"/>
      </w:pPr>
      <w:rPr>
        <w:rFonts w:hint="eastAsia" w:ascii="仿宋_GB2312" w:eastAsia="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A950547"/>
    <w:multiLevelType w:val="multilevel"/>
    <w:tmpl w:val="1A950547"/>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2.3.%3"/>
      <w:lvlJc w:val="left"/>
      <w:pPr>
        <w:tabs>
          <w:tab w:val="left" w:pos="720"/>
        </w:tabs>
        <w:ind w:left="720" w:hanging="720"/>
      </w:pPr>
      <w:rPr>
        <w:rFonts w:hint="eastAsia"/>
        <w:b w:val="0"/>
        <w:i w:val="0"/>
        <w:sz w:val="32"/>
        <w:szCs w:val="32"/>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9">
    <w:nsid w:val="1AF5541C"/>
    <w:multiLevelType w:val="multilevel"/>
    <w:tmpl w:val="1AF5541C"/>
    <w:lvl w:ilvl="0" w:tentative="0">
      <w:start w:val="2"/>
      <w:numFmt w:val="decimal"/>
      <w:lvlText w:val="%1"/>
      <w:lvlJc w:val="left"/>
      <w:pPr>
        <w:tabs>
          <w:tab w:val="left" w:pos="425"/>
        </w:tabs>
        <w:ind w:left="425" w:hanging="425"/>
      </w:pPr>
      <w:rPr>
        <w:rFonts w:hint="eastAsia"/>
      </w:rPr>
    </w:lvl>
    <w:lvl w:ilvl="1" w:tentative="0">
      <w:start w:val="1"/>
      <w:numFmt w:val="decimal"/>
      <w:lvlText w:val="5.3.%2"/>
      <w:lvlJc w:val="left"/>
      <w:pPr>
        <w:tabs>
          <w:tab w:val="left" w:pos="992"/>
        </w:tabs>
        <w:ind w:left="992" w:hanging="567"/>
      </w:pPr>
      <w:rPr>
        <w:rFonts w:hint="eastAsia"/>
        <w:b w:val="0"/>
        <w:i w:val="0"/>
        <w:color w:val="auto"/>
        <w:sz w:val="32"/>
        <w:szCs w:val="32"/>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1C761417"/>
    <w:multiLevelType w:val="multilevel"/>
    <w:tmpl w:val="1C761417"/>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6.%3"/>
      <w:lvlJc w:val="left"/>
      <w:pPr>
        <w:tabs>
          <w:tab w:val="left" w:pos="1418"/>
        </w:tabs>
        <w:ind w:left="1418" w:hanging="567"/>
      </w:pPr>
      <w:rPr>
        <w:rFonts w:hint="eastAsia" w:ascii="仿宋_GB2312" w:eastAsia="仿宋_GB2312"/>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1FCE523A"/>
    <w:multiLevelType w:val="multilevel"/>
    <w:tmpl w:val="1FCE523A"/>
    <w:lvl w:ilvl="0" w:tentative="0">
      <w:start w:val="1"/>
      <w:numFmt w:val="decimal"/>
      <w:lvlText w:val="%1"/>
      <w:lvlJc w:val="left"/>
      <w:pPr>
        <w:tabs>
          <w:tab w:val="left" w:pos="425"/>
        </w:tabs>
        <w:ind w:left="425" w:hanging="425"/>
      </w:pPr>
      <w:rPr>
        <w:rFonts w:hint="eastAsia"/>
      </w:rPr>
    </w:lvl>
    <w:lvl w:ilvl="1" w:tentative="0">
      <w:start w:val="1"/>
      <w:numFmt w:val="none"/>
      <w:lvlText w:val="6.1"/>
      <w:lvlJc w:val="left"/>
      <w:pPr>
        <w:tabs>
          <w:tab w:val="left" w:pos="992"/>
        </w:tabs>
        <w:ind w:left="992" w:hanging="567"/>
      </w:pPr>
      <w:rPr>
        <w:rFonts w:hint="default" w:ascii="Times New Roman" w:hAnsi="Times New Roman"/>
        <w:b w:val="0"/>
        <w:i w:val="0"/>
        <w:sz w:val="24"/>
      </w:rPr>
    </w:lvl>
    <w:lvl w:ilvl="2" w:tentative="0">
      <w:start w:val="1"/>
      <w:numFmt w:val="decimal"/>
      <w:lvlText w:val="7.1.%3"/>
      <w:lvlJc w:val="left"/>
      <w:pPr>
        <w:tabs>
          <w:tab w:val="left" w:pos="1107"/>
        </w:tabs>
        <w:ind w:left="1107" w:hanging="567"/>
      </w:pPr>
      <w:rPr>
        <w:rFonts w:hint="eastAsia" w:ascii="仿宋_GB2312" w:eastAsia="仿宋_GB2312"/>
        <w:b w:val="0"/>
        <w:i w:val="0"/>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2">
    <w:nsid w:val="202C7AB5"/>
    <w:multiLevelType w:val="multilevel"/>
    <w:tmpl w:val="202C7AB5"/>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6.2.%3"/>
      <w:lvlJc w:val="left"/>
      <w:pPr>
        <w:tabs>
          <w:tab w:val="left" w:pos="709"/>
        </w:tabs>
        <w:ind w:left="709" w:hanging="709"/>
      </w:pPr>
      <w:rPr>
        <w:rFonts w:hint="eastAsia"/>
        <w:b w:val="0"/>
        <w:i w:val="0"/>
        <w:sz w:val="32"/>
        <w:szCs w:val="32"/>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24586C89"/>
    <w:multiLevelType w:val="multilevel"/>
    <w:tmpl w:val="24586C89"/>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4.%3"/>
      <w:lvlJc w:val="left"/>
      <w:pPr>
        <w:tabs>
          <w:tab w:val="left" w:pos="1418"/>
        </w:tabs>
        <w:ind w:left="1418" w:hanging="567"/>
      </w:pPr>
      <w:rPr>
        <w:rFonts w:hint="eastAsia" w:ascii="仿宋_GB2312" w:eastAsia="仿宋_GB2312"/>
        <w:color w:val="000000"/>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27CD1BA0"/>
    <w:multiLevelType w:val="multilevel"/>
    <w:tmpl w:val="27CD1BA0"/>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9804AAF"/>
    <w:multiLevelType w:val="multilevel"/>
    <w:tmpl w:val="29804AAF"/>
    <w:lvl w:ilvl="0" w:tentative="0">
      <w:start w:val="1"/>
      <w:numFmt w:val="decimal"/>
      <w:lvlText w:val="4.3.%1"/>
      <w:lvlJc w:val="left"/>
      <w:pPr>
        <w:ind w:left="1838" w:hanging="420"/>
      </w:pPr>
      <w:rPr>
        <w:rFonts w:hint="eastAsia" w:ascii="仿宋_GB2312" w:eastAsia="仿宋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DD74F17"/>
    <w:multiLevelType w:val="multilevel"/>
    <w:tmpl w:val="2DD74F17"/>
    <w:lvl w:ilvl="0" w:tentative="0">
      <w:start w:val="1"/>
      <w:numFmt w:val="japaneseCounting"/>
      <w:lvlText w:val="（%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chineseCountingThousand"/>
      <w:lvlText w:val="（%4）"/>
      <w:lvlJc w:val="left"/>
      <w:pPr>
        <w:ind w:left="2280" w:hanging="420"/>
      </w:pPr>
      <w:rPr>
        <w:rFonts w:hint="eastAsia"/>
      </w:r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7">
    <w:nsid w:val="30863595"/>
    <w:multiLevelType w:val="multilevel"/>
    <w:tmpl w:val="30863595"/>
    <w:lvl w:ilvl="0" w:tentative="0">
      <w:start w:val="1"/>
      <w:numFmt w:val="decimal"/>
      <w:lvlText w:val="4.4.%1"/>
      <w:lvlJc w:val="left"/>
      <w:pPr>
        <w:ind w:left="420" w:hanging="420"/>
      </w:pPr>
      <w:rPr>
        <w:rFonts w:hint="eastAsia" w:ascii="仿宋_GB2312" w:eastAsia="仿宋_GB2312"/>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3D9535B"/>
    <w:multiLevelType w:val="multilevel"/>
    <w:tmpl w:val="33D9535B"/>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0.%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34781991"/>
    <w:multiLevelType w:val="multilevel"/>
    <w:tmpl w:val="34781991"/>
    <w:lvl w:ilvl="0" w:tentative="0">
      <w:start w:val="1"/>
      <w:numFmt w:val="japaneseCount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5C037F7"/>
    <w:multiLevelType w:val="multilevel"/>
    <w:tmpl w:val="35C037F7"/>
    <w:lvl w:ilvl="0" w:tentative="0">
      <w:start w:val="1"/>
      <w:numFmt w:val="decimal"/>
      <w:lvlText w:val="3.1.%1"/>
      <w:lvlJc w:val="left"/>
      <w:pPr>
        <w:ind w:left="1020" w:hanging="420"/>
      </w:pPr>
      <w:rPr>
        <w:rFonts w:hint="eastAsia" w:ascii="仿宋_GB2312" w:eastAsia="仿宋_GB2312"/>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1">
    <w:nsid w:val="391528CE"/>
    <w:multiLevelType w:val="multilevel"/>
    <w:tmpl w:val="391528CE"/>
    <w:lvl w:ilvl="0" w:tentative="0">
      <w:start w:val="1"/>
      <w:numFmt w:val="decimal"/>
      <w:lvlText w:val="%1"/>
      <w:lvlJc w:val="left"/>
      <w:pPr>
        <w:tabs>
          <w:tab w:val="left" w:pos="425"/>
        </w:tabs>
        <w:ind w:left="425" w:hanging="425"/>
      </w:pPr>
      <w:rPr>
        <w:rFonts w:hint="eastAsia"/>
      </w:rPr>
    </w:lvl>
    <w:lvl w:ilvl="1" w:tentative="0">
      <w:start w:val="1"/>
      <w:numFmt w:val="none"/>
      <w:lvlText w:val="6.1"/>
      <w:lvlJc w:val="left"/>
      <w:pPr>
        <w:tabs>
          <w:tab w:val="left" w:pos="992"/>
        </w:tabs>
        <w:ind w:left="992" w:hanging="567"/>
      </w:pPr>
      <w:rPr>
        <w:rFonts w:hint="default" w:ascii="Times New Roman" w:hAnsi="Times New Roman"/>
        <w:b w:val="0"/>
        <w:i w:val="0"/>
        <w:sz w:val="24"/>
      </w:rPr>
    </w:lvl>
    <w:lvl w:ilvl="2" w:tentative="0">
      <w:start w:val="1"/>
      <w:numFmt w:val="decimal"/>
      <w:lvlText w:val="8.1.%3"/>
      <w:lvlJc w:val="left"/>
      <w:pPr>
        <w:tabs>
          <w:tab w:val="left" w:pos="1107"/>
        </w:tabs>
        <w:ind w:left="1107" w:hanging="567"/>
      </w:pPr>
      <w:rPr>
        <w:rFonts w:hint="eastAsia" w:ascii="仿宋_GB2312" w:eastAsia="仿宋_GB2312"/>
        <w:b w:val="0"/>
        <w:i w:val="0"/>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2">
    <w:nsid w:val="3A713888"/>
    <w:multiLevelType w:val="multilevel"/>
    <w:tmpl w:val="3A713888"/>
    <w:lvl w:ilvl="0" w:tentative="0">
      <w:start w:val="1"/>
      <w:numFmt w:val="japaneseCounting"/>
      <w:lvlText w:val="（%1）"/>
      <w:lvlJc w:val="left"/>
      <w:pPr>
        <w:ind w:left="1680" w:hanging="420"/>
      </w:pPr>
      <w:rPr>
        <w:rFonts w:hint="eastAsia"/>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33">
    <w:nsid w:val="3A8F41FF"/>
    <w:multiLevelType w:val="multilevel"/>
    <w:tmpl w:val="3A8F41FF"/>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4.1.%3"/>
      <w:lvlJc w:val="left"/>
      <w:pPr>
        <w:tabs>
          <w:tab w:val="left" w:pos="1418"/>
        </w:tabs>
        <w:ind w:left="1418" w:hanging="567"/>
      </w:pPr>
      <w:rPr>
        <w:rFonts w:hint="default"/>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3DD9DE31"/>
    <w:multiLevelType w:val="singleLevel"/>
    <w:tmpl w:val="3DD9DE31"/>
    <w:lvl w:ilvl="0" w:tentative="0">
      <w:start w:val="1"/>
      <w:numFmt w:val="chineseCounting"/>
      <w:suff w:val="nothing"/>
      <w:lvlText w:val="（%1）"/>
      <w:lvlJc w:val="left"/>
      <w:rPr>
        <w:rFonts w:hint="eastAsia"/>
      </w:rPr>
    </w:lvl>
  </w:abstractNum>
  <w:abstractNum w:abstractNumId="35">
    <w:nsid w:val="3F141C2E"/>
    <w:multiLevelType w:val="multilevel"/>
    <w:tmpl w:val="3F141C2E"/>
    <w:lvl w:ilvl="0" w:tentative="0">
      <w:start w:val="1"/>
      <w:numFmt w:val="decimal"/>
      <w:lvlText w:val="3.2.%1"/>
      <w:lvlJc w:val="left"/>
      <w:pPr>
        <w:ind w:left="1020" w:hanging="420"/>
      </w:pPr>
      <w:rPr>
        <w:rFonts w:hint="eastAsia" w:ascii="仿宋_GB2312" w:eastAsia="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F724550"/>
    <w:multiLevelType w:val="multilevel"/>
    <w:tmpl w:val="3F724550"/>
    <w:lvl w:ilvl="0" w:tentative="0">
      <w:start w:val="1"/>
      <w:numFmt w:val="japaneseCounting"/>
      <w:lvlText w:val="（%1）"/>
      <w:lvlJc w:val="left"/>
      <w:pPr>
        <w:ind w:left="2498" w:hanging="108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7">
    <w:nsid w:val="41702B4F"/>
    <w:multiLevelType w:val="multilevel"/>
    <w:tmpl w:val="41702B4F"/>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4.2.%3"/>
      <w:lvlJc w:val="left"/>
      <w:pPr>
        <w:tabs>
          <w:tab w:val="left" w:pos="1986"/>
        </w:tabs>
        <w:ind w:left="1986" w:hanging="567"/>
      </w:pPr>
      <w:rPr>
        <w:rFonts w:hint="default"/>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8">
    <w:nsid w:val="4288B1E3"/>
    <w:multiLevelType w:val="singleLevel"/>
    <w:tmpl w:val="4288B1E3"/>
    <w:lvl w:ilvl="0" w:tentative="0">
      <w:start w:val="1"/>
      <w:numFmt w:val="chineseCounting"/>
      <w:suff w:val="nothing"/>
      <w:lvlText w:val="（%1）"/>
      <w:lvlJc w:val="left"/>
      <w:rPr>
        <w:rFonts w:hint="eastAsia"/>
      </w:rPr>
    </w:lvl>
  </w:abstractNum>
  <w:abstractNum w:abstractNumId="39">
    <w:nsid w:val="42D76990"/>
    <w:multiLevelType w:val="multilevel"/>
    <w:tmpl w:val="42D76990"/>
    <w:lvl w:ilvl="0" w:tentative="0">
      <w:start w:val="1"/>
      <w:numFmt w:val="decimal"/>
      <w:lvlText w:val="13.1.%1"/>
      <w:lvlJc w:val="left"/>
      <w:pPr>
        <w:ind w:left="1020" w:hanging="420"/>
      </w:pPr>
      <w:rPr>
        <w:rFonts w:hint="eastAsia" w:ascii="仿宋_GB2312" w:eastAsia="仿宋_GB2312"/>
        <w:sz w:val="32"/>
        <w:szCs w:val="32"/>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0">
    <w:nsid w:val="42FE4F5A"/>
    <w:multiLevelType w:val="multilevel"/>
    <w:tmpl w:val="42FE4F5A"/>
    <w:lvl w:ilvl="0" w:tentative="0">
      <w:start w:val="1"/>
      <w:numFmt w:val="japaneseCounting"/>
      <w:lvlText w:val="（%1）"/>
      <w:lvlJc w:val="left"/>
      <w:pPr>
        <w:ind w:left="1680" w:hanging="1080"/>
      </w:pPr>
      <w:rPr>
        <w:rFonts w:hint="default"/>
        <w:lang w:val="en-US"/>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1">
    <w:nsid w:val="4B8E50EA"/>
    <w:multiLevelType w:val="multilevel"/>
    <w:tmpl w:val="4B8E50EA"/>
    <w:lvl w:ilvl="0" w:tentative="0">
      <w:start w:val="1"/>
      <w:numFmt w:val="decimal"/>
      <w:lvlText w:val="12.9.%1"/>
      <w:lvlJc w:val="left"/>
      <w:pPr>
        <w:ind w:left="1837" w:hanging="420"/>
      </w:pPr>
      <w:rPr>
        <w:rFonts w:hint="eastAsia"/>
      </w:rPr>
    </w:lvl>
    <w:lvl w:ilvl="1" w:tentative="0">
      <w:start w:val="1"/>
      <w:numFmt w:val="lowerLetter"/>
      <w:lvlText w:val="%2)"/>
      <w:lvlJc w:val="left"/>
      <w:pPr>
        <w:ind w:left="830" w:hanging="420"/>
      </w:pPr>
    </w:lvl>
    <w:lvl w:ilvl="2" w:tentative="0">
      <w:start w:val="1"/>
      <w:numFmt w:val="lowerRoman"/>
      <w:lvlText w:val="%3."/>
      <w:lvlJc w:val="right"/>
      <w:pPr>
        <w:ind w:left="1250" w:hanging="420"/>
      </w:pPr>
    </w:lvl>
    <w:lvl w:ilvl="3" w:tentative="0">
      <w:start w:val="1"/>
      <w:numFmt w:val="decimal"/>
      <w:lvlText w:val="%4."/>
      <w:lvlJc w:val="left"/>
      <w:pPr>
        <w:ind w:left="1670" w:hanging="420"/>
      </w:pPr>
    </w:lvl>
    <w:lvl w:ilvl="4" w:tentative="0">
      <w:start w:val="1"/>
      <w:numFmt w:val="lowerLetter"/>
      <w:lvlText w:val="%5)"/>
      <w:lvlJc w:val="left"/>
      <w:pPr>
        <w:ind w:left="2090" w:hanging="420"/>
      </w:pPr>
    </w:lvl>
    <w:lvl w:ilvl="5" w:tentative="0">
      <w:start w:val="1"/>
      <w:numFmt w:val="lowerRoman"/>
      <w:lvlText w:val="%6."/>
      <w:lvlJc w:val="right"/>
      <w:pPr>
        <w:ind w:left="2510" w:hanging="420"/>
      </w:pPr>
    </w:lvl>
    <w:lvl w:ilvl="6" w:tentative="0">
      <w:start w:val="1"/>
      <w:numFmt w:val="decimal"/>
      <w:lvlText w:val="%7."/>
      <w:lvlJc w:val="left"/>
      <w:pPr>
        <w:ind w:left="2930" w:hanging="420"/>
      </w:pPr>
    </w:lvl>
    <w:lvl w:ilvl="7" w:tentative="0">
      <w:start w:val="1"/>
      <w:numFmt w:val="lowerLetter"/>
      <w:lvlText w:val="%8)"/>
      <w:lvlJc w:val="left"/>
      <w:pPr>
        <w:ind w:left="3350" w:hanging="420"/>
      </w:pPr>
    </w:lvl>
    <w:lvl w:ilvl="8" w:tentative="0">
      <w:start w:val="1"/>
      <w:numFmt w:val="lowerRoman"/>
      <w:lvlText w:val="%9."/>
      <w:lvlJc w:val="right"/>
      <w:pPr>
        <w:ind w:left="3770" w:hanging="420"/>
      </w:pPr>
    </w:lvl>
  </w:abstractNum>
  <w:abstractNum w:abstractNumId="42">
    <w:nsid w:val="4CF635A2"/>
    <w:multiLevelType w:val="multilevel"/>
    <w:tmpl w:val="4CF635A2"/>
    <w:lvl w:ilvl="0" w:tentative="0">
      <w:start w:val="1"/>
      <w:numFmt w:val="decimal"/>
      <w:lvlText w:val="%1"/>
      <w:lvlJc w:val="left"/>
      <w:pPr>
        <w:tabs>
          <w:tab w:val="left" w:pos="425"/>
        </w:tabs>
        <w:ind w:left="425" w:hanging="425"/>
      </w:pPr>
      <w:rPr>
        <w:rFonts w:hint="eastAsia"/>
      </w:rPr>
    </w:lvl>
    <w:lvl w:ilvl="1" w:tentative="0">
      <w:start w:val="1"/>
      <w:numFmt w:val="none"/>
      <w:lvlText w:val="6.1"/>
      <w:lvlJc w:val="left"/>
      <w:pPr>
        <w:tabs>
          <w:tab w:val="left" w:pos="992"/>
        </w:tabs>
        <w:ind w:left="992" w:hanging="567"/>
      </w:pPr>
      <w:rPr>
        <w:rFonts w:hint="default" w:ascii="Times New Roman" w:hAnsi="Times New Roman"/>
        <w:b w:val="0"/>
        <w:i w:val="0"/>
        <w:sz w:val="24"/>
      </w:rPr>
    </w:lvl>
    <w:lvl w:ilvl="2" w:tentative="0">
      <w:start w:val="1"/>
      <w:numFmt w:val="decimal"/>
      <w:lvlText w:val="8.2.%3"/>
      <w:lvlJc w:val="left"/>
      <w:pPr>
        <w:tabs>
          <w:tab w:val="left" w:pos="1107"/>
        </w:tabs>
        <w:ind w:left="1107" w:hanging="567"/>
      </w:pPr>
      <w:rPr>
        <w:rFonts w:hint="eastAsia" w:ascii="仿宋_GB2312" w:eastAsia="仿宋_GB2312"/>
        <w:b w:val="0"/>
        <w:i w:val="0"/>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3">
    <w:nsid w:val="4FA40653"/>
    <w:multiLevelType w:val="multilevel"/>
    <w:tmpl w:val="4FA40653"/>
    <w:lvl w:ilvl="0" w:tentative="0">
      <w:start w:val="1"/>
      <w:numFmt w:val="japaneseCounting"/>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4">
    <w:nsid w:val="517132A2"/>
    <w:multiLevelType w:val="multilevel"/>
    <w:tmpl w:val="517132A2"/>
    <w:lvl w:ilvl="0" w:tentative="0">
      <w:start w:val="1"/>
      <w:numFmt w:val="chineseCountingThousand"/>
      <w:lvlText w:val="（%1）"/>
      <w:lvlJc w:val="left"/>
      <w:pPr>
        <w:ind w:left="232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5">
    <w:nsid w:val="51A446F0"/>
    <w:multiLevelType w:val="multilevel"/>
    <w:tmpl w:val="51A446F0"/>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9.1.%3"/>
      <w:lvlJc w:val="left"/>
      <w:pPr>
        <w:tabs>
          <w:tab w:val="left" w:pos="709"/>
        </w:tabs>
        <w:ind w:left="709" w:hanging="709"/>
      </w:pPr>
      <w:rPr>
        <w:rFonts w:hint="eastAsia"/>
        <w:b w:val="0"/>
        <w:i w:val="0"/>
        <w:sz w:val="32"/>
        <w:szCs w:val="32"/>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6">
    <w:nsid w:val="51CC5799"/>
    <w:multiLevelType w:val="multilevel"/>
    <w:tmpl w:val="51CC5799"/>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8.%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7">
    <w:nsid w:val="51E160B7"/>
    <w:multiLevelType w:val="multilevel"/>
    <w:tmpl w:val="51E160B7"/>
    <w:lvl w:ilvl="0" w:tentative="0">
      <w:start w:val="1"/>
      <w:numFmt w:val="decimal"/>
      <w:lvlText w:val="13.2.%1"/>
      <w:lvlJc w:val="left"/>
      <w:pPr>
        <w:ind w:left="1020" w:hanging="420"/>
      </w:pPr>
      <w:rPr>
        <w:rFonts w:hint="eastAsia" w:ascii="仿宋_GB2312" w:eastAsia="仿宋_GB2312"/>
        <w:sz w:val="32"/>
        <w:szCs w:val="32"/>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8">
    <w:nsid w:val="59393B6C"/>
    <w:multiLevelType w:val="multilevel"/>
    <w:tmpl w:val="59393B6C"/>
    <w:lvl w:ilvl="0" w:tentative="0">
      <w:start w:val="1"/>
      <w:numFmt w:val="japaneseCounting"/>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9">
    <w:nsid w:val="59F265CF"/>
    <w:multiLevelType w:val="multilevel"/>
    <w:tmpl w:val="59F265CF"/>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5.%3"/>
      <w:lvlJc w:val="left"/>
      <w:pPr>
        <w:tabs>
          <w:tab w:val="left" w:pos="1418"/>
        </w:tabs>
        <w:ind w:left="1418" w:hanging="567"/>
      </w:pPr>
      <w:rPr>
        <w:rFonts w:hint="default"/>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0">
    <w:nsid w:val="59F8406A"/>
    <w:multiLevelType w:val="multilevel"/>
    <w:tmpl w:val="59F8406A"/>
    <w:lvl w:ilvl="0" w:tentative="0">
      <w:start w:val="1"/>
      <w:numFmt w:val="japaneseCounting"/>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chineseCountingThousand"/>
      <w:lvlText w:val="（%4）"/>
      <w:lvlJc w:val="left"/>
      <w:pPr>
        <w:ind w:left="2320" w:hanging="420"/>
      </w:pPr>
      <w:rPr>
        <w:rFonts w:hint="eastAsia"/>
      </w:r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1">
    <w:nsid w:val="5A151A01"/>
    <w:multiLevelType w:val="multilevel"/>
    <w:tmpl w:val="5A151A01"/>
    <w:lvl w:ilvl="0" w:tentative="0">
      <w:start w:val="1"/>
      <w:numFmt w:val="japaneseCounting"/>
      <w:lvlText w:val="（%1）"/>
      <w:lvlJc w:val="left"/>
      <w:pPr>
        <w:ind w:left="4530" w:hanging="141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2">
    <w:nsid w:val="5B4127A2"/>
    <w:multiLevelType w:val="multilevel"/>
    <w:tmpl w:val="5B4127A2"/>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5.%3"/>
      <w:lvlJc w:val="left"/>
      <w:pPr>
        <w:tabs>
          <w:tab w:val="left" w:pos="1418"/>
        </w:tabs>
        <w:ind w:left="1418" w:hanging="567"/>
      </w:pPr>
      <w:rPr>
        <w:rFonts w:hint="eastAsia"/>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3">
    <w:nsid w:val="5D747A6E"/>
    <w:multiLevelType w:val="multilevel"/>
    <w:tmpl w:val="5D747A6E"/>
    <w:lvl w:ilvl="0" w:tentative="0">
      <w:start w:val="1"/>
      <w:numFmt w:val="decimal"/>
      <w:lvlText w:val="%1."/>
      <w:lvlJc w:val="left"/>
      <w:pPr>
        <w:ind w:left="1571" w:hanging="720"/>
      </w:pPr>
      <w:rPr>
        <w:rFonts w:hint="default"/>
      </w:rPr>
    </w:lvl>
    <w:lvl w:ilvl="1" w:tentative="0">
      <w:start w:val="1"/>
      <w:numFmt w:val="lowerLetter"/>
      <w:lvlText w:val="%2)"/>
      <w:lvlJc w:val="left"/>
      <w:pPr>
        <w:ind w:left="-153" w:hanging="420"/>
      </w:pPr>
    </w:lvl>
    <w:lvl w:ilvl="2" w:tentative="0">
      <w:start w:val="1"/>
      <w:numFmt w:val="lowerRoman"/>
      <w:lvlText w:val="%3."/>
      <w:lvlJc w:val="right"/>
      <w:pPr>
        <w:ind w:left="267" w:hanging="420"/>
      </w:pPr>
    </w:lvl>
    <w:lvl w:ilvl="3" w:tentative="0">
      <w:start w:val="1"/>
      <w:numFmt w:val="decimal"/>
      <w:lvlText w:val="%4."/>
      <w:lvlJc w:val="left"/>
      <w:pPr>
        <w:ind w:left="687" w:hanging="420"/>
      </w:pPr>
    </w:lvl>
    <w:lvl w:ilvl="4" w:tentative="0">
      <w:start w:val="1"/>
      <w:numFmt w:val="lowerLetter"/>
      <w:lvlText w:val="%5)"/>
      <w:lvlJc w:val="left"/>
      <w:pPr>
        <w:ind w:left="1107" w:hanging="420"/>
      </w:pPr>
    </w:lvl>
    <w:lvl w:ilvl="5" w:tentative="0">
      <w:start w:val="1"/>
      <w:numFmt w:val="lowerRoman"/>
      <w:lvlText w:val="%6."/>
      <w:lvlJc w:val="right"/>
      <w:pPr>
        <w:ind w:left="1527" w:hanging="420"/>
      </w:pPr>
    </w:lvl>
    <w:lvl w:ilvl="6" w:tentative="0">
      <w:start w:val="1"/>
      <w:numFmt w:val="decimal"/>
      <w:lvlText w:val="%7."/>
      <w:lvlJc w:val="left"/>
      <w:pPr>
        <w:ind w:left="1947" w:hanging="420"/>
      </w:pPr>
    </w:lvl>
    <w:lvl w:ilvl="7" w:tentative="0">
      <w:start w:val="1"/>
      <w:numFmt w:val="lowerLetter"/>
      <w:lvlText w:val="%8)"/>
      <w:lvlJc w:val="left"/>
      <w:pPr>
        <w:ind w:left="2367" w:hanging="420"/>
      </w:pPr>
    </w:lvl>
    <w:lvl w:ilvl="8" w:tentative="0">
      <w:start w:val="1"/>
      <w:numFmt w:val="lowerRoman"/>
      <w:lvlText w:val="%9."/>
      <w:lvlJc w:val="right"/>
      <w:pPr>
        <w:ind w:left="2787" w:hanging="420"/>
      </w:pPr>
    </w:lvl>
  </w:abstractNum>
  <w:abstractNum w:abstractNumId="54">
    <w:nsid w:val="5DDD2EFB"/>
    <w:multiLevelType w:val="multilevel"/>
    <w:tmpl w:val="5DDD2EFB"/>
    <w:lvl w:ilvl="0" w:tentative="0">
      <w:start w:val="2"/>
      <w:numFmt w:val="decimal"/>
      <w:lvlText w:val="%1"/>
      <w:lvlJc w:val="left"/>
      <w:pPr>
        <w:tabs>
          <w:tab w:val="left" w:pos="425"/>
        </w:tabs>
        <w:ind w:left="425" w:hanging="425"/>
      </w:pPr>
      <w:rPr>
        <w:rFonts w:hint="eastAsia"/>
      </w:rPr>
    </w:lvl>
    <w:lvl w:ilvl="1" w:tentative="0">
      <w:start w:val="1"/>
      <w:numFmt w:val="decimal"/>
      <w:lvlText w:val="5.4.%2"/>
      <w:lvlJc w:val="left"/>
      <w:pPr>
        <w:tabs>
          <w:tab w:val="left" w:pos="992"/>
        </w:tabs>
        <w:ind w:left="992" w:hanging="567"/>
      </w:pPr>
      <w:rPr>
        <w:rFonts w:hint="eastAsia"/>
        <w:b w:val="0"/>
        <w:i w:val="0"/>
        <w:color w:val="auto"/>
        <w:sz w:val="32"/>
        <w:szCs w:val="32"/>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5">
    <w:nsid w:val="61862338"/>
    <w:multiLevelType w:val="multilevel"/>
    <w:tmpl w:val="61862338"/>
    <w:lvl w:ilvl="0" w:tentative="0">
      <w:start w:val="1"/>
      <w:numFmt w:val="japaneseCounting"/>
      <w:lvlText w:val="（%1）"/>
      <w:lvlJc w:val="left"/>
      <w:pPr>
        <w:ind w:left="1788" w:hanging="108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56">
    <w:nsid w:val="71534485"/>
    <w:multiLevelType w:val="multilevel"/>
    <w:tmpl w:val="71534485"/>
    <w:lvl w:ilvl="0" w:tentative="0">
      <w:start w:val="1"/>
      <w:numFmt w:val="decimal"/>
      <w:lvlText w:val="4.2.%1"/>
      <w:lvlJc w:val="left"/>
      <w:pPr>
        <w:ind w:left="1555" w:hanging="420"/>
      </w:pPr>
      <w:rPr>
        <w:rFonts w:hint="eastAsia" w:ascii="仿宋_GB2312" w:eastAsia="仿宋_GB2312"/>
        <w:b w:val="0"/>
      </w:rPr>
    </w:lvl>
    <w:lvl w:ilvl="1" w:tentative="0">
      <w:start w:val="1"/>
      <w:numFmt w:val="lowerLetter"/>
      <w:lvlText w:val="%2)"/>
      <w:lvlJc w:val="left"/>
      <w:pPr>
        <w:ind w:left="1975" w:hanging="420"/>
      </w:pPr>
    </w:lvl>
    <w:lvl w:ilvl="2" w:tentative="0">
      <w:start w:val="1"/>
      <w:numFmt w:val="lowerRoman"/>
      <w:lvlText w:val="%3."/>
      <w:lvlJc w:val="right"/>
      <w:pPr>
        <w:ind w:left="2395" w:hanging="420"/>
      </w:pPr>
    </w:lvl>
    <w:lvl w:ilvl="3" w:tentative="0">
      <w:start w:val="1"/>
      <w:numFmt w:val="decimal"/>
      <w:lvlText w:val="%4."/>
      <w:lvlJc w:val="left"/>
      <w:pPr>
        <w:ind w:left="2815" w:hanging="420"/>
      </w:pPr>
    </w:lvl>
    <w:lvl w:ilvl="4" w:tentative="0">
      <w:start w:val="1"/>
      <w:numFmt w:val="lowerLetter"/>
      <w:lvlText w:val="%5)"/>
      <w:lvlJc w:val="left"/>
      <w:pPr>
        <w:ind w:left="3235" w:hanging="420"/>
      </w:pPr>
    </w:lvl>
    <w:lvl w:ilvl="5" w:tentative="0">
      <w:start w:val="1"/>
      <w:numFmt w:val="lowerRoman"/>
      <w:lvlText w:val="%6."/>
      <w:lvlJc w:val="right"/>
      <w:pPr>
        <w:ind w:left="3655" w:hanging="420"/>
      </w:pPr>
    </w:lvl>
    <w:lvl w:ilvl="6" w:tentative="0">
      <w:start w:val="1"/>
      <w:numFmt w:val="decimal"/>
      <w:lvlText w:val="%7."/>
      <w:lvlJc w:val="left"/>
      <w:pPr>
        <w:ind w:left="4075" w:hanging="420"/>
      </w:pPr>
    </w:lvl>
    <w:lvl w:ilvl="7" w:tentative="0">
      <w:start w:val="1"/>
      <w:numFmt w:val="lowerLetter"/>
      <w:lvlText w:val="%8)"/>
      <w:lvlJc w:val="left"/>
      <w:pPr>
        <w:ind w:left="4495" w:hanging="420"/>
      </w:pPr>
    </w:lvl>
    <w:lvl w:ilvl="8" w:tentative="0">
      <w:start w:val="1"/>
      <w:numFmt w:val="lowerRoman"/>
      <w:lvlText w:val="%9."/>
      <w:lvlJc w:val="right"/>
      <w:pPr>
        <w:ind w:left="4915" w:hanging="420"/>
      </w:pPr>
    </w:lvl>
  </w:abstractNum>
  <w:abstractNum w:abstractNumId="57">
    <w:nsid w:val="71C01660"/>
    <w:multiLevelType w:val="multilevel"/>
    <w:tmpl w:val="71C0166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2.1.%3"/>
      <w:lvlJc w:val="left"/>
      <w:pPr>
        <w:tabs>
          <w:tab w:val="left" w:pos="720"/>
        </w:tabs>
        <w:ind w:left="720" w:hanging="720"/>
      </w:pPr>
      <w:rPr>
        <w:rFonts w:hint="eastAsia" w:ascii="仿宋_GB2312" w:eastAsia="仿宋_GB2312"/>
        <w:b w:val="0"/>
        <w:i w:val="0"/>
        <w:sz w:val="32"/>
        <w:szCs w:val="32"/>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8">
    <w:nsid w:val="7403754B"/>
    <w:multiLevelType w:val="multilevel"/>
    <w:tmpl w:val="7403754B"/>
    <w:lvl w:ilvl="0" w:tentative="0">
      <w:start w:val="2"/>
      <w:numFmt w:val="decimal"/>
      <w:lvlText w:val="%1"/>
      <w:lvlJc w:val="left"/>
      <w:pPr>
        <w:tabs>
          <w:tab w:val="left" w:pos="425"/>
        </w:tabs>
        <w:ind w:left="425" w:hanging="425"/>
      </w:pPr>
      <w:rPr>
        <w:rFonts w:hint="eastAsia"/>
      </w:rPr>
    </w:lvl>
    <w:lvl w:ilvl="1" w:tentative="0">
      <w:start w:val="1"/>
      <w:numFmt w:val="decimal"/>
      <w:lvlText w:val="5.1.%2"/>
      <w:lvlJc w:val="left"/>
      <w:pPr>
        <w:tabs>
          <w:tab w:val="left" w:pos="992"/>
        </w:tabs>
        <w:ind w:left="992" w:hanging="567"/>
      </w:pPr>
      <w:rPr>
        <w:rFonts w:hint="eastAsia" w:ascii="仿宋_GB2312" w:eastAsia="仿宋_GB2312"/>
        <w:b w:val="0"/>
        <w:i w:val="0"/>
        <w:color w:val="auto"/>
        <w:sz w:val="32"/>
        <w:szCs w:val="32"/>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9">
    <w:nsid w:val="76EA436B"/>
    <w:multiLevelType w:val="multilevel"/>
    <w:tmpl w:val="76EA436B"/>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2.1.%3"/>
      <w:lvlJc w:val="left"/>
      <w:pPr>
        <w:tabs>
          <w:tab w:val="left" w:pos="1418"/>
        </w:tabs>
        <w:ind w:left="1418" w:hanging="567"/>
      </w:pPr>
      <w:rPr>
        <w:rFonts w:hint="eastAsia"/>
        <w:sz w:val="32"/>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0">
    <w:nsid w:val="78EF2EC5"/>
    <w:multiLevelType w:val="multilevel"/>
    <w:tmpl w:val="78EF2EC5"/>
    <w:lvl w:ilvl="0" w:tentative="0">
      <w:start w:val="2"/>
      <w:numFmt w:val="decimal"/>
      <w:lvlText w:val="%1"/>
      <w:lvlJc w:val="left"/>
      <w:pPr>
        <w:tabs>
          <w:tab w:val="left" w:pos="425"/>
        </w:tabs>
        <w:ind w:left="425" w:hanging="425"/>
      </w:pPr>
      <w:rPr>
        <w:rFonts w:hint="eastAsia"/>
      </w:rPr>
    </w:lvl>
    <w:lvl w:ilvl="1" w:tentative="0">
      <w:start w:val="1"/>
      <w:numFmt w:val="decimal"/>
      <w:lvlText w:val="4.1.%2"/>
      <w:lvlJc w:val="left"/>
      <w:pPr>
        <w:tabs>
          <w:tab w:val="left" w:pos="2127"/>
        </w:tabs>
        <w:ind w:left="2127" w:hanging="567"/>
      </w:pPr>
      <w:rPr>
        <w:rFonts w:hint="eastAsia"/>
        <w:b w:val="0"/>
        <w:i w:val="0"/>
        <w:color w:val="auto"/>
        <w:sz w:val="32"/>
        <w:szCs w:val="32"/>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1">
    <w:nsid w:val="7B8731A3"/>
    <w:multiLevelType w:val="multilevel"/>
    <w:tmpl w:val="7B8731A3"/>
    <w:lvl w:ilvl="0" w:tentative="0">
      <w:start w:val="11"/>
      <w:numFmt w:val="decimal"/>
      <w:lvlText w:val="%1"/>
      <w:lvlJc w:val="left"/>
      <w:pPr>
        <w:tabs>
          <w:tab w:val="left" w:pos="425"/>
        </w:tabs>
        <w:ind w:left="425" w:hanging="425"/>
      </w:pPr>
      <w:rPr>
        <w:rFonts w:hint="eastAsia"/>
      </w:rPr>
    </w:lvl>
    <w:lvl w:ilvl="1" w:tentative="0">
      <w:start w:val="8"/>
      <w:numFmt w:val="decimal"/>
      <w:lvlText w:val="%1.%2"/>
      <w:lvlJc w:val="left"/>
      <w:pPr>
        <w:tabs>
          <w:tab w:val="left" w:pos="992"/>
        </w:tabs>
        <w:ind w:left="992" w:hanging="567"/>
      </w:pPr>
      <w:rPr>
        <w:rFonts w:hint="eastAsia"/>
      </w:rPr>
    </w:lvl>
    <w:lvl w:ilvl="2" w:tentative="0">
      <w:start w:val="1"/>
      <w:numFmt w:val="decimal"/>
      <w:lvlText w:val="16.%3"/>
      <w:lvlJc w:val="left"/>
      <w:pPr>
        <w:tabs>
          <w:tab w:val="left" w:pos="1418"/>
        </w:tabs>
        <w:ind w:left="1418" w:hanging="567"/>
      </w:pPr>
      <w:rPr>
        <w:rFonts w:hint="eastAsia" w:ascii="仿宋_GB2312" w:eastAsia="仿宋_GB231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2">
    <w:nsid w:val="7FCD41A3"/>
    <w:multiLevelType w:val="multilevel"/>
    <w:tmpl w:val="7FCD41A3"/>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2.2.%3"/>
      <w:lvlJc w:val="left"/>
      <w:pPr>
        <w:tabs>
          <w:tab w:val="left" w:pos="720"/>
        </w:tabs>
        <w:ind w:left="720" w:hanging="720"/>
      </w:pPr>
      <w:rPr>
        <w:rFonts w:hint="eastAsia" w:ascii="仿宋_GB2312" w:eastAsia="仿宋_GB2312"/>
        <w:b w:val="0"/>
        <w:i w:val="0"/>
        <w:sz w:val="32"/>
        <w:szCs w:val="32"/>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6"/>
  </w:num>
  <w:num w:numId="2">
    <w:abstractNumId w:val="24"/>
  </w:num>
  <w:num w:numId="3">
    <w:abstractNumId w:val="57"/>
  </w:num>
  <w:num w:numId="4">
    <w:abstractNumId w:val="62"/>
  </w:num>
  <w:num w:numId="5">
    <w:abstractNumId w:val="1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5"/>
  </w:num>
  <w:num w:numId="9">
    <w:abstractNumId w:val="36"/>
  </w:num>
  <w:num w:numId="10">
    <w:abstractNumId w:val="14"/>
  </w:num>
  <w:num w:numId="11">
    <w:abstractNumId w:val="43"/>
  </w:num>
  <w:num w:numId="12">
    <w:abstractNumId w:val="40"/>
  </w:num>
  <w:num w:numId="13">
    <w:abstractNumId w:val="51"/>
  </w:num>
  <w:num w:numId="14">
    <w:abstractNumId w:val="60"/>
  </w:num>
  <w:num w:numId="15">
    <w:abstractNumId w:val="56"/>
  </w:num>
  <w:num w:numId="16">
    <w:abstractNumId w:val="48"/>
  </w:num>
  <w:num w:numId="17">
    <w:abstractNumId w:val="25"/>
  </w:num>
  <w:num w:numId="18">
    <w:abstractNumId w:val="27"/>
  </w:num>
  <w:num w:numId="19">
    <w:abstractNumId w:val="11"/>
  </w:num>
  <w:num w:numId="20">
    <w:abstractNumId w:val="58"/>
  </w:num>
  <w:num w:numId="21">
    <w:abstractNumId w:val="4"/>
  </w:num>
  <w:num w:numId="22">
    <w:abstractNumId w:val="19"/>
  </w:num>
  <w:num w:numId="23">
    <w:abstractNumId w:val="54"/>
  </w:num>
  <w:num w:numId="24">
    <w:abstractNumId w:val="9"/>
  </w:num>
  <w:num w:numId="25">
    <w:abstractNumId w:val="22"/>
  </w:num>
  <w:num w:numId="26">
    <w:abstractNumId w:val="38"/>
  </w:num>
  <w:num w:numId="27">
    <w:abstractNumId w:val="21"/>
  </w:num>
  <w:num w:numId="28">
    <w:abstractNumId w:val="50"/>
  </w:num>
  <w:num w:numId="29">
    <w:abstractNumId w:val="7"/>
  </w:num>
  <w:num w:numId="30">
    <w:abstractNumId w:val="44"/>
  </w:num>
  <w:num w:numId="31">
    <w:abstractNumId w:val="13"/>
  </w:num>
  <w:num w:numId="32">
    <w:abstractNumId w:val="17"/>
  </w:num>
  <w:num w:numId="33">
    <w:abstractNumId w:val="31"/>
  </w:num>
  <w:num w:numId="34">
    <w:abstractNumId w:val="5"/>
  </w:num>
  <w:num w:numId="35">
    <w:abstractNumId w:val="42"/>
  </w:num>
  <w:num w:numId="36">
    <w:abstractNumId w:val="32"/>
  </w:num>
  <w:num w:numId="37">
    <w:abstractNumId w:val="29"/>
  </w:num>
  <w:num w:numId="38">
    <w:abstractNumId w:val="45"/>
  </w:num>
  <w:num w:numId="39">
    <w:abstractNumId w:val="10"/>
  </w:num>
  <w:num w:numId="40">
    <w:abstractNumId w:val="55"/>
  </w:num>
  <w:num w:numId="41">
    <w:abstractNumId w:val="3"/>
  </w:num>
  <w:num w:numId="42">
    <w:abstractNumId w:val="28"/>
  </w:num>
  <w:num w:numId="43">
    <w:abstractNumId w:val="1"/>
  </w:num>
  <w:num w:numId="44">
    <w:abstractNumId w:val="59"/>
  </w:num>
  <w:num w:numId="45">
    <w:abstractNumId w:val="8"/>
  </w:num>
  <w:num w:numId="46">
    <w:abstractNumId w:val="12"/>
  </w:num>
  <w:num w:numId="47">
    <w:abstractNumId w:val="34"/>
  </w:num>
  <w:num w:numId="48">
    <w:abstractNumId w:val="23"/>
  </w:num>
  <w:num w:numId="49">
    <w:abstractNumId w:val="52"/>
  </w:num>
  <w:num w:numId="50">
    <w:abstractNumId w:val="20"/>
  </w:num>
  <w:num w:numId="51">
    <w:abstractNumId w:val="15"/>
  </w:num>
  <w:num w:numId="52">
    <w:abstractNumId w:val="46"/>
  </w:num>
  <w:num w:numId="53">
    <w:abstractNumId w:val="2"/>
  </w:num>
  <w:num w:numId="54">
    <w:abstractNumId w:val="41"/>
  </w:num>
  <w:num w:numId="55">
    <w:abstractNumId w:val="0"/>
  </w:num>
  <w:num w:numId="56">
    <w:abstractNumId w:val="39"/>
  </w:num>
  <w:num w:numId="57">
    <w:abstractNumId w:val="47"/>
  </w:num>
  <w:num w:numId="58">
    <w:abstractNumId w:val="33"/>
  </w:num>
  <w:num w:numId="59">
    <w:abstractNumId w:val="37"/>
  </w:num>
  <w:num w:numId="60">
    <w:abstractNumId w:val="49"/>
  </w:num>
  <w:num w:numId="61">
    <w:abstractNumId w:val="26"/>
  </w:num>
  <w:num w:numId="62">
    <w:abstractNumId w:val="53"/>
  </w:num>
  <w:num w:numId="63">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M4NDBmMTJkYzBiMThlMDhhNTE5MDJhNGRjYmJlZjQifQ=="/>
  </w:docVars>
  <w:rsids>
    <w:rsidRoot w:val="00F26598"/>
    <w:rsid w:val="00000D4D"/>
    <w:rsid w:val="00001743"/>
    <w:rsid w:val="000035AC"/>
    <w:rsid w:val="00003C64"/>
    <w:rsid w:val="0000584C"/>
    <w:rsid w:val="00005EC6"/>
    <w:rsid w:val="000070D5"/>
    <w:rsid w:val="00010068"/>
    <w:rsid w:val="00010A9B"/>
    <w:rsid w:val="000134D2"/>
    <w:rsid w:val="00016DD0"/>
    <w:rsid w:val="00020BC7"/>
    <w:rsid w:val="000211DE"/>
    <w:rsid w:val="00021CE8"/>
    <w:rsid w:val="000222A2"/>
    <w:rsid w:val="00023B8A"/>
    <w:rsid w:val="00024013"/>
    <w:rsid w:val="00024660"/>
    <w:rsid w:val="000248EA"/>
    <w:rsid w:val="000253CB"/>
    <w:rsid w:val="00025EB5"/>
    <w:rsid w:val="00027ADB"/>
    <w:rsid w:val="00031DF4"/>
    <w:rsid w:val="00032591"/>
    <w:rsid w:val="00035638"/>
    <w:rsid w:val="00035DE0"/>
    <w:rsid w:val="00037F4F"/>
    <w:rsid w:val="0004052C"/>
    <w:rsid w:val="000405E6"/>
    <w:rsid w:val="0004129A"/>
    <w:rsid w:val="00043E18"/>
    <w:rsid w:val="00047F9B"/>
    <w:rsid w:val="000502F6"/>
    <w:rsid w:val="00051659"/>
    <w:rsid w:val="00052485"/>
    <w:rsid w:val="00052C92"/>
    <w:rsid w:val="000544F9"/>
    <w:rsid w:val="0005471D"/>
    <w:rsid w:val="00055AD6"/>
    <w:rsid w:val="0005629B"/>
    <w:rsid w:val="00056BD6"/>
    <w:rsid w:val="000632CF"/>
    <w:rsid w:val="00063DAB"/>
    <w:rsid w:val="00064261"/>
    <w:rsid w:val="00064283"/>
    <w:rsid w:val="00064428"/>
    <w:rsid w:val="0006560C"/>
    <w:rsid w:val="00065AE1"/>
    <w:rsid w:val="000673CD"/>
    <w:rsid w:val="000703AF"/>
    <w:rsid w:val="00070B6C"/>
    <w:rsid w:val="00070C6A"/>
    <w:rsid w:val="000736D4"/>
    <w:rsid w:val="0007537B"/>
    <w:rsid w:val="000756C7"/>
    <w:rsid w:val="00081C01"/>
    <w:rsid w:val="00082A3D"/>
    <w:rsid w:val="00082ED9"/>
    <w:rsid w:val="000836FF"/>
    <w:rsid w:val="00087603"/>
    <w:rsid w:val="00087D81"/>
    <w:rsid w:val="0009140E"/>
    <w:rsid w:val="00091B66"/>
    <w:rsid w:val="00093206"/>
    <w:rsid w:val="0009391D"/>
    <w:rsid w:val="00096075"/>
    <w:rsid w:val="000962C5"/>
    <w:rsid w:val="000963E2"/>
    <w:rsid w:val="00096BF1"/>
    <w:rsid w:val="000A0E95"/>
    <w:rsid w:val="000A18E6"/>
    <w:rsid w:val="000A1F57"/>
    <w:rsid w:val="000A29F8"/>
    <w:rsid w:val="000A3039"/>
    <w:rsid w:val="000A3B9C"/>
    <w:rsid w:val="000A4BB8"/>
    <w:rsid w:val="000A5151"/>
    <w:rsid w:val="000A6B6A"/>
    <w:rsid w:val="000A705B"/>
    <w:rsid w:val="000B1946"/>
    <w:rsid w:val="000B19FB"/>
    <w:rsid w:val="000B4860"/>
    <w:rsid w:val="000B4C3D"/>
    <w:rsid w:val="000B4F77"/>
    <w:rsid w:val="000B5C76"/>
    <w:rsid w:val="000B78DD"/>
    <w:rsid w:val="000C053A"/>
    <w:rsid w:val="000C093F"/>
    <w:rsid w:val="000C0D33"/>
    <w:rsid w:val="000C109D"/>
    <w:rsid w:val="000C214D"/>
    <w:rsid w:val="000C29B8"/>
    <w:rsid w:val="000C2E3A"/>
    <w:rsid w:val="000C353F"/>
    <w:rsid w:val="000C36C9"/>
    <w:rsid w:val="000C4560"/>
    <w:rsid w:val="000C5639"/>
    <w:rsid w:val="000C6356"/>
    <w:rsid w:val="000D0109"/>
    <w:rsid w:val="000D423C"/>
    <w:rsid w:val="000D45F9"/>
    <w:rsid w:val="000D62F9"/>
    <w:rsid w:val="000D6F86"/>
    <w:rsid w:val="000D77E9"/>
    <w:rsid w:val="000D78D6"/>
    <w:rsid w:val="000E081F"/>
    <w:rsid w:val="000E0DB8"/>
    <w:rsid w:val="000E2BDE"/>
    <w:rsid w:val="000E4853"/>
    <w:rsid w:val="000E54ED"/>
    <w:rsid w:val="000E6637"/>
    <w:rsid w:val="000E6773"/>
    <w:rsid w:val="000F0BB5"/>
    <w:rsid w:val="000F14D9"/>
    <w:rsid w:val="000F1855"/>
    <w:rsid w:val="000F38A1"/>
    <w:rsid w:val="000F4796"/>
    <w:rsid w:val="000F6041"/>
    <w:rsid w:val="000F79D2"/>
    <w:rsid w:val="00101F3B"/>
    <w:rsid w:val="00102256"/>
    <w:rsid w:val="00102494"/>
    <w:rsid w:val="001033E2"/>
    <w:rsid w:val="001038EE"/>
    <w:rsid w:val="00103E21"/>
    <w:rsid w:val="00104ACC"/>
    <w:rsid w:val="0010566D"/>
    <w:rsid w:val="001060C7"/>
    <w:rsid w:val="00106249"/>
    <w:rsid w:val="00106E76"/>
    <w:rsid w:val="00106F45"/>
    <w:rsid w:val="00110649"/>
    <w:rsid w:val="00111AA9"/>
    <w:rsid w:val="00113111"/>
    <w:rsid w:val="001141C9"/>
    <w:rsid w:val="001156B2"/>
    <w:rsid w:val="00115BE2"/>
    <w:rsid w:val="00116762"/>
    <w:rsid w:val="00120153"/>
    <w:rsid w:val="00121833"/>
    <w:rsid w:val="001222F6"/>
    <w:rsid w:val="0012356E"/>
    <w:rsid w:val="001240CD"/>
    <w:rsid w:val="001318B5"/>
    <w:rsid w:val="00132ACF"/>
    <w:rsid w:val="00132BA4"/>
    <w:rsid w:val="0013668E"/>
    <w:rsid w:val="0014031B"/>
    <w:rsid w:val="00140CFB"/>
    <w:rsid w:val="001412F4"/>
    <w:rsid w:val="00141E06"/>
    <w:rsid w:val="00142F77"/>
    <w:rsid w:val="0014385D"/>
    <w:rsid w:val="00145090"/>
    <w:rsid w:val="001450B1"/>
    <w:rsid w:val="00146E31"/>
    <w:rsid w:val="00150E64"/>
    <w:rsid w:val="00151B18"/>
    <w:rsid w:val="001540AD"/>
    <w:rsid w:val="00155152"/>
    <w:rsid w:val="001554FF"/>
    <w:rsid w:val="001563D8"/>
    <w:rsid w:val="00160D51"/>
    <w:rsid w:val="00161263"/>
    <w:rsid w:val="001646EC"/>
    <w:rsid w:val="0016477F"/>
    <w:rsid w:val="00164D6D"/>
    <w:rsid w:val="001653CA"/>
    <w:rsid w:val="00173158"/>
    <w:rsid w:val="00173271"/>
    <w:rsid w:val="00177BCA"/>
    <w:rsid w:val="00177C2C"/>
    <w:rsid w:val="001851D5"/>
    <w:rsid w:val="00193994"/>
    <w:rsid w:val="001A0439"/>
    <w:rsid w:val="001A06EE"/>
    <w:rsid w:val="001A0C57"/>
    <w:rsid w:val="001A0F7B"/>
    <w:rsid w:val="001A1197"/>
    <w:rsid w:val="001A4145"/>
    <w:rsid w:val="001A4641"/>
    <w:rsid w:val="001A782D"/>
    <w:rsid w:val="001B05E3"/>
    <w:rsid w:val="001B0FE0"/>
    <w:rsid w:val="001B14E7"/>
    <w:rsid w:val="001B18AF"/>
    <w:rsid w:val="001B3C4A"/>
    <w:rsid w:val="001B78D2"/>
    <w:rsid w:val="001C1AF4"/>
    <w:rsid w:val="001C3715"/>
    <w:rsid w:val="001C3778"/>
    <w:rsid w:val="001C4CF4"/>
    <w:rsid w:val="001C4D9A"/>
    <w:rsid w:val="001C70A2"/>
    <w:rsid w:val="001D14BC"/>
    <w:rsid w:val="001D208C"/>
    <w:rsid w:val="001D221E"/>
    <w:rsid w:val="001D326B"/>
    <w:rsid w:val="001D3917"/>
    <w:rsid w:val="001D39B7"/>
    <w:rsid w:val="001D5298"/>
    <w:rsid w:val="001D5491"/>
    <w:rsid w:val="001D5E9E"/>
    <w:rsid w:val="001D66AB"/>
    <w:rsid w:val="001E2233"/>
    <w:rsid w:val="001E2D0A"/>
    <w:rsid w:val="001E3B2C"/>
    <w:rsid w:val="001E74D3"/>
    <w:rsid w:val="001F2918"/>
    <w:rsid w:val="001F33AE"/>
    <w:rsid w:val="001F3740"/>
    <w:rsid w:val="001F4399"/>
    <w:rsid w:val="001F46C1"/>
    <w:rsid w:val="001F633C"/>
    <w:rsid w:val="001F7220"/>
    <w:rsid w:val="001F774C"/>
    <w:rsid w:val="001F7C47"/>
    <w:rsid w:val="0020117C"/>
    <w:rsid w:val="00203E2E"/>
    <w:rsid w:val="002044AB"/>
    <w:rsid w:val="00210A6C"/>
    <w:rsid w:val="00212EAB"/>
    <w:rsid w:val="00214A08"/>
    <w:rsid w:val="00215BAD"/>
    <w:rsid w:val="00223E19"/>
    <w:rsid w:val="00224278"/>
    <w:rsid w:val="002247A9"/>
    <w:rsid w:val="00224829"/>
    <w:rsid w:val="00224BE5"/>
    <w:rsid w:val="00230A8D"/>
    <w:rsid w:val="002311BF"/>
    <w:rsid w:val="00232048"/>
    <w:rsid w:val="00233341"/>
    <w:rsid w:val="002338C7"/>
    <w:rsid w:val="00233B06"/>
    <w:rsid w:val="00233F21"/>
    <w:rsid w:val="00233FBD"/>
    <w:rsid w:val="002347D0"/>
    <w:rsid w:val="00235389"/>
    <w:rsid w:val="00236703"/>
    <w:rsid w:val="00236796"/>
    <w:rsid w:val="00236A9E"/>
    <w:rsid w:val="002401C6"/>
    <w:rsid w:val="002414A8"/>
    <w:rsid w:val="00242013"/>
    <w:rsid w:val="002433AD"/>
    <w:rsid w:val="00243600"/>
    <w:rsid w:val="00244147"/>
    <w:rsid w:val="00244BF9"/>
    <w:rsid w:val="00247826"/>
    <w:rsid w:val="00250129"/>
    <w:rsid w:val="0025195C"/>
    <w:rsid w:val="0025263B"/>
    <w:rsid w:val="00252802"/>
    <w:rsid w:val="00254D60"/>
    <w:rsid w:val="00256142"/>
    <w:rsid w:val="002570DC"/>
    <w:rsid w:val="00257DAE"/>
    <w:rsid w:val="0026009D"/>
    <w:rsid w:val="00260120"/>
    <w:rsid w:val="00260B40"/>
    <w:rsid w:val="002612EF"/>
    <w:rsid w:val="00261CCC"/>
    <w:rsid w:val="00263734"/>
    <w:rsid w:val="00263DF5"/>
    <w:rsid w:val="002640AE"/>
    <w:rsid w:val="00267F07"/>
    <w:rsid w:val="00271CB5"/>
    <w:rsid w:val="0027439D"/>
    <w:rsid w:val="002745B1"/>
    <w:rsid w:val="002750E5"/>
    <w:rsid w:val="002773B8"/>
    <w:rsid w:val="00277C10"/>
    <w:rsid w:val="00280FAE"/>
    <w:rsid w:val="00285191"/>
    <w:rsid w:val="00291966"/>
    <w:rsid w:val="00292CB2"/>
    <w:rsid w:val="00292D1A"/>
    <w:rsid w:val="0029380C"/>
    <w:rsid w:val="002A15C4"/>
    <w:rsid w:val="002A2805"/>
    <w:rsid w:val="002A306E"/>
    <w:rsid w:val="002A36F5"/>
    <w:rsid w:val="002A66DC"/>
    <w:rsid w:val="002A68D1"/>
    <w:rsid w:val="002B1C72"/>
    <w:rsid w:val="002B3BEF"/>
    <w:rsid w:val="002B3F6F"/>
    <w:rsid w:val="002B4976"/>
    <w:rsid w:val="002B5EF5"/>
    <w:rsid w:val="002B76EE"/>
    <w:rsid w:val="002C03FD"/>
    <w:rsid w:val="002C0AB5"/>
    <w:rsid w:val="002C0BC4"/>
    <w:rsid w:val="002C25ED"/>
    <w:rsid w:val="002C2A81"/>
    <w:rsid w:val="002C36EC"/>
    <w:rsid w:val="002C49C3"/>
    <w:rsid w:val="002C59E6"/>
    <w:rsid w:val="002C62F0"/>
    <w:rsid w:val="002C6346"/>
    <w:rsid w:val="002C6981"/>
    <w:rsid w:val="002C6D86"/>
    <w:rsid w:val="002C74EC"/>
    <w:rsid w:val="002D2211"/>
    <w:rsid w:val="002D4141"/>
    <w:rsid w:val="002D4A5C"/>
    <w:rsid w:val="002D5C96"/>
    <w:rsid w:val="002D60E8"/>
    <w:rsid w:val="002E1981"/>
    <w:rsid w:val="002E1EF8"/>
    <w:rsid w:val="002E3791"/>
    <w:rsid w:val="002F0B0B"/>
    <w:rsid w:val="002F111E"/>
    <w:rsid w:val="002F1CC0"/>
    <w:rsid w:val="002F4F9C"/>
    <w:rsid w:val="002F6AD7"/>
    <w:rsid w:val="002F7CEF"/>
    <w:rsid w:val="00301BA0"/>
    <w:rsid w:val="00301BC5"/>
    <w:rsid w:val="003027FE"/>
    <w:rsid w:val="00302FE8"/>
    <w:rsid w:val="003048F9"/>
    <w:rsid w:val="00304EA0"/>
    <w:rsid w:val="00305436"/>
    <w:rsid w:val="00305EFB"/>
    <w:rsid w:val="00311524"/>
    <w:rsid w:val="00312F79"/>
    <w:rsid w:val="00315B73"/>
    <w:rsid w:val="0031662D"/>
    <w:rsid w:val="00320CCD"/>
    <w:rsid w:val="003215BD"/>
    <w:rsid w:val="003219C1"/>
    <w:rsid w:val="00322A8F"/>
    <w:rsid w:val="00323A10"/>
    <w:rsid w:val="00323B02"/>
    <w:rsid w:val="00323CE3"/>
    <w:rsid w:val="003247CA"/>
    <w:rsid w:val="003252EF"/>
    <w:rsid w:val="003322F1"/>
    <w:rsid w:val="003325EF"/>
    <w:rsid w:val="00332CA4"/>
    <w:rsid w:val="003332C5"/>
    <w:rsid w:val="00335F79"/>
    <w:rsid w:val="0033740E"/>
    <w:rsid w:val="00341AA1"/>
    <w:rsid w:val="003427F2"/>
    <w:rsid w:val="00343714"/>
    <w:rsid w:val="003448DB"/>
    <w:rsid w:val="00345C70"/>
    <w:rsid w:val="00345C78"/>
    <w:rsid w:val="00345E2E"/>
    <w:rsid w:val="0035145F"/>
    <w:rsid w:val="0035233C"/>
    <w:rsid w:val="003544AC"/>
    <w:rsid w:val="0035609E"/>
    <w:rsid w:val="00361E4E"/>
    <w:rsid w:val="003623AB"/>
    <w:rsid w:val="00363392"/>
    <w:rsid w:val="00363D39"/>
    <w:rsid w:val="00364550"/>
    <w:rsid w:val="0036615D"/>
    <w:rsid w:val="00367C45"/>
    <w:rsid w:val="00370B5E"/>
    <w:rsid w:val="0037225B"/>
    <w:rsid w:val="00372C1D"/>
    <w:rsid w:val="0037434C"/>
    <w:rsid w:val="003744EE"/>
    <w:rsid w:val="003767D1"/>
    <w:rsid w:val="003815A7"/>
    <w:rsid w:val="00381D5F"/>
    <w:rsid w:val="0038295C"/>
    <w:rsid w:val="00383AFB"/>
    <w:rsid w:val="00383C6E"/>
    <w:rsid w:val="00384CFB"/>
    <w:rsid w:val="00393065"/>
    <w:rsid w:val="00394069"/>
    <w:rsid w:val="00394C70"/>
    <w:rsid w:val="00395A9A"/>
    <w:rsid w:val="00396009"/>
    <w:rsid w:val="003963F1"/>
    <w:rsid w:val="00397B7E"/>
    <w:rsid w:val="003A00C6"/>
    <w:rsid w:val="003A1EBF"/>
    <w:rsid w:val="003A3121"/>
    <w:rsid w:val="003A31A1"/>
    <w:rsid w:val="003A32E3"/>
    <w:rsid w:val="003B0070"/>
    <w:rsid w:val="003B01FA"/>
    <w:rsid w:val="003B220A"/>
    <w:rsid w:val="003B2C97"/>
    <w:rsid w:val="003B4B98"/>
    <w:rsid w:val="003C022E"/>
    <w:rsid w:val="003C0397"/>
    <w:rsid w:val="003C0B44"/>
    <w:rsid w:val="003C5021"/>
    <w:rsid w:val="003C5422"/>
    <w:rsid w:val="003C554A"/>
    <w:rsid w:val="003C621E"/>
    <w:rsid w:val="003C6EBF"/>
    <w:rsid w:val="003D3474"/>
    <w:rsid w:val="003D42E3"/>
    <w:rsid w:val="003D581C"/>
    <w:rsid w:val="003E177E"/>
    <w:rsid w:val="003E399A"/>
    <w:rsid w:val="003E4C19"/>
    <w:rsid w:val="003E52E5"/>
    <w:rsid w:val="003E6583"/>
    <w:rsid w:val="003F4B8A"/>
    <w:rsid w:val="003F58D2"/>
    <w:rsid w:val="003F74F9"/>
    <w:rsid w:val="003F7CE2"/>
    <w:rsid w:val="003F7EC2"/>
    <w:rsid w:val="004000EB"/>
    <w:rsid w:val="00402311"/>
    <w:rsid w:val="00402A79"/>
    <w:rsid w:val="00402C49"/>
    <w:rsid w:val="00402FCE"/>
    <w:rsid w:val="00403622"/>
    <w:rsid w:val="0040440A"/>
    <w:rsid w:val="00404D4C"/>
    <w:rsid w:val="00405679"/>
    <w:rsid w:val="004060DA"/>
    <w:rsid w:val="0041014B"/>
    <w:rsid w:val="00411CA5"/>
    <w:rsid w:val="00412F04"/>
    <w:rsid w:val="00413503"/>
    <w:rsid w:val="004228B3"/>
    <w:rsid w:val="00430364"/>
    <w:rsid w:val="004309FB"/>
    <w:rsid w:val="00430D5F"/>
    <w:rsid w:val="00430DC7"/>
    <w:rsid w:val="00431807"/>
    <w:rsid w:val="00431DC5"/>
    <w:rsid w:val="0043567E"/>
    <w:rsid w:val="00440014"/>
    <w:rsid w:val="00442272"/>
    <w:rsid w:val="00444A1E"/>
    <w:rsid w:val="00446A82"/>
    <w:rsid w:val="004544C6"/>
    <w:rsid w:val="004571B9"/>
    <w:rsid w:val="00457C88"/>
    <w:rsid w:val="004627AF"/>
    <w:rsid w:val="00464CA7"/>
    <w:rsid w:val="004743BC"/>
    <w:rsid w:val="004744D9"/>
    <w:rsid w:val="00476828"/>
    <w:rsid w:val="00476D17"/>
    <w:rsid w:val="00477D7E"/>
    <w:rsid w:val="00483A37"/>
    <w:rsid w:val="00483F00"/>
    <w:rsid w:val="00483FE5"/>
    <w:rsid w:val="00484159"/>
    <w:rsid w:val="00485DE1"/>
    <w:rsid w:val="00486604"/>
    <w:rsid w:val="004905B1"/>
    <w:rsid w:val="004909F7"/>
    <w:rsid w:val="0049258A"/>
    <w:rsid w:val="004955BF"/>
    <w:rsid w:val="004957C3"/>
    <w:rsid w:val="00495D78"/>
    <w:rsid w:val="004A0F67"/>
    <w:rsid w:val="004A13DA"/>
    <w:rsid w:val="004A3351"/>
    <w:rsid w:val="004A340C"/>
    <w:rsid w:val="004A68E9"/>
    <w:rsid w:val="004B022A"/>
    <w:rsid w:val="004B0271"/>
    <w:rsid w:val="004B0CCB"/>
    <w:rsid w:val="004B2EF8"/>
    <w:rsid w:val="004B41FC"/>
    <w:rsid w:val="004B4449"/>
    <w:rsid w:val="004B621D"/>
    <w:rsid w:val="004B67E5"/>
    <w:rsid w:val="004C2C84"/>
    <w:rsid w:val="004C3C55"/>
    <w:rsid w:val="004C506B"/>
    <w:rsid w:val="004C5F89"/>
    <w:rsid w:val="004C7394"/>
    <w:rsid w:val="004D357F"/>
    <w:rsid w:val="004D36CA"/>
    <w:rsid w:val="004D5376"/>
    <w:rsid w:val="004D5758"/>
    <w:rsid w:val="004D7185"/>
    <w:rsid w:val="004D77FE"/>
    <w:rsid w:val="004D7ACF"/>
    <w:rsid w:val="004D7B2A"/>
    <w:rsid w:val="004E3167"/>
    <w:rsid w:val="004E57DD"/>
    <w:rsid w:val="004E6842"/>
    <w:rsid w:val="004E7BA6"/>
    <w:rsid w:val="004E7BE8"/>
    <w:rsid w:val="004F101C"/>
    <w:rsid w:val="004F15D6"/>
    <w:rsid w:val="004F1FCA"/>
    <w:rsid w:val="004F30C2"/>
    <w:rsid w:val="004F428A"/>
    <w:rsid w:val="004F6389"/>
    <w:rsid w:val="004F65C1"/>
    <w:rsid w:val="00504E3E"/>
    <w:rsid w:val="00507A47"/>
    <w:rsid w:val="00510088"/>
    <w:rsid w:val="00511A3B"/>
    <w:rsid w:val="0051382C"/>
    <w:rsid w:val="00514348"/>
    <w:rsid w:val="00516D2F"/>
    <w:rsid w:val="005208DF"/>
    <w:rsid w:val="00521980"/>
    <w:rsid w:val="0052264E"/>
    <w:rsid w:val="00522BDC"/>
    <w:rsid w:val="005253BF"/>
    <w:rsid w:val="00526F07"/>
    <w:rsid w:val="00527C30"/>
    <w:rsid w:val="00530948"/>
    <w:rsid w:val="0053182B"/>
    <w:rsid w:val="00532254"/>
    <w:rsid w:val="00532428"/>
    <w:rsid w:val="005342DA"/>
    <w:rsid w:val="005344BC"/>
    <w:rsid w:val="00540862"/>
    <w:rsid w:val="00540BED"/>
    <w:rsid w:val="00540FF8"/>
    <w:rsid w:val="00541923"/>
    <w:rsid w:val="005449C2"/>
    <w:rsid w:val="00546F05"/>
    <w:rsid w:val="005514EE"/>
    <w:rsid w:val="00552B5F"/>
    <w:rsid w:val="00554ACD"/>
    <w:rsid w:val="00556241"/>
    <w:rsid w:val="00557C14"/>
    <w:rsid w:val="00561818"/>
    <w:rsid w:val="00566B31"/>
    <w:rsid w:val="005673B9"/>
    <w:rsid w:val="0056775B"/>
    <w:rsid w:val="0057072F"/>
    <w:rsid w:val="00571064"/>
    <w:rsid w:val="0057227B"/>
    <w:rsid w:val="005731AA"/>
    <w:rsid w:val="00581D1E"/>
    <w:rsid w:val="00582BA5"/>
    <w:rsid w:val="00583649"/>
    <w:rsid w:val="005839EF"/>
    <w:rsid w:val="005848D2"/>
    <w:rsid w:val="0058628B"/>
    <w:rsid w:val="0058672D"/>
    <w:rsid w:val="00586FE5"/>
    <w:rsid w:val="00591AED"/>
    <w:rsid w:val="00592056"/>
    <w:rsid w:val="00592625"/>
    <w:rsid w:val="00593311"/>
    <w:rsid w:val="00595060"/>
    <w:rsid w:val="00595082"/>
    <w:rsid w:val="005961E0"/>
    <w:rsid w:val="005A19F9"/>
    <w:rsid w:val="005A264F"/>
    <w:rsid w:val="005A335D"/>
    <w:rsid w:val="005A375F"/>
    <w:rsid w:val="005A46F3"/>
    <w:rsid w:val="005A7C77"/>
    <w:rsid w:val="005B03D8"/>
    <w:rsid w:val="005B1588"/>
    <w:rsid w:val="005B2DDA"/>
    <w:rsid w:val="005B39D6"/>
    <w:rsid w:val="005B3C0A"/>
    <w:rsid w:val="005C2252"/>
    <w:rsid w:val="005C2627"/>
    <w:rsid w:val="005C3F16"/>
    <w:rsid w:val="005C5595"/>
    <w:rsid w:val="005C6512"/>
    <w:rsid w:val="005C6E23"/>
    <w:rsid w:val="005C7394"/>
    <w:rsid w:val="005C7922"/>
    <w:rsid w:val="005C7FE7"/>
    <w:rsid w:val="005D0E69"/>
    <w:rsid w:val="005D0F1D"/>
    <w:rsid w:val="005D1730"/>
    <w:rsid w:val="005D183F"/>
    <w:rsid w:val="005D50FF"/>
    <w:rsid w:val="005E0A60"/>
    <w:rsid w:val="005E0C5E"/>
    <w:rsid w:val="005E1A7D"/>
    <w:rsid w:val="005E1C28"/>
    <w:rsid w:val="005E2AAB"/>
    <w:rsid w:val="005E4001"/>
    <w:rsid w:val="005E5DD8"/>
    <w:rsid w:val="005F0F6F"/>
    <w:rsid w:val="005F0FA8"/>
    <w:rsid w:val="005F3111"/>
    <w:rsid w:val="005F5600"/>
    <w:rsid w:val="005F6A6B"/>
    <w:rsid w:val="006003F1"/>
    <w:rsid w:val="00600D2E"/>
    <w:rsid w:val="00601EB9"/>
    <w:rsid w:val="0060248B"/>
    <w:rsid w:val="00604B2F"/>
    <w:rsid w:val="00605D34"/>
    <w:rsid w:val="00605EEF"/>
    <w:rsid w:val="00606567"/>
    <w:rsid w:val="00610E92"/>
    <w:rsid w:val="00614412"/>
    <w:rsid w:val="006147A7"/>
    <w:rsid w:val="006168D2"/>
    <w:rsid w:val="00616BB6"/>
    <w:rsid w:val="00621857"/>
    <w:rsid w:val="00621B32"/>
    <w:rsid w:val="00621C22"/>
    <w:rsid w:val="006221FB"/>
    <w:rsid w:val="00623438"/>
    <w:rsid w:val="00623739"/>
    <w:rsid w:val="00627712"/>
    <w:rsid w:val="006302B7"/>
    <w:rsid w:val="00630DF4"/>
    <w:rsid w:val="00631FF7"/>
    <w:rsid w:val="006358E7"/>
    <w:rsid w:val="00642E92"/>
    <w:rsid w:val="006432CE"/>
    <w:rsid w:val="00643983"/>
    <w:rsid w:val="00647295"/>
    <w:rsid w:val="00650083"/>
    <w:rsid w:val="00652467"/>
    <w:rsid w:val="00652EE5"/>
    <w:rsid w:val="00656B8F"/>
    <w:rsid w:val="00656D53"/>
    <w:rsid w:val="006575F4"/>
    <w:rsid w:val="006578D1"/>
    <w:rsid w:val="00657B2A"/>
    <w:rsid w:val="00660914"/>
    <w:rsid w:val="00661634"/>
    <w:rsid w:val="00661FB3"/>
    <w:rsid w:val="00662F64"/>
    <w:rsid w:val="00664257"/>
    <w:rsid w:val="006676CC"/>
    <w:rsid w:val="00672B33"/>
    <w:rsid w:val="006743CD"/>
    <w:rsid w:val="00677055"/>
    <w:rsid w:val="00677CC2"/>
    <w:rsid w:val="00682870"/>
    <w:rsid w:val="00684D2E"/>
    <w:rsid w:val="00685565"/>
    <w:rsid w:val="00685B9A"/>
    <w:rsid w:val="00690221"/>
    <w:rsid w:val="00691728"/>
    <w:rsid w:val="00691CB4"/>
    <w:rsid w:val="00695437"/>
    <w:rsid w:val="006955C3"/>
    <w:rsid w:val="00696564"/>
    <w:rsid w:val="006971F5"/>
    <w:rsid w:val="006A1335"/>
    <w:rsid w:val="006A437D"/>
    <w:rsid w:val="006A5C36"/>
    <w:rsid w:val="006A7072"/>
    <w:rsid w:val="006A79A7"/>
    <w:rsid w:val="006B3E23"/>
    <w:rsid w:val="006C0728"/>
    <w:rsid w:val="006C156E"/>
    <w:rsid w:val="006C4B6C"/>
    <w:rsid w:val="006C6D15"/>
    <w:rsid w:val="006D349B"/>
    <w:rsid w:val="006D5D1A"/>
    <w:rsid w:val="006D721F"/>
    <w:rsid w:val="006E1B64"/>
    <w:rsid w:val="006E1FF5"/>
    <w:rsid w:val="006E278E"/>
    <w:rsid w:val="006E5412"/>
    <w:rsid w:val="006E5E28"/>
    <w:rsid w:val="006F10B1"/>
    <w:rsid w:val="006F2B36"/>
    <w:rsid w:val="006F2E4C"/>
    <w:rsid w:val="006F3A19"/>
    <w:rsid w:val="006F490B"/>
    <w:rsid w:val="006F59B1"/>
    <w:rsid w:val="006F6025"/>
    <w:rsid w:val="006F7EBE"/>
    <w:rsid w:val="00700D52"/>
    <w:rsid w:val="00703637"/>
    <w:rsid w:val="00704450"/>
    <w:rsid w:val="007064AA"/>
    <w:rsid w:val="00706BDA"/>
    <w:rsid w:val="00707DC1"/>
    <w:rsid w:val="0071141D"/>
    <w:rsid w:val="00711A7F"/>
    <w:rsid w:val="00713C14"/>
    <w:rsid w:val="00714136"/>
    <w:rsid w:val="0071581D"/>
    <w:rsid w:val="007221AA"/>
    <w:rsid w:val="00725EBF"/>
    <w:rsid w:val="00726109"/>
    <w:rsid w:val="00726244"/>
    <w:rsid w:val="00732826"/>
    <w:rsid w:val="007331DC"/>
    <w:rsid w:val="007359F0"/>
    <w:rsid w:val="00735F7B"/>
    <w:rsid w:val="0073660A"/>
    <w:rsid w:val="00736648"/>
    <w:rsid w:val="00736806"/>
    <w:rsid w:val="007404A6"/>
    <w:rsid w:val="00742F05"/>
    <w:rsid w:val="00743D77"/>
    <w:rsid w:val="0074646E"/>
    <w:rsid w:val="00750099"/>
    <w:rsid w:val="0075125C"/>
    <w:rsid w:val="00751419"/>
    <w:rsid w:val="007539EC"/>
    <w:rsid w:val="00754F0D"/>
    <w:rsid w:val="00756193"/>
    <w:rsid w:val="00756525"/>
    <w:rsid w:val="0075762C"/>
    <w:rsid w:val="00757BDA"/>
    <w:rsid w:val="00760912"/>
    <w:rsid w:val="00761EC7"/>
    <w:rsid w:val="00762F13"/>
    <w:rsid w:val="007635C1"/>
    <w:rsid w:val="00763736"/>
    <w:rsid w:val="007642EE"/>
    <w:rsid w:val="00766450"/>
    <w:rsid w:val="00766A36"/>
    <w:rsid w:val="007709E8"/>
    <w:rsid w:val="00770A3B"/>
    <w:rsid w:val="00771F17"/>
    <w:rsid w:val="00773728"/>
    <w:rsid w:val="00774090"/>
    <w:rsid w:val="00775E4E"/>
    <w:rsid w:val="00776EF9"/>
    <w:rsid w:val="0078174A"/>
    <w:rsid w:val="007829BD"/>
    <w:rsid w:val="00783534"/>
    <w:rsid w:val="00783626"/>
    <w:rsid w:val="00783E0D"/>
    <w:rsid w:val="00784580"/>
    <w:rsid w:val="00787271"/>
    <w:rsid w:val="00790D0B"/>
    <w:rsid w:val="007912FC"/>
    <w:rsid w:val="00791700"/>
    <w:rsid w:val="00793ED5"/>
    <w:rsid w:val="007962C3"/>
    <w:rsid w:val="007967F1"/>
    <w:rsid w:val="00797649"/>
    <w:rsid w:val="007A0233"/>
    <w:rsid w:val="007A3650"/>
    <w:rsid w:val="007A3A66"/>
    <w:rsid w:val="007A3ADC"/>
    <w:rsid w:val="007A53B1"/>
    <w:rsid w:val="007A594B"/>
    <w:rsid w:val="007A68C1"/>
    <w:rsid w:val="007A7274"/>
    <w:rsid w:val="007A7E6B"/>
    <w:rsid w:val="007B0E89"/>
    <w:rsid w:val="007B2ABC"/>
    <w:rsid w:val="007B3C87"/>
    <w:rsid w:val="007B5A0B"/>
    <w:rsid w:val="007B5E7B"/>
    <w:rsid w:val="007B6BDD"/>
    <w:rsid w:val="007B6FEA"/>
    <w:rsid w:val="007B7260"/>
    <w:rsid w:val="007B7A6B"/>
    <w:rsid w:val="007C29AB"/>
    <w:rsid w:val="007C365B"/>
    <w:rsid w:val="007C6580"/>
    <w:rsid w:val="007D24B9"/>
    <w:rsid w:val="007D42F0"/>
    <w:rsid w:val="007D4358"/>
    <w:rsid w:val="007D6102"/>
    <w:rsid w:val="007D7B75"/>
    <w:rsid w:val="007D7CEF"/>
    <w:rsid w:val="007E1E24"/>
    <w:rsid w:val="007E27D5"/>
    <w:rsid w:val="007E447C"/>
    <w:rsid w:val="007F0434"/>
    <w:rsid w:val="007F0BD5"/>
    <w:rsid w:val="007F0C68"/>
    <w:rsid w:val="007F5F12"/>
    <w:rsid w:val="007F64FF"/>
    <w:rsid w:val="007F6C6B"/>
    <w:rsid w:val="007F7E29"/>
    <w:rsid w:val="008016DC"/>
    <w:rsid w:val="00802606"/>
    <w:rsid w:val="008041D5"/>
    <w:rsid w:val="00805D5D"/>
    <w:rsid w:val="008064A2"/>
    <w:rsid w:val="00806744"/>
    <w:rsid w:val="00806D5D"/>
    <w:rsid w:val="00807F8B"/>
    <w:rsid w:val="008119D8"/>
    <w:rsid w:val="00811DA5"/>
    <w:rsid w:val="00812D40"/>
    <w:rsid w:val="0081356F"/>
    <w:rsid w:val="0081424F"/>
    <w:rsid w:val="00814521"/>
    <w:rsid w:val="008149BA"/>
    <w:rsid w:val="0081538D"/>
    <w:rsid w:val="008153DF"/>
    <w:rsid w:val="00816C4B"/>
    <w:rsid w:val="00817515"/>
    <w:rsid w:val="008175B1"/>
    <w:rsid w:val="008176B8"/>
    <w:rsid w:val="00822CBF"/>
    <w:rsid w:val="00823C94"/>
    <w:rsid w:val="00823E27"/>
    <w:rsid w:val="00826786"/>
    <w:rsid w:val="008278F0"/>
    <w:rsid w:val="00830536"/>
    <w:rsid w:val="0083157C"/>
    <w:rsid w:val="00832D3E"/>
    <w:rsid w:val="00833A85"/>
    <w:rsid w:val="00834DE3"/>
    <w:rsid w:val="00837AB7"/>
    <w:rsid w:val="00837E77"/>
    <w:rsid w:val="00841DA2"/>
    <w:rsid w:val="00841E46"/>
    <w:rsid w:val="008428C8"/>
    <w:rsid w:val="00843232"/>
    <w:rsid w:val="0084351D"/>
    <w:rsid w:val="008445E8"/>
    <w:rsid w:val="00844F41"/>
    <w:rsid w:val="00845792"/>
    <w:rsid w:val="00845F33"/>
    <w:rsid w:val="00853212"/>
    <w:rsid w:val="00853A36"/>
    <w:rsid w:val="008550E4"/>
    <w:rsid w:val="00855AEB"/>
    <w:rsid w:val="008575FF"/>
    <w:rsid w:val="00857A00"/>
    <w:rsid w:val="008609DF"/>
    <w:rsid w:val="00861AD9"/>
    <w:rsid w:val="00862072"/>
    <w:rsid w:val="00863280"/>
    <w:rsid w:val="0086393C"/>
    <w:rsid w:val="00864D53"/>
    <w:rsid w:val="00866D73"/>
    <w:rsid w:val="00867604"/>
    <w:rsid w:val="00867D6D"/>
    <w:rsid w:val="00872522"/>
    <w:rsid w:val="008756AF"/>
    <w:rsid w:val="00875EDE"/>
    <w:rsid w:val="008770C2"/>
    <w:rsid w:val="00877E4C"/>
    <w:rsid w:val="00880031"/>
    <w:rsid w:val="00881C1E"/>
    <w:rsid w:val="008868A2"/>
    <w:rsid w:val="00887C88"/>
    <w:rsid w:val="00890645"/>
    <w:rsid w:val="00890E35"/>
    <w:rsid w:val="00891EE6"/>
    <w:rsid w:val="00893E48"/>
    <w:rsid w:val="008949AC"/>
    <w:rsid w:val="00895513"/>
    <w:rsid w:val="00895639"/>
    <w:rsid w:val="008975A4"/>
    <w:rsid w:val="00897D1C"/>
    <w:rsid w:val="008A1105"/>
    <w:rsid w:val="008A3090"/>
    <w:rsid w:val="008A39EA"/>
    <w:rsid w:val="008A4DD6"/>
    <w:rsid w:val="008A6C18"/>
    <w:rsid w:val="008A6CB5"/>
    <w:rsid w:val="008A6E68"/>
    <w:rsid w:val="008B2A79"/>
    <w:rsid w:val="008B32CF"/>
    <w:rsid w:val="008B350C"/>
    <w:rsid w:val="008B49F0"/>
    <w:rsid w:val="008C0B59"/>
    <w:rsid w:val="008C2531"/>
    <w:rsid w:val="008C2705"/>
    <w:rsid w:val="008C2B98"/>
    <w:rsid w:val="008C3B0C"/>
    <w:rsid w:val="008C3E59"/>
    <w:rsid w:val="008C4957"/>
    <w:rsid w:val="008C6068"/>
    <w:rsid w:val="008C6FBF"/>
    <w:rsid w:val="008C7EDD"/>
    <w:rsid w:val="008D17DD"/>
    <w:rsid w:val="008D3F0E"/>
    <w:rsid w:val="008D59B3"/>
    <w:rsid w:val="008D5FD6"/>
    <w:rsid w:val="008D72D8"/>
    <w:rsid w:val="008E0F3A"/>
    <w:rsid w:val="008E1491"/>
    <w:rsid w:val="008E172F"/>
    <w:rsid w:val="008E38E3"/>
    <w:rsid w:val="008E70B2"/>
    <w:rsid w:val="008F0324"/>
    <w:rsid w:val="008F1097"/>
    <w:rsid w:val="008F1CB0"/>
    <w:rsid w:val="008F220A"/>
    <w:rsid w:val="008F482B"/>
    <w:rsid w:val="008F6592"/>
    <w:rsid w:val="008F6F6D"/>
    <w:rsid w:val="00900715"/>
    <w:rsid w:val="00901C83"/>
    <w:rsid w:val="009020CF"/>
    <w:rsid w:val="00902E00"/>
    <w:rsid w:val="00902EA4"/>
    <w:rsid w:val="00904BDD"/>
    <w:rsid w:val="00904C40"/>
    <w:rsid w:val="00905856"/>
    <w:rsid w:val="00907C3F"/>
    <w:rsid w:val="009109B2"/>
    <w:rsid w:val="00910C98"/>
    <w:rsid w:val="00910FC6"/>
    <w:rsid w:val="0091100B"/>
    <w:rsid w:val="00912549"/>
    <w:rsid w:val="00916762"/>
    <w:rsid w:val="00922F0C"/>
    <w:rsid w:val="00924E03"/>
    <w:rsid w:val="009256CE"/>
    <w:rsid w:val="00926758"/>
    <w:rsid w:val="009269E7"/>
    <w:rsid w:val="0093239A"/>
    <w:rsid w:val="00933071"/>
    <w:rsid w:val="00933161"/>
    <w:rsid w:val="0093379B"/>
    <w:rsid w:val="00934D6D"/>
    <w:rsid w:val="00937251"/>
    <w:rsid w:val="009429E2"/>
    <w:rsid w:val="00942E94"/>
    <w:rsid w:val="00945510"/>
    <w:rsid w:val="0094593D"/>
    <w:rsid w:val="00946E74"/>
    <w:rsid w:val="009470B1"/>
    <w:rsid w:val="00950D20"/>
    <w:rsid w:val="00951718"/>
    <w:rsid w:val="009534BD"/>
    <w:rsid w:val="00953F4B"/>
    <w:rsid w:val="009550C1"/>
    <w:rsid w:val="00955BBC"/>
    <w:rsid w:val="009560BB"/>
    <w:rsid w:val="009568A1"/>
    <w:rsid w:val="00957CAA"/>
    <w:rsid w:val="00961312"/>
    <w:rsid w:val="00962DA6"/>
    <w:rsid w:val="0096327A"/>
    <w:rsid w:val="00964F2F"/>
    <w:rsid w:val="009660E0"/>
    <w:rsid w:val="00966D06"/>
    <w:rsid w:val="00967E1D"/>
    <w:rsid w:val="00971A43"/>
    <w:rsid w:val="00971CE8"/>
    <w:rsid w:val="009721AE"/>
    <w:rsid w:val="00972897"/>
    <w:rsid w:val="00972F49"/>
    <w:rsid w:val="0097369C"/>
    <w:rsid w:val="009738E4"/>
    <w:rsid w:val="00973B25"/>
    <w:rsid w:val="0097527D"/>
    <w:rsid w:val="00975914"/>
    <w:rsid w:val="00975C37"/>
    <w:rsid w:val="00976441"/>
    <w:rsid w:val="0097668A"/>
    <w:rsid w:val="00976E9D"/>
    <w:rsid w:val="009777E7"/>
    <w:rsid w:val="009818C9"/>
    <w:rsid w:val="009844D2"/>
    <w:rsid w:val="0099002B"/>
    <w:rsid w:val="00991371"/>
    <w:rsid w:val="009913F4"/>
    <w:rsid w:val="00994FF8"/>
    <w:rsid w:val="00995863"/>
    <w:rsid w:val="009962D0"/>
    <w:rsid w:val="00996B89"/>
    <w:rsid w:val="00997EAA"/>
    <w:rsid w:val="009A0028"/>
    <w:rsid w:val="009A00D4"/>
    <w:rsid w:val="009A0410"/>
    <w:rsid w:val="009A0F69"/>
    <w:rsid w:val="009A5ECC"/>
    <w:rsid w:val="009A6924"/>
    <w:rsid w:val="009B1022"/>
    <w:rsid w:val="009B4D37"/>
    <w:rsid w:val="009B540E"/>
    <w:rsid w:val="009B5D57"/>
    <w:rsid w:val="009B5DCB"/>
    <w:rsid w:val="009B6FFA"/>
    <w:rsid w:val="009C03B0"/>
    <w:rsid w:val="009C0757"/>
    <w:rsid w:val="009C0D1A"/>
    <w:rsid w:val="009C105B"/>
    <w:rsid w:val="009C190A"/>
    <w:rsid w:val="009C1FE6"/>
    <w:rsid w:val="009C2852"/>
    <w:rsid w:val="009C35FB"/>
    <w:rsid w:val="009C3801"/>
    <w:rsid w:val="009C5350"/>
    <w:rsid w:val="009C67AE"/>
    <w:rsid w:val="009C6B90"/>
    <w:rsid w:val="009C78F3"/>
    <w:rsid w:val="009C7EA4"/>
    <w:rsid w:val="009D00BF"/>
    <w:rsid w:val="009D550C"/>
    <w:rsid w:val="009D6AA5"/>
    <w:rsid w:val="009D7165"/>
    <w:rsid w:val="009E0E0E"/>
    <w:rsid w:val="009E406F"/>
    <w:rsid w:val="009E4CD5"/>
    <w:rsid w:val="009E5400"/>
    <w:rsid w:val="009E5D16"/>
    <w:rsid w:val="009E6B78"/>
    <w:rsid w:val="009E775E"/>
    <w:rsid w:val="009F2FC1"/>
    <w:rsid w:val="009F4F93"/>
    <w:rsid w:val="009F5957"/>
    <w:rsid w:val="00A00090"/>
    <w:rsid w:val="00A01A02"/>
    <w:rsid w:val="00A023BF"/>
    <w:rsid w:val="00A02F12"/>
    <w:rsid w:val="00A03850"/>
    <w:rsid w:val="00A07412"/>
    <w:rsid w:val="00A116EC"/>
    <w:rsid w:val="00A131A1"/>
    <w:rsid w:val="00A16B9B"/>
    <w:rsid w:val="00A16F63"/>
    <w:rsid w:val="00A17076"/>
    <w:rsid w:val="00A204D3"/>
    <w:rsid w:val="00A209F7"/>
    <w:rsid w:val="00A20B0D"/>
    <w:rsid w:val="00A220D8"/>
    <w:rsid w:val="00A22605"/>
    <w:rsid w:val="00A229B7"/>
    <w:rsid w:val="00A22A26"/>
    <w:rsid w:val="00A270D6"/>
    <w:rsid w:val="00A27124"/>
    <w:rsid w:val="00A309EB"/>
    <w:rsid w:val="00A33326"/>
    <w:rsid w:val="00A3371E"/>
    <w:rsid w:val="00A37817"/>
    <w:rsid w:val="00A3793E"/>
    <w:rsid w:val="00A40695"/>
    <w:rsid w:val="00A40DA7"/>
    <w:rsid w:val="00A4300C"/>
    <w:rsid w:val="00A461A3"/>
    <w:rsid w:val="00A5096D"/>
    <w:rsid w:val="00A52E3A"/>
    <w:rsid w:val="00A54173"/>
    <w:rsid w:val="00A5423B"/>
    <w:rsid w:val="00A54AD2"/>
    <w:rsid w:val="00A55554"/>
    <w:rsid w:val="00A56BFB"/>
    <w:rsid w:val="00A60FCF"/>
    <w:rsid w:val="00A61A7F"/>
    <w:rsid w:val="00A62FF3"/>
    <w:rsid w:val="00A638BD"/>
    <w:rsid w:val="00A64081"/>
    <w:rsid w:val="00A65E82"/>
    <w:rsid w:val="00A66BB5"/>
    <w:rsid w:val="00A67427"/>
    <w:rsid w:val="00A703D7"/>
    <w:rsid w:val="00A72618"/>
    <w:rsid w:val="00A77820"/>
    <w:rsid w:val="00A77C1D"/>
    <w:rsid w:val="00A80B6E"/>
    <w:rsid w:val="00A81CB9"/>
    <w:rsid w:val="00A82106"/>
    <w:rsid w:val="00A82ACB"/>
    <w:rsid w:val="00A84E6F"/>
    <w:rsid w:val="00A85491"/>
    <w:rsid w:val="00A85516"/>
    <w:rsid w:val="00A85D4F"/>
    <w:rsid w:val="00A904FF"/>
    <w:rsid w:val="00A93A85"/>
    <w:rsid w:val="00AA031A"/>
    <w:rsid w:val="00AA07C3"/>
    <w:rsid w:val="00AA41E3"/>
    <w:rsid w:val="00AA426D"/>
    <w:rsid w:val="00AA5576"/>
    <w:rsid w:val="00AA5ADE"/>
    <w:rsid w:val="00AA7421"/>
    <w:rsid w:val="00AB0F9F"/>
    <w:rsid w:val="00AB1151"/>
    <w:rsid w:val="00AB1603"/>
    <w:rsid w:val="00AB4316"/>
    <w:rsid w:val="00AB5B01"/>
    <w:rsid w:val="00AB5FA3"/>
    <w:rsid w:val="00AB7994"/>
    <w:rsid w:val="00AB79CE"/>
    <w:rsid w:val="00AB7CFB"/>
    <w:rsid w:val="00AC005B"/>
    <w:rsid w:val="00AC2EB3"/>
    <w:rsid w:val="00AC2F12"/>
    <w:rsid w:val="00AC325C"/>
    <w:rsid w:val="00AC3B5E"/>
    <w:rsid w:val="00AC40D8"/>
    <w:rsid w:val="00AC525C"/>
    <w:rsid w:val="00AC5A9E"/>
    <w:rsid w:val="00AC7155"/>
    <w:rsid w:val="00AD1A62"/>
    <w:rsid w:val="00AD2E6E"/>
    <w:rsid w:val="00AD7375"/>
    <w:rsid w:val="00AD7D3C"/>
    <w:rsid w:val="00AE0219"/>
    <w:rsid w:val="00AE052D"/>
    <w:rsid w:val="00AE08CA"/>
    <w:rsid w:val="00AE15D4"/>
    <w:rsid w:val="00AE7EB1"/>
    <w:rsid w:val="00AF03BD"/>
    <w:rsid w:val="00AF33E7"/>
    <w:rsid w:val="00AF3673"/>
    <w:rsid w:val="00AF5F8E"/>
    <w:rsid w:val="00AF7751"/>
    <w:rsid w:val="00AF7B52"/>
    <w:rsid w:val="00B00C4F"/>
    <w:rsid w:val="00B012CA"/>
    <w:rsid w:val="00B01ECD"/>
    <w:rsid w:val="00B01F4D"/>
    <w:rsid w:val="00B02844"/>
    <w:rsid w:val="00B0309C"/>
    <w:rsid w:val="00B05860"/>
    <w:rsid w:val="00B0593B"/>
    <w:rsid w:val="00B07373"/>
    <w:rsid w:val="00B0743D"/>
    <w:rsid w:val="00B10A3C"/>
    <w:rsid w:val="00B12001"/>
    <w:rsid w:val="00B13BBC"/>
    <w:rsid w:val="00B1419B"/>
    <w:rsid w:val="00B15C91"/>
    <w:rsid w:val="00B1613A"/>
    <w:rsid w:val="00B16A95"/>
    <w:rsid w:val="00B16CF9"/>
    <w:rsid w:val="00B173B8"/>
    <w:rsid w:val="00B202F5"/>
    <w:rsid w:val="00B25E2B"/>
    <w:rsid w:val="00B26A82"/>
    <w:rsid w:val="00B31031"/>
    <w:rsid w:val="00B311DA"/>
    <w:rsid w:val="00B32327"/>
    <w:rsid w:val="00B3268D"/>
    <w:rsid w:val="00B348A8"/>
    <w:rsid w:val="00B358BF"/>
    <w:rsid w:val="00B35DB0"/>
    <w:rsid w:val="00B36021"/>
    <w:rsid w:val="00B37B39"/>
    <w:rsid w:val="00B40080"/>
    <w:rsid w:val="00B44DE1"/>
    <w:rsid w:val="00B44F12"/>
    <w:rsid w:val="00B45A2B"/>
    <w:rsid w:val="00B47B51"/>
    <w:rsid w:val="00B47C1B"/>
    <w:rsid w:val="00B50195"/>
    <w:rsid w:val="00B503DF"/>
    <w:rsid w:val="00B50CCB"/>
    <w:rsid w:val="00B519F9"/>
    <w:rsid w:val="00B52637"/>
    <w:rsid w:val="00B52A83"/>
    <w:rsid w:val="00B54A2E"/>
    <w:rsid w:val="00B54F84"/>
    <w:rsid w:val="00B55665"/>
    <w:rsid w:val="00B56B69"/>
    <w:rsid w:val="00B64B4A"/>
    <w:rsid w:val="00B64B7A"/>
    <w:rsid w:val="00B6516B"/>
    <w:rsid w:val="00B67A0B"/>
    <w:rsid w:val="00B70140"/>
    <w:rsid w:val="00B70737"/>
    <w:rsid w:val="00B725A5"/>
    <w:rsid w:val="00B754D7"/>
    <w:rsid w:val="00B77B3D"/>
    <w:rsid w:val="00B77E20"/>
    <w:rsid w:val="00B77EE8"/>
    <w:rsid w:val="00B8145F"/>
    <w:rsid w:val="00B84687"/>
    <w:rsid w:val="00B862EE"/>
    <w:rsid w:val="00B864E6"/>
    <w:rsid w:val="00B90880"/>
    <w:rsid w:val="00B90AF3"/>
    <w:rsid w:val="00B93B8B"/>
    <w:rsid w:val="00B94119"/>
    <w:rsid w:val="00BA0A3B"/>
    <w:rsid w:val="00BA3A62"/>
    <w:rsid w:val="00BA3C8D"/>
    <w:rsid w:val="00BA5283"/>
    <w:rsid w:val="00BA62DD"/>
    <w:rsid w:val="00BA7594"/>
    <w:rsid w:val="00BB11F2"/>
    <w:rsid w:val="00BB2423"/>
    <w:rsid w:val="00BB271E"/>
    <w:rsid w:val="00BB2967"/>
    <w:rsid w:val="00BB7A4A"/>
    <w:rsid w:val="00BC0F7A"/>
    <w:rsid w:val="00BC5D4A"/>
    <w:rsid w:val="00BD35A1"/>
    <w:rsid w:val="00BD583C"/>
    <w:rsid w:val="00BD74A0"/>
    <w:rsid w:val="00BE0E3B"/>
    <w:rsid w:val="00BE12F6"/>
    <w:rsid w:val="00BE27F8"/>
    <w:rsid w:val="00BE319D"/>
    <w:rsid w:val="00BE4317"/>
    <w:rsid w:val="00BE49EC"/>
    <w:rsid w:val="00BF0E67"/>
    <w:rsid w:val="00BF1E13"/>
    <w:rsid w:val="00BF33A2"/>
    <w:rsid w:val="00BF7685"/>
    <w:rsid w:val="00BF7796"/>
    <w:rsid w:val="00C027FB"/>
    <w:rsid w:val="00C03519"/>
    <w:rsid w:val="00C03C15"/>
    <w:rsid w:val="00C06103"/>
    <w:rsid w:val="00C101BE"/>
    <w:rsid w:val="00C11EB4"/>
    <w:rsid w:val="00C12920"/>
    <w:rsid w:val="00C15973"/>
    <w:rsid w:val="00C1647E"/>
    <w:rsid w:val="00C16FF7"/>
    <w:rsid w:val="00C20435"/>
    <w:rsid w:val="00C211D6"/>
    <w:rsid w:val="00C2137D"/>
    <w:rsid w:val="00C25264"/>
    <w:rsid w:val="00C25F73"/>
    <w:rsid w:val="00C31842"/>
    <w:rsid w:val="00C33501"/>
    <w:rsid w:val="00C3577D"/>
    <w:rsid w:val="00C35A47"/>
    <w:rsid w:val="00C35AC5"/>
    <w:rsid w:val="00C36476"/>
    <w:rsid w:val="00C375AC"/>
    <w:rsid w:val="00C420D5"/>
    <w:rsid w:val="00C42601"/>
    <w:rsid w:val="00C4468B"/>
    <w:rsid w:val="00C447F3"/>
    <w:rsid w:val="00C44C45"/>
    <w:rsid w:val="00C45879"/>
    <w:rsid w:val="00C459E6"/>
    <w:rsid w:val="00C46D14"/>
    <w:rsid w:val="00C46DB8"/>
    <w:rsid w:val="00C47D84"/>
    <w:rsid w:val="00C50885"/>
    <w:rsid w:val="00C51B0D"/>
    <w:rsid w:val="00C52980"/>
    <w:rsid w:val="00C52A0D"/>
    <w:rsid w:val="00C52B4B"/>
    <w:rsid w:val="00C53523"/>
    <w:rsid w:val="00C549A1"/>
    <w:rsid w:val="00C568C8"/>
    <w:rsid w:val="00C56C95"/>
    <w:rsid w:val="00C60D73"/>
    <w:rsid w:val="00C61525"/>
    <w:rsid w:val="00C61F3F"/>
    <w:rsid w:val="00C6431A"/>
    <w:rsid w:val="00C6449D"/>
    <w:rsid w:val="00C64852"/>
    <w:rsid w:val="00C65C98"/>
    <w:rsid w:val="00C6754C"/>
    <w:rsid w:val="00C71237"/>
    <w:rsid w:val="00C736D2"/>
    <w:rsid w:val="00C73AEE"/>
    <w:rsid w:val="00C75342"/>
    <w:rsid w:val="00C77976"/>
    <w:rsid w:val="00C77A2F"/>
    <w:rsid w:val="00C801A4"/>
    <w:rsid w:val="00C8051A"/>
    <w:rsid w:val="00C82CDA"/>
    <w:rsid w:val="00C833AA"/>
    <w:rsid w:val="00C84CD4"/>
    <w:rsid w:val="00C858EC"/>
    <w:rsid w:val="00C8659C"/>
    <w:rsid w:val="00C87895"/>
    <w:rsid w:val="00C909F2"/>
    <w:rsid w:val="00C94090"/>
    <w:rsid w:val="00C94424"/>
    <w:rsid w:val="00C94C7B"/>
    <w:rsid w:val="00C95EB4"/>
    <w:rsid w:val="00CA3FEB"/>
    <w:rsid w:val="00CA7AE5"/>
    <w:rsid w:val="00CB1E95"/>
    <w:rsid w:val="00CB26ED"/>
    <w:rsid w:val="00CB355A"/>
    <w:rsid w:val="00CB4669"/>
    <w:rsid w:val="00CB4A8B"/>
    <w:rsid w:val="00CB4C0D"/>
    <w:rsid w:val="00CB4D4F"/>
    <w:rsid w:val="00CB5DFD"/>
    <w:rsid w:val="00CB6A2C"/>
    <w:rsid w:val="00CB7CDC"/>
    <w:rsid w:val="00CC0B21"/>
    <w:rsid w:val="00CC2F2B"/>
    <w:rsid w:val="00CC3204"/>
    <w:rsid w:val="00CC3915"/>
    <w:rsid w:val="00CC39EB"/>
    <w:rsid w:val="00CC3BB1"/>
    <w:rsid w:val="00CC76D7"/>
    <w:rsid w:val="00CC7755"/>
    <w:rsid w:val="00CD14B3"/>
    <w:rsid w:val="00CD150F"/>
    <w:rsid w:val="00CD2EC4"/>
    <w:rsid w:val="00CD4149"/>
    <w:rsid w:val="00CD4A9A"/>
    <w:rsid w:val="00CE2E0C"/>
    <w:rsid w:val="00CE3AA5"/>
    <w:rsid w:val="00CE5160"/>
    <w:rsid w:val="00CE6BE4"/>
    <w:rsid w:val="00CF37E1"/>
    <w:rsid w:val="00CF74E5"/>
    <w:rsid w:val="00CF752F"/>
    <w:rsid w:val="00D00987"/>
    <w:rsid w:val="00D00D7E"/>
    <w:rsid w:val="00D0101B"/>
    <w:rsid w:val="00D05F06"/>
    <w:rsid w:val="00D063E5"/>
    <w:rsid w:val="00D06872"/>
    <w:rsid w:val="00D129AB"/>
    <w:rsid w:val="00D12F7A"/>
    <w:rsid w:val="00D140FB"/>
    <w:rsid w:val="00D141C7"/>
    <w:rsid w:val="00D163FF"/>
    <w:rsid w:val="00D17AC4"/>
    <w:rsid w:val="00D20259"/>
    <w:rsid w:val="00D20CE6"/>
    <w:rsid w:val="00D21666"/>
    <w:rsid w:val="00D2306D"/>
    <w:rsid w:val="00D232D2"/>
    <w:rsid w:val="00D2565A"/>
    <w:rsid w:val="00D25964"/>
    <w:rsid w:val="00D30D94"/>
    <w:rsid w:val="00D30F41"/>
    <w:rsid w:val="00D31A32"/>
    <w:rsid w:val="00D336B8"/>
    <w:rsid w:val="00D3530D"/>
    <w:rsid w:val="00D3549D"/>
    <w:rsid w:val="00D414FC"/>
    <w:rsid w:val="00D41522"/>
    <w:rsid w:val="00D44133"/>
    <w:rsid w:val="00D461A6"/>
    <w:rsid w:val="00D523EA"/>
    <w:rsid w:val="00D54389"/>
    <w:rsid w:val="00D55A27"/>
    <w:rsid w:val="00D563AE"/>
    <w:rsid w:val="00D5722D"/>
    <w:rsid w:val="00D572A9"/>
    <w:rsid w:val="00D578E1"/>
    <w:rsid w:val="00D6066E"/>
    <w:rsid w:val="00D61D78"/>
    <w:rsid w:val="00D62407"/>
    <w:rsid w:val="00D62F9F"/>
    <w:rsid w:val="00D631E5"/>
    <w:rsid w:val="00D636AC"/>
    <w:rsid w:val="00D64432"/>
    <w:rsid w:val="00D670B4"/>
    <w:rsid w:val="00D67F4A"/>
    <w:rsid w:val="00D71626"/>
    <w:rsid w:val="00D7195B"/>
    <w:rsid w:val="00D72F89"/>
    <w:rsid w:val="00D73503"/>
    <w:rsid w:val="00D75B86"/>
    <w:rsid w:val="00D75D30"/>
    <w:rsid w:val="00D76427"/>
    <w:rsid w:val="00D764F8"/>
    <w:rsid w:val="00D77C77"/>
    <w:rsid w:val="00D77C8C"/>
    <w:rsid w:val="00D77F1F"/>
    <w:rsid w:val="00D81194"/>
    <w:rsid w:val="00D8266E"/>
    <w:rsid w:val="00D83B1C"/>
    <w:rsid w:val="00D8484A"/>
    <w:rsid w:val="00D84C34"/>
    <w:rsid w:val="00D852B5"/>
    <w:rsid w:val="00D8653D"/>
    <w:rsid w:val="00D915A7"/>
    <w:rsid w:val="00D93519"/>
    <w:rsid w:val="00D94607"/>
    <w:rsid w:val="00D94E5A"/>
    <w:rsid w:val="00D94F8E"/>
    <w:rsid w:val="00D96455"/>
    <w:rsid w:val="00D96798"/>
    <w:rsid w:val="00DA2684"/>
    <w:rsid w:val="00DB29B8"/>
    <w:rsid w:val="00DB3191"/>
    <w:rsid w:val="00DB3B84"/>
    <w:rsid w:val="00DB48BB"/>
    <w:rsid w:val="00DB4AF2"/>
    <w:rsid w:val="00DB4ECF"/>
    <w:rsid w:val="00DC0B73"/>
    <w:rsid w:val="00DC2A9C"/>
    <w:rsid w:val="00DC3F83"/>
    <w:rsid w:val="00DC46DA"/>
    <w:rsid w:val="00DC47DF"/>
    <w:rsid w:val="00DC5901"/>
    <w:rsid w:val="00DD038C"/>
    <w:rsid w:val="00DD1690"/>
    <w:rsid w:val="00DD221C"/>
    <w:rsid w:val="00DD332A"/>
    <w:rsid w:val="00DD3D9B"/>
    <w:rsid w:val="00DD5D49"/>
    <w:rsid w:val="00DD7D61"/>
    <w:rsid w:val="00DE03D1"/>
    <w:rsid w:val="00DE06DD"/>
    <w:rsid w:val="00DE0D5E"/>
    <w:rsid w:val="00DE2C06"/>
    <w:rsid w:val="00DE6E66"/>
    <w:rsid w:val="00DE7537"/>
    <w:rsid w:val="00DF2CC2"/>
    <w:rsid w:val="00DF3D69"/>
    <w:rsid w:val="00DF59FB"/>
    <w:rsid w:val="00DF61DD"/>
    <w:rsid w:val="00DF6BBE"/>
    <w:rsid w:val="00DF74E3"/>
    <w:rsid w:val="00DF7FEA"/>
    <w:rsid w:val="00E0381A"/>
    <w:rsid w:val="00E038AA"/>
    <w:rsid w:val="00E0526D"/>
    <w:rsid w:val="00E0680B"/>
    <w:rsid w:val="00E078A6"/>
    <w:rsid w:val="00E10027"/>
    <w:rsid w:val="00E101DF"/>
    <w:rsid w:val="00E11B4C"/>
    <w:rsid w:val="00E12DCB"/>
    <w:rsid w:val="00E12F01"/>
    <w:rsid w:val="00E1647E"/>
    <w:rsid w:val="00E171DC"/>
    <w:rsid w:val="00E24A59"/>
    <w:rsid w:val="00E25A13"/>
    <w:rsid w:val="00E267A1"/>
    <w:rsid w:val="00E27C86"/>
    <w:rsid w:val="00E3170C"/>
    <w:rsid w:val="00E31FA8"/>
    <w:rsid w:val="00E32BB9"/>
    <w:rsid w:val="00E3409D"/>
    <w:rsid w:val="00E340EA"/>
    <w:rsid w:val="00E3574A"/>
    <w:rsid w:val="00E40A30"/>
    <w:rsid w:val="00E418C0"/>
    <w:rsid w:val="00E418D7"/>
    <w:rsid w:val="00E41914"/>
    <w:rsid w:val="00E42B13"/>
    <w:rsid w:val="00E44B09"/>
    <w:rsid w:val="00E44B5E"/>
    <w:rsid w:val="00E451B6"/>
    <w:rsid w:val="00E46286"/>
    <w:rsid w:val="00E466E4"/>
    <w:rsid w:val="00E467AA"/>
    <w:rsid w:val="00E46908"/>
    <w:rsid w:val="00E47218"/>
    <w:rsid w:val="00E5070A"/>
    <w:rsid w:val="00E5263F"/>
    <w:rsid w:val="00E52E3A"/>
    <w:rsid w:val="00E53C81"/>
    <w:rsid w:val="00E547CD"/>
    <w:rsid w:val="00E60B49"/>
    <w:rsid w:val="00E616E0"/>
    <w:rsid w:val="00E618F6"/>
    <w:rsid w:val="00E63D1D"/>
    <w:rsid w:val="00E643A4"/>
    <w:rsid w:val="00E6565A"/>
    <w:rsid w:val="00E70150"/>
    <w:rsid w:val="00E75168"/>
    <w:rsid w:val="00E75314"/>
    <w:rsid w:val="00E759FF"/>
    <w:rsid w:val="00E762D2"/>
    <w:rsid w:val="00E76303"/>
    <w:rsid w:val="00E77281"/>
    <w:rsid w:val="00E7763D"/>
    <w:rsid w:val="00E801B5"/>
    <w:rsid w:val="00E82515"/>
    <w:rsid w:val="00E827F8"/>
    <w:rsid w:val="00E82861"/>
    <w:rsid w:val="00E828C5"/>
    <w:rsid w:val="00E870B3"/>
    <w:rsid w:val="00E878B4"/>
    <w:rsid w:val="00E87B23"/>
    <w:rsid w:val="00E9198C"/>
    <w:rsid w:val="00E92160"/>
    <w:rsid w:val="00E9268E"/>
    <w:rsid w:val="00E9767C"/>
    <w:rsid w:val="00E97977"/>
    <w:rsid w:val="00EA02D4"/>
    <w:rsid w:val="00EA08A9"/>
    <w:rsid w:val="00EA143E"/>
    <w:rsid w:val="00EA14B2"/>
    <w:rsid w:val="00EA1ACD"/>
    <w:rsid w:val="00EA1B05"/>
    <w:rsid w:val="00EA2FA1"/>
    <w:rsid w:val="00EA2FE0"/>
    <w:rsid w:val="00EA3482"/>
    <w:rsid w:val="00EA4A67"/>
    <w:rsid w:val="00EA4EFE"/>
    <w:rsid w:val="00EA5F4F"/>
    <w:rsid w:val="00EA6116"/>
    <w:rsid w:val="00EA723C"/>
    <w:rsid w:val="00EA7AD1"/>
    <w:rsid w:val="00EB062E"/>
    <w:rsid w:val="00EB3028"/>
    <w:rsid w:val="00EB392C"/>
    <w:rsid w:val="00EB4281"/>
    <w:rsid w:val="00EB5860"/>
    <w:rsid w:val="00EB7E60"/>
    <w:rsid w:val="00EC2C44"/>
    <w:rsid w:val="00EC2DE2"/>
    <w:rsid w:val="00EC4451"/>
    <w:rsid w:val="00EC4BCD"/>
    <w:rsid w:val="00EC57D6"/>
    <w:rsid w:val="00EC6ACA"/>
    <w:rsid w:val="00EC73D7"/>
    <w:rsid w:val="00EC77D1"/>
    <w:rsid w:val="00ED1875"/>
    <w:rsid w:val="00ED2297"/>
    <w:rsid w:val="00ED23CD"/>
    <w:rsid w:val="00ED3C43"/>
    <w:rsid w:val="00ED547A"/>
    <w:rsid w:val="00ED5D82"/>
    <w:rsid w:val="00ED7C73"/>
    <w:rsid w:val="00EE096C"/>
    <w:rsid w:val="00EE19B8"/>
    <w:rsid w:val="00EE19D6"/>
    <w:rsid w:val="00EE322A"/>
    <w:rsid w:val="00EE3DF7"/>
    <w:rsid w:val="00EE4313"/>
    <w:rsid w:val="00EE5057"/>
    <w:rsid w:val="00EF1807"/>
    <w:rsid w:val="00EF309A"/>
    <w:rsid w:val="00EF4257"/>
    <w:rsid w:val="00EF46DC"/>
    <w:rsid w:val="00EF5B62"/>
    <w:rsid w:val="00EF66A3"/>
    <w:rsid w:val="00EF700A"/>
    <w:rsid w:val="00F007E5"/>
    <w:rsid w:val="00F00A90"/>
    <w:rsid w:val="00F00D17"/>
    <w:rsid w:val="00F02CCF"/>
    <w:rsid w:val="00F032F2"/>
    <w:rsid w:val="00F03319"/>
    <w:rsid w:val="00F03646"/>
    <w:rsid w:val="00F06206"/>
    <w:rsid w:val="00F06E2B"/>
    <w:rsid w:val="00F07F52"/>
    <w:rsid w:val="00F10954"/>
    <w:rsid w:val="00F12102"/>
    <w:rsid w:val="00F13851"/>
    <w:rsid w:val="00F13B87"/>
    <w:rsid w:val="00F14A91"/>
    <w:rsid w:val="00F15651"/>
    <w:rsid w:val="00F15EC6"/>
    <w:rsid w:val="00F16C3B"/>
    <w:rsid w:val="00F1729D"/>
    <w:rsid w:val="00F20354"/>
    <w:rsid w:val="00F20591"/>
    <w:rsid w:val="00F231DF"/>
    <w:rsid w:val="00F23DAB"/>
    <w:rsid w:val="00F243A1"/>
    <w:rsid w:val="00F24471"/>
    <w:rsid w:val="00F24BC6"/>
    <w:rsid w:val="00F25CD6"/>
    <w:rsid w:val="00F26598"/>
    <w:rsid w:val="00F268ED"/>
    <w:rsid w:val="00F26E8F"/>
    <w:rsid w:val="00F32C72"/>
    <w:rsid w:val="00F36896"/>
    <w:rsid w:val="00F36E54"/>
    <w:rsid w:val="00F36EAE"/>
    <w:rsid w:val="00F37D02"/>
    <w:rsid w:val="00F4122E"/>
    <w:rsid w:val="00F422CD"/>
    <w:rsid w:val="00F428F9"/>
    <w:rsid w:val="00F4324F"/>
    <w:rsid w:val="00F44D4B"/>
    <w:rsid w:val="00F44F8A"/>
    <w:rsid w:val="00F45210"/>
    <w:rsid w:val="00F51248"/>
    <w:rsid w:val="00F51F1D"/>
    <w:rsid w:val="00F5291C"/>
    <w:rsid w:val="00F52B7F"/>
    <w:rsid w:val="00F5379C"/>
    <w:rsid w:val="00F54074"/>
    <w:rsid w:val="00F54094"/>
    <w:rsid w:val="00F54AB9"/>
    <w:rsid w:val="00F577C0"/>
    <w:rsid w:val="00F6041D"/>
    <w:rsid w:val="00F60C68"/>
    <w:rsid w:val="00F611F8"/>
    <w:rsid w:val="00F61284"/>
    <w:rsid w:val="00F64B5F"/>
    <w:rsid w:val="00F65112"/>
    <w:rsid w:val="00F653B7"/>
    <w:rsid w:val="00F667AA"/>
    <w:rsid w:val="00F7275E"/>
    <w:rsid w:val="00F72D22"/>
    <w:rsid w:val="00F73B80"/>
    <w:rsid w:val="00F73FD2"/>
    <w:rsid w:val="00F74A0E"/>
    <w:rsid w:val="00F76220"/>
    <w:rsid w:val="00F811FC"/>
    <w:rsid w:val="00F83097"/>
    <w:rsid w:val="00F84127"/>
    <w:rsid w:val="00F868A4"/>
    <w:rsid w:val="00F86EF3"/>
    <w:rsid w:val="00F870B5"/>
    <w:rsid w:val="00F933AD"/>
    <w:rsid w:val="00F949A6"/>
    <w:rsid w:val="00F957D9"/>
    <w:rsid w:val="00F96364"/>
    <w:rsid w:val="00F970BB"/>
    <w:rsid w:val="00F972A2"/>
    <w:rsid w:val="00FA0593"/>
    <w:rsid w:val="00FA131F"/>
    <w:rsid w:val="00FA1A73"/>
    <w:rsid w:val="00FA6E3D"/>
    <w:rsid w:val="00FB12E0"/>
    <w:rsid w:val="00FB25AF"/>
    <w:rsid w:val="00FB2B1D"/>
    <w:rsid w:val="00FB55A5"/>
    <w:rsid w:val="00FB56DE"/>
    <w:rsid w:val="00FB5E9F"/>
    <w:rsid w:val="00FB60B6"/>
    <w:rsid w:val="00FC00FE"/>
    <w:rsid w:val="00FC0C60"/>
    <w:rsid w:val="00FC26C9"/>
    <w:rsid w:val="00FC38FB"/>
    <w:rsid w:val="00FC59F1"/>
    <w:rsid w:val="00FD0151"/>
    <w:rsid w:val="00FD0A89"/>
    <w:rsid w:val="00FD1177"/>
    <w:rsid w:val="00FD1EFA"/>
    <w:rsid w:val="00FD30A5"/>
    <w:rsid w:val="00FD4085"/>
    <w:rsid w:val="00FE2D53"/>
    <w:rsid w:val="00FE3009"/>
    <w:rsid w:val="00FE483C"/>
    <w:rsid w:val="00FE53B4"/>
    <w:rsid w:val="00FE6643"/>
    <w:rsid w:val="00FE6ABC"/>
    <w:rsid w:val="00FE74BF"/>
    <w:rsid w:val="00FE7F08"/>
    <w:rsid w:val="00FF0005"/>
    <w:rsid w:val="00FF3086"/>
    <w:rsid w:val="00FF3F2F"/>
    <w:rsid w:val="00FF449B"/>
    <w:rsid w:val="00FF5477"/>
    <w:rsid w:val="00FF5680"/>
    <w:rsid w:val="00FF63F8"/>
    <w:rsid w:val="00FF679E"/>
    <w:rsid w:val="00FF7632"/>
    <w:rsid w:val="00FF7CCB"/>
    <w:rsid w:val="0144767F"/>
    <w:rsid w:val="01785B98"/>
    <w:rsid w:val="01827CF3"/>
    <w:rsid w:val="028A0A4B"/>
    <w:rsid w:val="02B71414"/>
    <w:rsid w:val="02C31E14"/>
    <w:rsid w:val="03626078"/>
    <w:rsid w:val="04100A04"/>
    <w:rsid w:val="04F71B74"/>
    <w:rsid w:val="054B52F5"/>
    <w:rsid w:val="05F73ED5"/>
    <w:rsid w:val="071F1360"/>
    <w:rsid w:val="07B0452B"/>
    <w:rsid w:val="081B215E"/>
    <w:rsid w:val="08C63F11"/>
    <w:rsid w:val="09714726"/>
    <w:rsid w:val="09B879E0"/>
    <w:rsid w:val="09C25223"/>
    <w:rsid w:val="09F54B89"/>
    <w:rsid w:val="0A7030A8"/>
    <w:rsid w:val="0BB41ADC"/>
    <w:rsid w:val="0C485491"/>
    <w:rsid w:val="0DB3678A"/>
    <w:rsid w:val="0E7F143E"/>
    <w:rsid w:val="0F1611DD"/>
    <w:rsid w:val="0F802248"/>
    <w:rsid w:val="10587A55"/>
    <w:rsid w:val="11D9700E"/>
    <w:rsid w:val="12E110C3"/>
    <w:rsid w:val="13302352"/>
    <w:rsid w:val="133652BD"/>
    <w:rsid w:val="142353E5"/>
    <w:rsid w:val="14C020B5"/>
    <w:rsid w:val="14F62072"/>
    <w:rsid w:val="1599618E"/>
    <w:rsid w:val="168A2BE0"/>
    <w:rsid w:val="172A5D1E"/>
    <w:rsid w:val="181021F6"/>
    <w:rsid w:val="18907F2B"/>
    <w:rsid w:val="19511663"/>
    <w:rsid w:val="197664DC"/>
    <w:rsid w:val="198D4848"/>
    <w:rsid w:val="1A4D486F"/>
    <w:rsid w:val="1CD82A1D"/>
    <w:rsid w:val="1D5C7B62"/>
    <w:rsid w:val="1E730067"/>
    <w:rsid w:val="204452C7"/>
    <w:rsid w:val="209C41C9"/>
    <w:rsid w:val="21DF52D9"/>
    <w:rsid w:val="24073F8A"/>
    <w:rsid w:val="245C5669"/>
    <w:rsid w:val="250B3911"/>
    <w:rsid w:val="25455B90"/>
    <w:rsid w:val="255D1DDA"/>
    <w:rsid w:val="269E01E7"/>
    <w:rsid w:val="27560E11"/>
    <w:rsid w:val="275C6A6B"/>
    <w:rsid w:val="2864640C"/>
    <w:rsid w:val="2AA97DC7"/>
    <w:rsid w:val="2AB81721"/>
    <w:rsid w:val="2B3546EB"/>
    <w:rsid w:val="2D3729E1"/>
    <w:rsid w:val="2E9F336F"/>
    <w:rsid w:val="2F8505EC"/>
    <w:rsid w:val="31231D11"/>
    <w:rsid w:val="31384452"/>
    <w:rsid w:val="31630166"/>
    <w:rsid w:val="33BD156F"/>
    <w:rsid w:val="353147A6"/>
    <w:rsid w:val="36080058"/>
    <w:rsid w:val="363A5186"/>
    <w:rsid w:val="37296E9D"/>
    <w:rsid w:val="37C56E8B"/>
    <w:rsid w:val="380D54CB"/>
    <w:rsid w:val="386C1A40"/>
    <w:rsid w:val="39062B18"/>
    <w:rsid w:val="39301960"/>
    <w:rsid w:val="39A94D9C"/>
    <w:rsid w:val="39D75F9E"/>
    <w:rsid w:val="39FF27FC"/>
    <w:rsid w:val="3AB338E7"/>
    <w:rsid w:val="3AF43728"/>
    <w:rsid w:val="3B840F8F"/>
    <w:rsid w:val="3C176210"/>
    <w:rsid w:val="3EBFD6DB"/>
    <w:rsid w:val="3ED20A68"/>
    <w:rsid w:val="3F1C7C8F"/>
    <w:rsid w:val="3FB90C6E"/>
    <w:rsid w:val="4021127C"/>
    <w:rsid w:val="402356C6"/>
    <w:rsid w:val="408F49C2"/>
    <w:rsid w:val="40BD66CB"/>
    <w:rsid w:val="420E122E"/>
    <w:rsid w:val="451E40B8"/>
    <w:rsid w:val="49213E0B"/>
    <w:rsid w:val="4AD46EF0"/>
    <w:rsid w:val="4BCB6178"/>
    <w:rsid w:val="4D496E51"/>
    <w:rsid w:val="4DFE05B1"/>
    <w:rsid w:val="4E1366A1"/>
    <w:rsid w:val="4F6D065C"/>
    <w:rsid w:val="4F9A25FC"/>
    <w:rsid w:val="52AA5127"/>
    <w:rsid w:val="541C1CED"/>
    <w:rsid w:val="56D346EC"/>
    <w:rsid w:val="58620690"/>
    <w:rsid w:val="5A062FA7"/>
    <w:rsid w:val="5B182775"/>
    <w:rsid w:val="5BA55636"/>
    <w:rsid w:val="5CDF0ACB"/>
    <w:rsid w:val="5D6209CC"/>
    <w:rsid w:val="5DE17B33"/>
    <w:rsid w:val="5FD56CA3"/>
    <w:rsid w:val="60CE3C62"/>
    <w:rsid w:val="617B4C6D"/>
    <w:rsid w:val="61961C40"/>
    <w:rsid w:val="62952EF8"/>
    <w:rsid w:val="62EF482A"/>
    <w:rsid w:val="63AD304B"/>
    <w:rsid w:val="63D07A65"/>
    <w:rsid w:val="63D6BC7D"/>
    <w:rsid w:val="63E459BE"/>
    <w:rsid w:val="65284A18"/>
    <w:rsid w:val="65701755"/>
    <w:rsid w:val="659410CD"/>
    <w:rsid w:val="66B53796"/>
    <w:rsid w:val="67394388"/>
    <w:rsid w:val="6893493E"/>
    <w:rsid w:val="69FFC543"/>
    <w:rsid w:val="6A770A83"/>
    <w:rsid w:val="6BB14542"/>
    <w:rsid w:val="6BB449FC"/>
    <w:rsid w:val="6C363AF7"/>
    <w:rsid w:val="6CBF5EB3"/>
    <w:rsid w:val="6D343F91"/>
    <w:rsid w:val="6D663EDD"/>
    <w:rsid w:val="6E0D3B2C"/>
    <w:rsid w:val="707C1B68"/>
    <w:rsid w:val="7312572E"/>
    <w:rsid w:val="79012E8A"/>
    <w:rsid w:val="79685701"/>
    <w:rsid w:val="7AA26A76"/>
    <w:rsid w:val="7ABC7581"/>
    <w:rsid w:val="7C433F3A"/>
    <w:rsid w:val="7C5D85E9"/>
    <w:rsid w:val="7D4D3F46"/>
    <w:rsid w:val="7D61399E"/>
    <w:rsid w:val="7DB455EA"/>
    <w:rsid w:val="7DCB6908"/>
    <w:rsid w:val="7DF730C7"/>
    <w:rsid w:val="7F24052C"/>
    <w:rsid w:val="7FF5D897"/>
    <w:rsid w:val="7FFFEADF"/>
    <w:rsid w:val="9ADFA46C"/>
    <w:rsid w:val="BFFF6921"/>
    <w:rsid w:val="DD5F9524"/>
    <w:rsid w:val="DDB9B886"/>
    <w:rsid w:val="EFFF8890"/>
    <w:rsid w:val="FDFF054F"/>
    <w:rsid w:val="FEAA69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numPr>
        <w:ilvl w:val="0"/>
        <w:numId w:val="1"/>
      </w:numPr>
      <w:adjustRightInd w:val="0"/>
      <w:spacing w:line="560" w:lineRule="exact"/>
      <w:ind w:left="0" w:firstLine="643" w:firstLineChars="200"/>
      <w:jc w:val="center"/>
      <w:textAlignment w:val="baseline"/>
      <w:outlineLvl w:val="0"/>
    </w:pPr>
    <w:rPr>
      <w:rFonts w:ascii="黑体" w:hAnsi="Arial Unicode MS" w:eastAsia="黑体"/>
      <w:b/>
      <w:bCs/>
      <w:kern w:val="44"/>
      <w:sz w:val="32"/>
      <w:szCs w:val="32"/>
    </w:rPr>
  </w:style>
  <w:style w:type="paragraph" w:styleId="3">
    <w:name w:val="heading 2"/>
    <w:basedOn w:val="1"/>
    <w:next w:val="1"/>
    <w:link w:val="33"/>
    <w:qFormat/>
    <w:uiPriority w:val="0"/>
    <w:pPr>
      <w:keepNext/>
      <w:keepLines/>
      <w:numPr>
        <w:ilvl w:val="1"/>
        <w:numId w:val="1"/>
      </w:numPr>
      <w:tabs>
        <w:tab w:val="left" w:pos="0"/>
        <w:tab w:val="left" w:pos="567"/>
        <w:tab w:val="left" w:pos="851"/>
        <w:tab w:val="left" w:pos="1843"/>
      </w:tabs>
      <w:adjustRightInd w:val="0"/>
      <w:spacing w:line="560" w:lineRule="exact"/>
      <w:ind w:left="0" w:firstLine="643" w:firstLineChars="200"/>
      <w:jc w:val="center"/>
      <w:textAlignment w:val="baseline"/>
      <w:outlineLvl w:val="1"/>
    </w:pPr>
    <w:rPr>
      <w:rFonts w:ascii="仿宋_GB2312" w:hAnsi="Arial Unicode MS" w:eastAsia="仿宋_GB2312"/>
      <w:b/>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72"/>
    <w:semiHidden/>
    <w:unhideWhenUsed/>
    <w:qFormat/>
    <w:uiPriority w:val="99"/>
    <w:rPr>
      <w:rFonts w:ascii="宋体"/>
      <w:kern w:val="0"/>
      <w:sz w:val="18"/>
      <w:szCs w:val="18"/>
    </w:rPr>
  </w:style>
  <w:style w:type="paragraph" w:styleId="6">
    <w:name w:val="annotation text"/>
    <w:basedOn w:val="1"/>
    <w:link w:val="40"/>
    <w:unhideWhenUsed/>
    <w:qFormat/>
    <w:uiPriority w:val="99"/>
    <w:pPr>
      <w:jc w:val="left"/>
    </w:pPr>
    <w:rPr>
      <w:kern w:val="0"/>
      <w:sz w:val="20"/>
    </w:rPr>
  </w:style>
  <w:style w:type="paragraph" w:styleId="7">
    <w:name w:val="Body Text"/>
    <w:basedOn w:val="1"/>
    <w:link w:val="57"/>
    <w:qFormat/>
    <w:uiPriority w:val="0"/>
    <w:pPr>
      <w:spacing w:after="120"/>
    </w:pPr>
    <w:rPr>
      <w:kern w:val="0"/>
      <w:sz w:val="20"/>
    </w:rPr>
  </w:style>
  <w:style w:type="paragraph" w:styleId="8">
    <w:name w:val="Body Text Indent"/>
    <w:basedOn w:val="1"/>
    <w:link w:val="55"/>
    <w:qFormat/>
    <w:uiPriority w:val="0"/>
    <w:pPr>
      <w:spacing w:line="600" w:lineRule="atLeast"/>
      <w:ind w:firstLine="646"/>
    </w:pPr>
    <w:rPr>
      <w:rFonts w:ascii="仿宋_GB2312" w:eastAsia="仿宋_GB2312"/>
      <w:kern w:val="0"/>
      <w:sz w:val="32"/>
      <w:szCs w:val="20"/>
    </w:rPr>
  </w:style>
  <w:style w:type="paragraph" w:styleId="9">
    <w:name w:val="Plain Text"/>
    <w:basedOn w:val="1"/>
    <w:link w:val="61"/>
    <w:qFormat/>
    <w:uiPriority w:val="0"/>
    <w:rPr>
      <w:rFonts w:ascii="宋体" w:hAnsi="Courier New"/>
      <w:kern w:val="0"/>
      <w:sz w:val="20"/>
      <w:szCs w:val="20"/>
    </w:rPr>
  </w:style>
  <w:style w:type="paragraph" w:styleId="10">
    <w:name w:val="Date"/>
    <w:basedOn w:val="1"/>
    <w:next w:val="1"/>
    <w:link w:val="50"/>
    <w:qFormat/>
    <w:uiPriority w:val="0"/>
    <w:rPr>
      <w:rFonts w:ascii="楷体_GB2312" w:eastAsia="楷体_GB2312"/>
      <w:kern w:val="0"/>
      <w:sz w:val="32"/>
      <w:szCs w:val="20"/>
    </w:rPr>
  </w:style>
  <w:style w:type="paragraph" w:styleId="11">
    <w:name w:val="Body Text Indent 2"/>
    <w:basedOn w:val="1"/>
    <w:link w:val="65"/>
    <w:qFormat/>
    <w:uiPriority w:val="0"/>
    <w:pPr>
      <w:spacing w:line="500" w:lineRule="exact"/>
      <w:ind w:firstLine="540" w:firstLineChars="225"/>
    </w:pPr>
    <w:rPr>
      <w:rFonts w:ascii="仿宋_GB2312" w:hAnsi="宋体" w:eastAsia="仿宋_GB2312"/>
      <w:kern w:val="0"/>
      <w:sz w:val="24"/>
    </w:rPr>
  </w:style>
  <w:style w:type="paragraph" w:styleId="12">
    <w:name w:val="Balloon Text"/>
    <w:basedOn w:val="1"/>
    <w:link w:val="42"/>
    <w:semiHidden/>
    <w:unhideWhenUsed/>
    <w:qFormat/>
    <w:uiPriority w:val="99"/>
    <w:rPr>
      <w:kern w:val="0"/>
      <w:sz w:val="18"/>
      <w:szCs w:val="18"/>
    </w:rPr>
  </w:style>
  <w:style w:type="paragraph" w:styleId="13">
    <w:name w:val="footer"/>
    <w:basedOn w:val="1"/>
    <w:link w:val="31"/>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rFonts w:ascii="等线" w:hAnsi="等线" w:eastAsia="等线"/>
      <w:kern w:val="0"/>
      <w:sz w:val="18"/>
      <w:szCs w:val="18"/>
    </w:rPr>
  </w:style>
  <w:style w:type="paragraph" w:styleId="15">
    <w:name w:val="toc 1"/>
    <w:basedOn w:val="1"/>
    <w:next w:val="1"/>
    <w:qFormat/>
    <w:uiPriority w:val="39"/>
    <w:pPr>
      <w:tabs>
        <w:tab w:val="left" w:pos="420"/>
        <w:tab w:val="left" w:pos="1134"/>
        <w:tab w:val="right" w:leader="dot" w:pos="8380"/>
      </w:tabs>
      <w:spacing w:line="560" w:lineRule="exact"/>
      <w:jc w:val="left"/>
    </w:pPr>
    <w:rPr>
      <w:rFonts w:eastAsia="黑体"/>
      <w:b/>
      <w:snapToGrid w:val="0"/>
      <w:w w:val="0"/>
      <w:kern w:val="0"/>
      <w:sz w:val="32"/>
    </w:rPr>
  </w:style>
  <w:style w:type="paragraph" w:styleId="16">
    <w:name w:val="footnote text"/>
    <w:basedOn w:val="1"/>
    <w:unhideWhenUsed/>
    <w:qFormat/>
    <w:uiPriority w:val="99"/>
    <w:pPr>
      <w:snapToGrid w:val="0"/>
      <w:jc w:val="left"/>
    </w:pPr>
    <w:rPr>
      <w:sz w:val="18"/>
      <w:szCs w:val="18"/>
    </w:rPr>
  </w:style>
  <w:style w:type="paragraph" w:styleId="17">
    <w:name w:val="Body Text Indent 3"/>
    <w:basedOn w:val="1"/>
    <w:link w:val="63"/>
    <w:qFormat/>
    <w:uiPriority w:val="0"/>
    <w:pPr>
      <w:autoSpaceDE w:val="0"/>
      <w:autoSpaceDN w:val="0"/>
      <w:adjustRightInd w:val="0"/>
      <w:spacing w:line="500" w:lineRule="exact"/>
      <w:ind w:firstLine="360" w:firstLineChars="150"/>
    </w:pPr>
    <w:rPr>
      <w:rFonts w:ascii="仿宋_GB2312" w:hAnsi="宋体" w:eastAsia="仿宋_GB2312"/>
      <w:kern w:val="28"/>
      <w:sz w:val="24"/>
    </w:rPr>
  </w:style>
  <w:style w:type="paragraph" w:styleId="18">
    <w:name w:val="toc 2"/>
    <w:basedOn w:val="1"/>
    <w:next w:val="1"/>
    <w:qFormat/>
    <w:uiPriority w:val="39"/>
    <w:pPr>
      <w:tabs>
        <w:tab w:val="left" w:pos="1276"/>
        <w:tab w:val="right" w:leader="dot" w:pos="8380"/>
      </w:tabs>
      <w:spacing w:line="560" w:lineRule="exact"/>
    </w:pPr>
    <w:rPr>
      <w:rFonts w:eastAsia="楷体_GB2312"/>
      <w:b/>
      <w:sz w:val="32"/>
    </w:rPr>
  </w:style>
  <w:style w:type="paragraph" w:styleId="19">
    <w:name w:val="Body Text 2"/>
    <w:basedOn w:val="1"/>
    <w:link w:val="59"/>
    <w:qFormat/>
    <w:uiPriority w:val="0"/>
    <w:pPr>
      <w:spacing w:after="120" w:line="480" w:lineRule="auto"/>
    </w:pPr>
    <w:rPr>
      <w:kern w:val="0"/>
      <w:sz w:val="20"/>
    </w:rPr>
  </w:style>
  <w:style w:type="paragraph" w:styleId="20">
    <w:name w:val="Normal (Web)"/>
    <w:basedOn w:val="1"/>
    <w:unhideWhenUsed/>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styleId="21">
    <w:name w:val="annotation subject"/>
    <w:basedOn w:val="6"/>
    <w:next w:val="6"/>
    <w:link w:val="41"/>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HTML Typewriter"/>
    <w:qFormat/>
    <w:uiPriority w:val="0"/>
    <w:rPr>
      <w:rFonts w:ascii="宋体" w:hAnsi="宋体" w:eastAsia="宋体" w:cs="宋体"/>
      <w:sz w:val="24"/>
      <w:szCs w:val="24"/>
    </w:rPr>
  </w:style>
  <w:style w:type="character" w:styleId="28">
    <w:name w:val="Hyperlink"/>
    <w:qFormat/>
    <w:uiPriority w:val="99"/>
    <w:rPr>
      <w:color w:val="0000FF"/>
      <w:u w:val="single"/>
    </w:rPr>
  </w:style>
  <w:style w:type="character" w:styleId="29">
    <w:name w:val="annotation reference"/>
    <w:unhideWhenUsed/>
    <w:qFormat/>
    <w:uiPriority w:val="99"/>
    <w:rPr>
      <w:sz w:val="21"/>
      <w:szCs w:val="21"/>
    </w:rPr>
  </w:style>
  <w:style w:type="character" w:customStyle="1" w:styleId="30">
    <w:name w:val="页眉 字符"/>
    <w:link w:val="14"/>
    <w:qFormat/>
    <w:uiPriority w:val="99"/>
    <w:rPr>
      <w:sz w:val="18"/>
      <w:szCs w:val="18"/>
    </w:rPr>
  </w:style>
  <w:style w:type="character" w:customStyle="1" w:styleId="31">
    <w:name w:val="页脚 字符"/>
    <w:link w:val="13"/>
    <w:qFormat/>
    <w:uiPriority w:val="99"/>
    <w:rPr>
      <w:sz w:val="18"/>
      <w:szCs w:val="18"/>
    </w:rPr>
  </w:style>
  <w:style w:type="character" w:customStyle="1" w:styleId="32">
    <w:name w:val="标题 1 字符"/>
    <w:link w:val="2"/>
    <w:qFormat/>
    <w:uiPriority w:val="0"/>
    <w:rPr>
      <w:rFonts w:ascii="黑体" w:hAnsi="Arial Unicode MS" w:eastAsia="黑体" w:cs="Arial Unicode MS"/>
      <w:b/>
      <w:bCs/>
      <w:kern w:val="44"/>
      <w:sz w:val="32"/>
      <w:szCs w:val="32"/>
    </w:rPr>
  </w:style>
  <w:style w:type="character" w:customStyle="1" w:styleId="33">
    <w:name w:val="标题 2 字符"/>
    <w:link w:val="3"/>
    <w:qFormat/>
    <w:uiPriority w:val="0"/>
    <w:rPr>
      <w:rFonts w:ascii="仿宋_GB2312" w:hAnsi="Arial Unicode MS" w:eastAsia="仿宋_GB2312" w:cs="Arial Unicode MS"/>
      <w:b/>
      <w:sz w:val="32"/>
      <w:szCs w:val="32"/>
    </w:rPr>
  </w:style>
  <w:style w:type="paragraph" w:styleId="34">
    <w:name w:val="List Paragraph"/>
    <w:basedOn w:val="1"/>
    <w:link w:val="35"/>
    <w:qFormat/>
    <w:uiPriority w:val="0"/>
    <w:pPr>
      <w:ind w:firstLine="420" w:firstLineChars="200"/>
    </w:pPr>
    <w:rPr>
      <w:rFonts w:ascii="Calibri" w:hAnsi="Calibri" w:eastAsia="仿宋_GB2312"/>
      <w:kern w:val="0"/>
      <w:sz w:val="20"/>
      <w:szCs w:val="20"/>
    </w:rPr>
  </w:style>
  <w:style w:type="character" w:customStyle="1" w:styleId="35">
    <w:name w:val="列表段落 字符"/>
    <w:link w:val="34"/>
    <w:qFormat/>
    <w:uiPriority w:val="0"/>
    <w:rPr>
      <w:rFonts w:ascii="Calibri" w:hAnsi="Calibri" w:eastAsia="仿宋_GB2312"/>
    </w:rPr>
  </w:style>
  <w:style w:type="paragraph" w:customStyle="1" w:styleId="36">
    <w:name w:val="样式2"/>
    <w:basedOn w:val="1"/>
    <w:link w:val="37"/>
    <w:qFormat/>
    <w:uiPriority w:val="0"/>
    <w:pPr>
      <w:keepNext/>
      <w:keepLines/>
      <w:tabs>
        <w:tab w:val="left" w:pos="0"/>
        <w:tab w:val="left" w:pos="567"/>
        <w:tab w:val="left" w:pos="851"/>
        <w:tab w:val="left" w:pos="993"/>
        <w:tab w:val="left" w:pos="1276"/>
        <w:tab w:val="left" w:pos="1843"/>
        <w:tab w:val="left" w:pos="2127"/>
        <w:tab w:val="left" w:pos="2410"/>
        <w:tab w:val="left" w:pos="2552"/>
        <w:tab w:val="left" w:pos="2694"/>
        <w:tab w:val="left" w:pos="2977"/>
        <w:tab w:val="left" w:pos="3119"/>
      </w:tabs>
      <w:adjustRightInd w:val="0"/>
      <w:spacing w:line="560" w:lineRule="exact"/>
      <w:ind w:firstLine="643" w:firstLineChars="200"/>
      <w:jc w:val="center"/>
      <w:textAlignment w:val="baseline"/>
      <w:outlineLvl w:val="1"/>
    </w:pPr>
    <w:rPr>
      <w:rFonts w:ascii="楷体_GB2312" w:hAnsi="Arial Unicode MS" w:eastAsia="楷体_GB2312"/>
      <w:b/>
      <w:kern w:val="0"/>
      <w:sz w:val="32"/>
      <w:szCs w:val="32"/>
    </w:rPr>
  </w:style>
  <w:style w:type="character" w:customStyle="1" w:styleId="37">
    <w:name w:val="样式2 Char"/>
    <w:link w:val="36"/>
    <w:qFormat/>
    <w:uiPriority w:val="0"/>
    <w:rPr>
      <w:rFonts w:ascii="楷体_GB2312" w:hAnsi="Arial Unicode MS" w:eastAsia="楷体_GB2312" w:cs="Arial Unicode MS"/>
      <w:b/>
      <w:sz w:val="32"/>
      <w:szCs w:val="32"/>
    </w:rPr>
  </w:style>
  <w:style w:type="paragraph" w:customStyle="1" w:styleId="38">
    <w:name w:val="样式7"/>
    <w:basedOn w:val="1"/>
    <w:link w:val="39"/>
    <w:qFormat/>
    <w:uiPriority w:val="0"/>
    <w:pPr>
      <w:keepNext/>
      <w:keepLines/>
      <w:tabs>
        <w:tab w:val="left" w:pos="142"/>
        <w:tab w:val="left" w:pos="1560"/>
        <w:tab w:val="left" w:pos="1701"/>
      </w:tabs>
      <w:adjustRightInd w:val="0"/>
      <w:spacing w:line="560" w:lineRule="exact"/>
      <w:ind w:firstLine="640" w:firstLineChars="200"/>
      <w:jc w:val="center"/>
      <w:textAlignment w:val="baseline"/>
      <w:outlineLvl w:val="0"/>
    </w:pPr>
    <w:rPr>
      <w:rFonts w:ascii="黑体" w:hAnsi="Arial Unicode MS" w:eastAsia="黑体"/>
      <w:bCs/>
      <w:kern w:val="44"/>
      <w:sz w:val="32"/>
      <w:szCs w:val="32"/>
    </w:rPr>
  </w:style>
  <w:style w:type="character" w:customStyle="1" w:styleId="39">
    <w:name w:val="样式7 Char"/>
    <w:link w:val="38"/>
    <w:qFormat/>
    <w:uiPriority w:val="0"/>
    <w:rPr>
      <w:rFonts w:ascii="黑体" w:hAnsi="Arial Unicode MS" w:eastAsia="黑体" w:cs="Arial Unicode MS"/>
      <w:bCs/>
      <w:kern w:val="44"/>
      <w:sz w:val="32"/>
      <w:szCs w:val="32"/>
    </w:rPr>
  </w:style>
  <w:style w:type="character" w:customStyle="1" w:styleId="40">
    <w:name w:val="批注文字 字符"/>
    <w:link w:val="6"/>
    <w:semiHidden/>
    <w:qFormat/>
    <w:uiPriority w:val="99"/>
    <w:rPr>
      <w:rFonts w:ascii="Times New Roman" w:hAnsi="Times New Roman" w:eastAsia="宋体" w:cs="Times New Roman"/>
      <w:szCs w:val="24"/>
    </w:rPr>
  </w:style>
  <w:style w:type="character" w:customStyle="1" w:styleId="41">
    <w:name w:val="批注主题 字符"/>
    <w:link w:val="21"/>
    <w:semiHidden/>
    <w:qFormat/>
    <w:uiPriority w:val="99"/>
    <w:rPr>
      <w:rFonts w:ascii="Times New Roman" w:hAnsi="Times New Roman" w:eastAsia="宋体" w:cs="Times New Roman"/>
      <w:b/>
      <w:bCs/>
      <w:szCs w:val="24"/>
    </w:rPr>
  </w:style>
  <w:style w:type="character" w:customStyle="1" w:styleId="42">
    <w:name w:val="批注框文本 字符"/>
    <w:link w:val="12"/>
    <w:semiHidden/>
    <w:qFormat/>
    <w:uiPriority w:val="99"/>
    <w:rPr>
      <w:rFonts w:ascii="Times New Roman" w:hAnsi="Times New Roman" w:eastAsia="宋体" w:cs="Times New Roman"/>
      <w:sz w:val="18"/>
      <w:szCs w:val="18"/>
    </w:rPr>
  </w:style>
  <w:style w:type="paragraph" w:customStyle="1" w:styleId="4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4">
    <w:name w:val="fontstyle01"/>
    <w:qFormat/>
    <w:uiPriority w:val="0"/>
    <w:rPr>
      <w:rFonts w:hint="eastAsia" w:ascii="宋体" w:hAnsi="宋体" w:eastAsia="宋体"/>
      <w:color w:val="000000"/>
      <w:sz w:val="24"/>
      <w:szCs w:val="24"/>
    </w:rPr>
  </w:style>
  <w:style w:type="character" w:customStyle="1" w:styleId="45">
    <w:name w:val="标题 1 Char"/>
    <w:qFormat/>
    <w:uiPriority w:val="0"/>
    <w:rPr>
      <w:rFonts w:ascii="黑体" w:hAnsi="Arial Unicode MS" w:eastAsia="黑体" w:cs="Arial Unicode MS"/>
      <w:b/>
      <w:bCs/>
      <w:kern w:val="44"/>
      <w:sz w:val="32"/>
      <w:szCs w:val="32"/>
    </w:rPr>
  </w:style>
  <w:style w:type="character" w:customStyle="1" w:styleId="46">
    <w:name w:val="标题 2 Char"/>
    <w:qFormat/>
    <w:uiPriority w:val="0"/>
    <w:rPr>
      <w:rFonts w:ascii="仿宋_GB2312" w:hAnsi="Arial Unicode MS" w:eastAsia="仿宋_GB2312" w:cs="Arial Unicode MS"/>
      <w:b/>
      <w:sz w:val="32"/>
      <w:szCs w:val="32"/>
    </w:rPr>
  </w:style>
  <w:style w:type="character" w:customStyle="1" w:styleId="47">
    <w:name w:val="页眉 Char"/>
    <w:qFormat/>
    <w:uiPriority w:val="99"/>
    <w:rPr>
      <w:rFonts w:ascii="Times New Roman" w:hAnsi="Times New Roman" w:eastAsia="宋体" w:cs="Times New Roman"/>
      <w:sz w:val="18"/>
      <w:szCs w:val="18"/>
    </w:rPr>
  </w:style>
  <w:style w:type="character" w:customStyle="1" w:styleId="48">
    <w:name w:val="页脚 Char"/>
    <w:qFormat/>
    <w:uiPriority w:val="0"/>
    <w:rPr>
      <w:rFonts w:ascii="Times New Roman" w:hAnsi="Times New Roman" w:eastAsia="宋体" w:cs="Times New Roman"/>
      <w:sz w:val="18"/>
      <w:szCs w:val="18"/>
    </w:rPr>
  </w:style>
  <w:style w:type="character" w:customStyle="1" w:styleId="49">
    <w:name w:val="日期 字符"/>
    <w:semiHidden/>
    <w:qFormat/>
    <w:uiPriority w:val="99"/>
    <w:rPr>
      <w:rFonts w:ascii="Times New Roman" w:hAnsi="Times New Roman" w:eastAsia="宋体" w:cs="Times New Roman"/>
      <w:szCs w:val="24"/>
    </w:rPr>
  </w:style>
  <w:style w:type="character" w:customStyle="1" w:styleId="50">
    <w:name w:val="日期 字符1"/>
    <w:link w:val="10"/>
    <w:qFormat/>
    <w:uiPriority w:val="0"/>
    <w:rPr>
      <w:rFonts w:ascii="楷体_GB2312" w:hAnsi="Times New Roman" w:eastAsia="楷体_GB2312" w:cs="Times New Roman"/>
      <w:sz w:val="32"/>
      <w:szCs w:val="20"/>
    </w:rPr>
  </w:style>
  <w:style w:type="character" w:customStyle="1" w:styleId="51">
    <w:name w:val="批注框文本 Char"/>
    <w:semiHidden/>
    <w:qFormat/>
    <w:uiPriority w:val="99"/>
    <w:rPr>
      <w:rFonts w:ascii="Times New Roman" w:hAnsi="Times New Roman" w:eastAsia="宋体" w:cs="Times New Roman"/>
      <w:sz w:val="18"/>
      <w:szCs w:val="18"/>
    </w:rPr>
  </w:style>
  <w:style w:type="character" w:customStyle="1" w:styleId="52">
    <w:name w:val="批注文字 Char"/>
    <w:qFormat/>
    <w:uiPriority w:val="99"/>
    <w:rPr>
      <w:rFonts w:ascii="Times New Roman" w:hAnsi="Times New Roman" w:eastAsia="宋体" w:cs="Times New Roman"/>
      <w:szCs w:val="24"/>
    </w:rPr>
  </w:style>
  <w:style w:type="character" w:customStyle="1" w:styleId="53">
    <w:name w:val="批注主题 Char"/>
    <w:qFormat/>
    <w:uiPriority w:val="0"/>
    <w:rPr>
      <w:rFonts w:ascii="Times New Roman" w:hAnsi="Times New Roman" w:eastAsia="宋体" w:cs="Times New Roman"/>
      <w:b/>
      <w:bCs/>
      <w:szCs w:val="24"/>
    </w:rPr>
  </w:style>
  <w:style w:type="character" w:customStyle="1" w:styleId="54">
    <w:name w:val="正文文本缩进 字符"/>
    <w:semiHidden/>
    <w:qFormat/>
    <w:uiPriority w:val="99"/>
    <w:rPr>
      <w:rFonts w:ascii="Times New Roman" w:hAnsi="Times New Roman" w:eastAsia="宋体" w:cs="Times New Roman"/>
      <w:szCs w:val="24"/>
    </w:rPr>
  </w:style>
  <w:style w:type="character" w:customStyle="1" w:styleId="55">
    <w:name w:val="正文文本缩进 字符1"/>
    <w:link w:val="8"/>
    <w:qFormat/>
    <w:uiPriority w:val="0"/>
    <w:rPr>
      <w:rFonts w:ascii="仿宋_GB2312" w:hAnsi="Times New Roman" w:eastAsia="仿宋_GB2312" w:cs="Times New Roman"/>
      <w:sz w:val="32"/>
      <w:szCs w:val="20"/>
    </w:rPr>
  </w:style>
  <w:style w:type="character" w:customStyle="1" w:styleId="56">
    <w:name w:val="正文文本 字符"/>
    <w:semiHidden/>
    <w:qFormat/>
    <w:uiPriority w:val="99"/>
    <w:rPr>
      <w:rFonts w:ascii="Times New Roman" w:hAnsi="Times New Roman" w:eastAsia="宋体" w:cs="Times New Roman"/>
      <w:szCs w:val="24"/>
    </w:rPr>
  </w:style>
  <w:style w:type="character" w:customStyle="1" w:styleId="57">
    <w:name w:val="正文文本 字符1"/>
    <w:link w:val="7"/>
    <w:qFormat/>
    <w:uiPriority w:val="0"/>
    <w:rPr>
      <w:rFonts w:ascii="Times New Roman" w:hAnsi="Times New Roman" w:eastAsia="宋体" w:cs="Times New Roman"/>
      <w:szCs w:val="24"/>
    </w:rPr>
  </w:style>
  <w:style w:type="character" w:customStyle="1" w:styleId="58">
    <w:name w:val="正文文本 2 字符"/>
    <w:semiHidden/>
    <w:qFormat/>
    <w:uiPriority w:val="99"/>
    <w:rPr>
      <w:rFonts w:ascii="Times New Roman" w:hAnsi="Times New Roman" w:eastAsia="宋体" w:cs="Times New Roman"/>
      <w:szCs w:val="24"/>
    </w:rPr>
  </w:style>
  <w:style w:type="character" w:customStyle="1" w:styleId="59">
    <w:name w:val="正文文本 2 字符1"/>
    <w:link w:val="19"/>
    <w:qFormat/>
    <w:uiPriority w:val="0"/>
    <w:rPr>
      <w:rFonts w:ascii="Times New Roman" w:hAnsi="Times New Roman" w:eastAsia="宋体" w:cs="Times New Roman"/>
      <w:szCs w:val="24"/>
    </w:rPr>
  </w:style>
  <w:style w:type="character" w:customStyle="1" w:styleId="60">
    <w:name w:val="纯文本 字符"/>
    <w:semiHidden/>
    <w:qFormat/>
    <w:uiPriority w:val="99"/>
    <w:rPr>
      <w:rFonts w:ascii="等线" w:hAnsi="Courier New" w:cs="Courier New"/>
      <w:szCs w:val="24"/>
    </w:rPr>
  </w:style>
  <w:style w:type="character" w:customStyle="1" w:styleId="61">
    <w:name w:val="纯文本 字符1"/>
    <w:link w:val="9"/>
    <w:qFormat/>
    <w:uiPriority w:val="0"/>
    <w:rPr>
      <w:rFonts w:ascii="宋体" w:hAnsi="Courier New" w:eastAsia="宋体" w:cs="Times New Roman"/>
      <w:szCs w:val="20"/>
    </w:rPr>
  </w:style>
  <w:style w:type="character" w:customStyle="1" w:styleId="62">
    <w:name w:val="正文文本缩进 3 字符"/>
    <w:semiHidden/>
    <w:qFormat/>
    <w:uiPriority w:val="99"/>
    <w:rPr>
      <w:rFonts w:ascii="Times New Roman" w:hAnsi="Times New Roman" w:eastAsia="宋体" w:cs="Times New Roman"/>
      <w:sz w:val="16"/>
      <w:szCs w:val="16"/>
    </w:rPr>
  </w:style>
  <w:style w:type="character" w:customStyle="1" w:styleId="63">
    <w:name w:val="正文文本缩进 3 字符1"/>
    <w:link w:val="17"/>
    <w:qFormat/>
    <w:uiPriority w:val="0"/>
    <w:rPr>
      <w:rFonts w:ascii="仿宋_GB2312" w:hAnsi="宋体" w:eastAsia="仿宋_GB2312" w:cs="Times New Roman"/>
      <w:kern w:val="28"/>
      <w:sz w:val="24"/>
      <w:szCs w:val="24"/>
    </w:rPr>
  </w:style>
  <w:style w:type="character" w:customStyle="1" w:styleId="64">
    <w:name w:val="正文文本缩进 2 字符"/>
    <w:semiHidden/>
    <w:qFormat/>
    <w:uiPriority w:val="99"/>
    <w:rPr>
      <w:rFonts w:ascii="Times New Roman" w:hAnsi="Times New Roman" w:eastAsia="宋体" w:cs="Times New Roman"/>
      <w:szCs w:val="24"/>
    </w:rPr>
  </w:style>
  <w:style w:type="character" w:customStyle="1" w:styleId="65">
    <w:name w:val="正文文本缩进 2 字符1"/>
    <w:link w:val="11"/>
    <w:qFormat/>
    <w:uiPriority w:val="0"/>
    <w:rPr>
      <w:rFonts w:ascii="仿宋_GB2312" w:hAnsi="宋体" w:eastAsia="仿宋_GB2312" w:cs="Times New Roman"/>
      <w:sz w:val="24"/>
      <w:szCs w:val="24"/>
    </w:rPr>
  </w:style>
  <w:style w:type="character" w:customStyle="1" w:styleId="66">
    <w:name w:val="访问过的超链接1"/>
    <w:qFormat/>
    <w:uiPriority w:val="0"/>
    <w:rPr>
      <w:color w:val="954F72"/>
      <w:u w:val="single"/>
    </w:rPr>
  </w:style>
  <w:style w:type="character" w:customStyle="1" w:styleId="67">
    <w:name w:val="列出段落 Char"/>
    <w:qFormat/>
    <w:uiPriority w:val="0"/>
    <w:rPr>
      <w:rFonts w:ascii="Calibri" w:hAnsi="Calibri" w:eastAsia="宋体" w:cs="Times New Roman"/>
      <w:kern w:val="0"/>
      <w:sz w:val="20"/>
      <w:szCs w:val="20"/>
    </w:rPr>
  </w:style>
  <w:style w:type="character" w:customStyle="1" w:styleId="68">
    <w:name w:val="style_kwd1"/>
    <w:qFormat/>
    <w:uiPriority w:val="0"/>
    <w:rPr>
      <w:shd w:val="clear" w:color="auto" w:fill="FFFFA6"/>
    </w:rPr>
  </w:style>
  <w:style w:type="paragraph" w:customStyle="1" w:styleId="69">
    <w:name w:val="列出段落111"/>
    <w:basedOn w:val="1"/>
    <w:qFormat/>
    <w:uiPriority w:val="99"/>
    <w:pPr>
      <w:ind w:firstLine="420" w:firstLineChars="200"/>
    </w:pPr>
    <w:rPr>
      <w:rFonts w:ascii="Calibri" w:hAnsi="Calibri"/>
      <w:szCs w:val="22"/>
    </w:rPr>
  </w:style>
  <w:style w:type="paragraph" w:customStyle="1" w:styleId="70">
    <w:name w:val="列出段落1"/>
    <w:basedOn w:val="1"/>
    <w:qFormat/>
    <w:uiPriority w:val="0"/>
    <w:pPr>
      <w:ind w:firstLine="420" w:firstLineChars="200"/>
    </w:pPr>
    <w:rPr>
      <w:rFonts w:ascii="Calibri" w:hAnsi="Calibri"/>
      <w:szCs w:val="22"/>
    </w:rPr>
  </w:style>
  <w:style w:type="character" w:customStyle="1" w:styleId="71">
    <w:name w:val="文档结构图 字符"/>
    <w:semiHidden/>
    <w:qFormat/>
    <w:uiPriority w:val="99"/>
    <w:rPr>
      <w:rFonts w:ascii="Microsoft YaHei UI" w:hAnsi="Times New Roman" w:eastAsia="Microsoft YaHei UI" w:cs="Times New Roman"/>
      <w:sz w:val="18"/>
      <w:szCs w:val="18"/>
    </w:rPr>
  </w:style>
  <w:style w:type="character" w:customStyle="1" w:styleId="72">
    <w:name w:val="文档结构图 字符1"/>
    <w:link w:val="5"/>
    <w:semiHidden/>
    <w:qFormat/>
    <w:uiPriority w:val="99"/>
    <w:rPr>
      <w:rFonts w:ascii="宋体" w:hAnsi="Times New Roman" w:eastAsia="宋体" w:cs="Times New Roman"/>
      <w:sz w:val="18"/>
      <w:szCs w:val="18"/>
    </w:rPr>
  </w:style>
  <w:style w:type="paragraph" w:customStyle="1" w:styleId="73">
    <w:name w:val="样式1"/>
    <w:basedOn w:val="3"/>
    <w:link w:val="74"/>
    <w:qFormat/>
    <w:uiPriority w:val="0"/>
    <w:pPr>
      <w:tabs>
        <w:tab w:val="left" w:pos="1276"/>
        <w:tab w:val="left" w:pos="2127"/>
        <w:tab w:val="left" w:pos="2410"/>
        <w:tab w:val="left" w:pos="2552"/>
        <w:tab w:val="left" w:pos="2694"/>
        <w:tab w:val="left" w:pos="2977"/>
      </w:tabs>
    </w:pPr>
    <w:rPr>
      <w:rFonts w:ascii="楷体_GB2312" w:eastAsia="楷体_GB2312"/>
      <w:b w:val="0"/>
    </w:rPr>
  </w:style>
  <w:style w:type="character" w:customStyle="1" w:styleId="74">
    <w:name w:val="样式1 Char"/>
    <w:link w:val="73"/>
    <w:qFormat/>
    <w:uiPriority w:val="0"/>
    <w:rPr>
      <w:rFonts w:ascii="楷体_GB2312" w:hAnsi="Arial Unicode MS" w:eastAsia="楷体_GB2312" w:cs="Arial Unicode MS"/>
      <w:sz w:val="32"/>
      <w:szCs w:val="32"/>
    </w:rPr>
  </w:style>
  <w:style w:type="paragraph" w:customStyle="1" w:styleId="75">
    <w:name w:val="样式3"/>
    <w:basedOn w:val="36"/>
    <w:link w:val="76"/>
    <w:qFormat/>
    <w:uiPriority w:val="0"/>
    <w:pPr>
      <w:tabs>
        <w:tab w:val="left" w:pos="4395"/>
        <w:tab w:val="clear" w:pos="0"/>
      </w:tabs>
      <w:ind w:left="4395" w:firstLine="0" w:firstLineChars="0"/>
    </w:pPr>
    <w:rPr>
      <w:b w:val="0"/>
    </w:rPr>
  </w:style>
  <w:style w:type="character" w:customStyle="1" w:styleId="76">
    <w:name w:val="样式3 Char"/>
    <w:link w:val="75"/>
    <w:qFormat/>
    <w:uiPriority w:val="0"/>
    <w:rPr>
      <w:rFonts w:ascii="楷体_GB2312" w:hAnsi="Arial Unicode MS" w:eastAsia="楷体_GB2312" w:cs="Arial Unicode MS"/>
      <w:sz w:val="32"/>
      <w:szCs w:val="32"/>
    </w:rPr>
  </w:style>
  <w:style w:type="paragraph" w:customStyle="1" w:styleId="77">
    <w:name w:val="样式4"/>
    <w:basedOn w:val="2"/>
    <w:link w:val="78"/>
    <w:qFormat/>
    <w:uiPriority w:val="0"/>
    <w:rPr>
      <w:b w:val="0"/>
      <w:bCs w:val="0"/>
    </w:rPr>
  </w:style>
  <w:style w:type="character" w:customStyle="1" w:styleId="78">
    <w:name w:val="样式4 Char"/>
    <w:link w:val="77"/>
    <w:qFormat/>
    <w:uiPriority w:val="0"/>
    <w:rPr>
      <w:rFonts w:ascii="黑体" w:hAnsi="Arial Unicode MS" w:eastAsia="黑体" w:cs="Arial Unicode MS"/>
      <w:kern w:val="44"/>
      <w:sz w:val="32"/>
      <w:szCs w:val="32"/>
    </w:rPr>
  </w:style>
  <w:style w:type="paragraph" w:customStyle="1" w:styleId="79">
    <w:name w:val="样式5"/>
    <w:basedOn w:val="77"/>
    <w:link w:val="80"/>
    <w:qFormat/>
    <w:uiPriority w:val="0"/>
    <w:pPr>
      <w:ind w:firstLine="640"/>
    </w:pPr>
    <w:rPr>
      <w:bCs/>
    </w:rPr>
  </w:style>
  <w:style w:type="character" w:customStyle="1" w:styleId="80">
    <w:name w:val="样式5 Char"/>
    <w:link w:val="79"/>
    <w:qFormat/>
    <w:uiPriority w:val="0"/>
    <w:rPr>
      <w:rFonts w:ascii="黑体" w:hAnsi="Arial Unicode MS" w:eastAsia="黑体" w:cs="Arial Unicode MS"/>
      <w:bCs/>
      <w:kern w:val="44"/>
      <w:sz w:val="32"/>
      <w:szCs w:val="32"/>
    </w:rPr>
  </w:style>
  <w:style w:type="paragraph" w:customStyle="1" w:styleId="81">
    <w:name w:val="样式6"/>
    <w:basedOn w:val="79"/>
    <w:link w:val="82"/>
    <w:qFormat/>
    <w:uiPriority w:val="0"/>
    <w:pPr>
      <w:tabs>
        <w:tab w:val="left" w:pos="1418"/>
      </w:tabs>
    </w:pPr>
    <w:rPr>
      <w:bCs w:val="0"/>
    </w:rPr>
  </w:style>
  <w:style w:type="character" w:customStyle="1" w:styleId="82">
    <w:name w:val="样式6 Char"/>
    <w:link w:val="81"/>
    <w:qFormat/>
    <w:uiPriority w:val="0"/>
    <w:rPr>
      <w:rFonts w:ascii="黑体" w:hAnsi="Arial Unicode MS" w:eastAsia="黑体" w:cs="Arial Unicode MS"/>
      <w:kern w:val="44"/>
      <w:sz w:val="32"/>
      <w:szCs w:val="32"/>
    </w:rPr>
  </w:style>
  <w:style w:type="paragraph" w:customStyle="1" w:styleId="8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84">
    <w:name w:val="fontstyle21"/>
    <w:qFormat/>
    <w:uiPriority w:val="0"/>
    <w:rPr>
      <w:rFonts w:hint="default" w:ascii="Times" w:hAnsi="Times"/>
      <w:color w:val="000000"/>
      <w:sz w:val="24"/>
      <w:szCs w:val="24"/>
    </w:rPr>
  </w:style>
  <w:style w:type="character" w:customStyle="1" w:styleId="85">
    <w:name w:val="threshold3"/>
    <w:qFormat/>
    <w:uiPriority w:val="0"/>
    <w:rPr>
      <w:vanish/>
      <w:color w:val="FFFFFF"/>
      <w:sz w:val="2"/>
      <w:szCs w:val="2"/>
    </w:rPr>
  </w:style>
  <w:style w:type="paragraph" w:customStyle="1" w:styleId="8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87">
    <w:name w:val="_Style 3"/>
    <w:basedOn w:val="1"/>
    <w:qFormat/>
    <w:uiPriority w:val="0"/>
    <w:pPr>
      <w:ind w:firstLine="420" w:firstLineChars="200"/>
    </w:pPr>
    <w:rPr>
      <w:szCs w:val="22"/>
    </w:rPr>
  </w:style>
  <w:style w:type="paragraph" w:customStyle="1" w:styleId="88">
    <w:name w:val="TOC 标题1"/>
    <w:basedOn w:val="2"/>
    <w:next w:val="1"/>
    <w:unhideWhenUsed/>
    <w:qFormat/>
    <w:uiPriority w:val="39"/>
    <w:pPr>
      <w:widowControl/>
      <w:numPr>
        <w:numId w:val="0"/>
      </w:numPr>
      <w:adjustRightInd/>
      <w:spacing w:before="240" w:line="259" w:lineRule="auto"/>
      <w:jc w:val="left"/>
      <w:textAlignment w:val="auto"/>
      <w:outlineLvl w:val="9"/>
    </w:pPr>
    <w:rPr>
      <w:rFonts w:asciiTheme="majorHAnsi" w:hAnsiTheme="majorHAnsi" w:eastAsiaTheme="majorEastAsia" w:cstheme="majorBidi"/>
      <w:b w:val="0"/>
      <w:bCs w:val="0"/>
      <w:color w:val="366091" w:themeColor="accent1" w:themeShade="BF"/>
      <w:kern w:val="0"/>
    </w:rPr>
  </w:style>
  <w:style w:type="paragraph" w:customStyle="1" w:styleId="89">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90">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1">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92">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93">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94">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96">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152</Pages>
  <Words>71093</Words>
  <Characters>72367</Characters>
  <Lines>553</Lines>
  <Paragraphs>155</Paragraphs>
  <TotalTime>219</TotalTime>
  <ScaleCrop>false</ScaleCrop>
  <LinksUpToDate>false</LinksUpToDate>
  <CharactersWithSpaces>73445</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2024-12-26T18:47:00Z</dcterms:created>
  <dc:creator>sse</dc:creator>
  <cp:lastModifiedBy>whxu</cp:lastModifiedBy>
  <cp:lastPrinted>2021-01-04T01:59:00Z</cp:lastPrinted>
  <dcterms:modified xsi:type="dcterms:W3CDTF">2025-04-25T19:13:01Z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3642713232C5BBF1D6970868666CFD66_43</vt:lpwstr>
  </property>
</Properties>
</file>