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7AA2">
      <w:pPr>
        <w:adjustRightInd w:val="0"/>
        <w:snapToGrid w:val="0"/>
        <w:spacing w:line="560" w:lineRule="exact"/>
        <w:jc w:val="center"/>
        <w:rPr>
          <w:rFonts w:eastAsia="黑体"/>
          <w:sz w:val="36"/>
          <w:szCs w:val="36"/>
        </w:rPr>
      </w:pPr>
      <w:r>
        <w:rPr>
          <w:rFonts w:eastAsia="黑体"/>
          <w:b/>
          <w:sz w:val="36"/>
          <w:szCs w:val="36"/>
        </w:rPr>
        <w:t>第三十</w:t>
      </w:r>
      <w:r>
        <w:rPr>
          <w:rFonts w:hint="eastAsia" w:eastAsia="黑体"/>
          <w:b/>
          <w:sz w:val="36"/>
          <w:szCs w:val="36"/>
        </w:rPr>
        <w:t>四</w:t>
      </w:r>
      <w:r>
        <w:rPr>
          <w:rFonts w:eastAsia="黑体"/>
          <w:b/>
          <w:sz w:val="36"/>
          <w:szCs w:val="36"/>
        </w:rPr>
        <w:t>号 上市公司续聘、变更会计师事务所公告</w:t>
      </w:r>
    </w:p>
    <w:p w14:paraId="420A4A03">
      <w:pPr>
        <w:autoSpaceDE w:val="0"/>
        <w:autoSpaceDN w:val="0"/>
        <w:adjustRightInd w:val="0"/>
        <w:spacing w:line="560" w:lineRule="exact"/>
        <w:jc w:val="center"/>
        <w:rPr>
          <w:rFonts w:eastAsia="仿宋_GB2312"/>
          <w:color w:val="000000"/>
          <w:sz w:val="30"/>
          <w:szCs w:val="30"/>
        </w:rPr>
      </w:pPr>
    </w:p>
    <w:p w14:paraId="425AFED2">
      <w:pPr>
        <w:adjustRightInd w:val="0"/>
        <w:snapToGrid w:val="0"/>
        <w:spacing w:line="560" w:lineRule="exact"/>
        <w:jc w:val="left"/>
        <w:rPr>
          <w:rFonts w:eastAsia="仿宋_GB2312"/>
          <w:b/>
          <w:sz w:val="30"/>
          <w:szCs w:val="30"/>
        </w:rPr>
      </w:pPr>
      <w:r>
        <w:rPr>
          <w:rFonts w:eastAsia="仿宋_GB2312"/>
          <w:b/>
          <w:sz w:val="30"/>
          <w:szCs w:val="30"/>
        </w:rPr>
        <w:t>适用情形：</w:t>
      </w:r>
    </w:p>
    <w:p w14:paraId="15616B16">
      <w:pPr>
        <w:adjustRightInd w:val="0"/>
        <w:snapToGrid w:val="0"/>
        <w:spacing w:line="560" w:lineRule="exact"/>
        <w:ind w:firstLine="600" w:firstLineChars="200"/>
        <w:jc w:val="left"/>
        <w:rPr>
          <w:rFonts w:eastAsia="仿宋_GB2312"/>
          <w:sz w:val="30"/>
          <w:szCs w:val="30"/>
        </w:rPr>
      </w:pPr>
      <w:r>
        <w:rPr>
          <w:rFonts w:eastAsia="仿宋_GB2312"/>
          <w:sz w:val="30"/>
          <w:szCs w:val="30"/>
        </w:rPr>
        <w:t>上市公司拟续聘、变更（含新聘、解聘）为其提供财务报告或内部控制审计相关服务的会计师事务所的，应当适用本公告格式披露公告。</w:t>
      </w:r>
    </w:p>
    <w:p w14:paraId="0FD08027">
      <w:pPr>
        <w:spacing w:line="560" w:lineRule="exact"/>
        <w:ind w:firstLine="600" w:firstLineChars="200"/>
        <w:rPr>
          <w:rFonts w:eastAsia="仿宋_GB2312"/>
          <w:sz w:val="30"/>
          <w:szCs w:val="30"/>
        </w:rPr>
      </w:pPr>
    </w:p>
    <w:p w14:paraId="38CED5A9">
      <w:pPr>
        <w:adjustRightInd w:val="0"/>
        <w:snapToGrid w:val="0"/>
        <w:spacing w:line="560" w:lineRule="exact"/>
        <w:rPr>
          <w:rFonts w:eastAsia="仿宋_GB2312"/>
          <w:sz w:val="30"/>
          <w:szCs w:val="30"/>
        </w:rPr>
      </w:pPr>
      <w:r>
        <w:rPr>
          <w:rFonts w:eastAsia="仿宋_GB2312"/>
          <w:sz w:val="30"/>
          <w:szCs w:val="30"/>
        </w:rPr>
        <w:t>证券代码：             证券简称：            公告编号：</w:t>
      </w:r>
    </w:p>
    <w:p w14:paraId="585F5AAF">
      <w:pPr>
        <w:adjustRightInd w:val="0"/>
        <w:snapToGrid w:val="0"/>
        <w:spacing w:line="560" w:lineRule="exact"/>
        <w:jc w:val="center"/>
        <w:rPr>
          <w:rFonts w:eastAsia="仿宋_GB2312"/>
          <w:color w:val="000000"/>
          <w:sz w:val="30"/>
          <w:szCs w:val="30"/>
        </w:rPr>
      </w:pPr>
    </w:p>
    <w:p w14:paraId="17B3C02A">
      <w:pPr>
        <w:snapToGrid w:val="0"/>
        <w:spacing w:line="560" w:lineRule="exact"/>
        <w:jc w:val="center"/>
        <w:rPr>
          <w:rFonts w:ascii="仿宋_GB2312" w:eastAsia="仿宋_GB2312"/>
          <w:kern w:val="0"/>
          <w:sz w:val="30"/>
          <w:szCs w:val="30"/>
        </w:rPr>
      </w:pPr>
      <w:r>
        <w:rPr>
          <w:rFonts w:hint="eastAsia" w:ascii="仿宋_GB2312" w:eastAsia="仿宋_GB2312"/>
          <w:color w:val="000000"/>
          <w:sz w:val="30"/>
          <w:szCs w:val="30"/>
        </w:rPr>
        <w:t>XXXX股份有限公司续聘、变更会计师事务所</w:t>
      </w:r>
      <w:r>
        <w:rPr>
          <w:rFonts w:hint="eastAsia" w:ascii="仿宋_GB2312" w:eastAsia="仿宋_GB2312"/>
          <w:kern w:val="0"/>
          <w:sz w:val="30"/>
          <w:szCs w:val="30"/>
        </w:rPr>
        <w:t>公告</w:t>
      </w:r>
    </w:p>
    <w:p w14:paraId="40F431AE">
      <w:pPr>
        <w:snapToGrid w:val="0"/>
        <w:spacing w:line="560" w:lineRule="exact"/>
        <w:jc w:val="center"/>
        <w:rPr>
          <w:rFonts w:eastAsia="仿宋_GB2312"/>
          <w:color w:val="000000"/>
          <w:sz w:val="30"/>
          <w:szCs w:val="30"/>
        </w:rPr>
      </w:pPr>
    </w:p>
    <w:p w14:paraId="5E208EA2">
      <w:pPr>
        <w:pBdr>
          <w:top w:val="single" w:color="auto" w:sz="4" w:space="1"/>
          <w:left w:val="single" w:color="auto" w:sz="4" w:space="4"/>
          <w:bottom w:val="single" w:color="auto" w:sz="4" w:space="2"/>
          <w:right w:val="single" w:color="auto" w:sz="4" w:space="4"/>
        </w:pBdr>
        <w:adjustRightInd w:val="0"/>
        <w:spacing w:line="560" w:lineRule="exact"/>
        <w:rPr>
          <w:rFonts w:eastAsia="仿宋_GB2312"/>
          <w:color w:val="000000"/>
          <w:sz w:val="30"/>
          <w:szCs w:val="30"/>
        </w:rPr>
      </w:pPr>
      <w:r>
        <w:rPr>
          <w:rFonts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F021814">
      <w:pPr>
        <w:pBdr>
          <w:top w:val="single" w:color="auto" w:sz="4" w:space="1"/>
          <w:left w:val="single" w:color="auto" w:sz="4" w:space="4"/>
          <w:bottom w:val="single" w:color="auto" w:sz="4" w:space="2"/>
          <w:right w:val="single" w:color="auto" w:sz="4" w:space="4"/>
        </w:pBdr>
        <w:adjustRightInd w:val="0"/>
        <w:spacing w:line="560" w:lineRule="exact"/>
        <w:rPr>
          <w:rFonts w:eastAsia="仿宋_GB2312"/>
          <w:color w:val="000000"/>
          <w:sz w:val="30"/>
          <w:szCs w:val="30"/>
        </w:rPr>
      </w:pPr>
      <w:r>
        <w:rPr>
          <w:rFonts w:eastAsia="仿宋_GB2312"/>
          <w:color w:val="000000"/>
          <w:sz w:val="30"/>
          <w:szCs w:val="30"/>
        </w:rPr>
        <w:t xml:space="preserve">    如有董事对临时公告内容的真实性、准确性和完整性无法保证或存在异议的，公司应当在公告中作特别提示。</w:t>
      </w:r>
    </w:p>
    <w:p w14:paraId="46902A77">
      <w:pPr>
        <w:adjustRightInd w:val="0"/>
        <w:snapToGrid w:val="0"/>
        <w:spacing w:line="560" w:lineRule="exact"/>
        <w:rPr>
          <w:rFonts w:eastAsia="仿宋_GB2312"/>
          <w:sz w:val="30"/>
          <w:szCs w:val="30"/>
        </w:rPr>
      </w:pPr>
    </w:p>
    <w:p w14:paraId="521D1BAB">
      <w:pPr>
        <w:adjustRightInd w:val="0"/>
        <w:snapToGrid w:val="0"/>
        <w:spacing w:line="560" w:lineRule="exact"/>
        <w:ind w:firstLine="601" w:firstLineChars="200"/>
        <w:rPr>
          <w:rFonts w:eastAsia="仿宋_GB2312"/>
          <w:b/>
          <w:sz w:val="30"/>
          <w:szCs w:val="30"/>
        </w:rPr>
      </w:pPr>
      <w:r>
        <w:rPr>
          <w:rFonts w:eastAsia="仿宋_GB2312"/>
          <w:b/>
          <w:sz w:val="30"/>
          <w:szCs w:val="30"/>
        </w:rPr>
        <w:t>重要内容提示：</w:t>
      </w:r>
    </w:p>
    <w:p w14:paraId="6FD7309C">
      <w:pPr>
        <w:numPr>
          <w:ilvl w:val="0"/>
          <w:numId w:val="1"/>
        </w:numPr>
        <w:adjustRightInd w:val="0"/>
        <w:snapToGrid w:val="0"/>
        <w:spacing w:line="560" w:lineRule="exact"/>
        <w:rPr>
          <w:rFonts w:eastAsia="仿宋_GB2312"/>
          <w:sz w:val="30"/>
          <w:szCs w:val="30"/>
        </w:rPr>
      </w:pPr>
      <w:r>
        <w:rPr>
          <w:rFonts w:eastAsia="仿宋_GB2312"/>
          <w:sz w:val="30"/>
          <w:szCs w:val="30"/>
        </w:rPr>
        <w:t>拟聘任的会计师事务所名称</w:t>
      </w:r>
    </w:p>
    <w:p w14:paraId="368C4C8F">
      <w:pPr>
        <w:numPr>
          <w:ilvl w:val="0"/>
          <w:numId w:val="1"/>
        </w:numPr>
        <w:adjustRightInd w:val="0"/>
        <w:snapToGrid w:val="0"/>
        <w:spacing w:line="560" w:lineRule="exact"/>
        <w:rPr>
          <w:rFonts w:eastAsia="仿宋_GB2312"/>
          <w:sz w:val="30"/>
          <w:szCs w:val="30"/>
        </w:rPr>
      </w:pPr>
      <w:r>
        <w:rPr>
          <w:rFonts w:eastAsia="仿宋_GB2312"/>
          <w:sz w:val="30"/>
          <w:szCs w:val="30"/>
        </w:rPr>
        <w:t>原聘任的会计师事务所名称（如适用）</w:t>
      </w:r>
    </w:p>
    <w:p w14:paraId="68E82908">
      <w:pPr>
        <w:numPr>
          <w:ilvl w:val="0"/>
          <w:numId w:val="1"/>
        </w:numPr>
        <w:adjustRightInd w:val="0"/>
        <w:snapToGrid w:val="0"/>
        <w:spacing w:line="560" w:lineRule="exact"/>
        <w:rPr>
          <w:rFonts w:eastAsia="仿宋_GB2312"/>
          <w:sz w:val="30"/>
          <w:szCs w:val="30"/>
        </w:rPr>
      </w:pPr>
      <w:r>
        <w:rPr>
          <w:rFonts w:eastAsia="仿宋_GB2312"/>
          <w:sz w:val="30"/>
          <w:szCs w:val="30"/>
        </w:rPr>
        <w:t>变更会计师事务所的简要原因及前任会计师的异议情况（如适用）</w:t>
      </w:r>
    </w:p>
    <w:p w14:paraId="13CAFADB">
      <w:pPr>
        <w:adjustRightInd w:val="0"/>
        <w:snapToGrid w:val="0"/>
        <w:spacing w:line="560" w:lineRule="exact"/>
        <w:rPr>
          <w:rFonts w:eastAsia="仿宋_GB2312"/>
          <w:sz w:val="30"/>
          <w:szCs w:val="30"/>
        </w:rPr>
      </w:pPr>
    </w:p>
    <w:p w14:paraId="56818EB2">
      <w:pPr>
        <w:adjustRightInd w:val="0"/>
        <w:snapToGrid w:val="0"/>
        <w:spacing w:line="560" w:lineRule="exact"/>
        <w:rPr>
          <w:rFonts w:eastAsia="黑体"/>
          <w:b/>
          <w:sz w:val="30"/>
          <w:szCs w:val="30"/>
        </w:rPr>
      </w:pPr>
      <w:r>
        <w:rPr>
          <w:rFonts w:eastAsia="仿宋_GB2312"/>
          <w:sz w:val="30"/>
          <w:szCs w:val="30"/>
        </w:rPr>
        <w:t xml:space="preserve">  </w:t>
      </w:r>
      <w:r>
        <w:rPr>
          <w:rFonts w:eastAsia="黑体"/>
          <w:sz w:val="30"/>
          <w:szCs w:val="30"/>
        </w:rPr>
        <w:t xml:space="preserve">  </w:t>
      </w:r>
      <w:r>
        <w:rPr>
          <w:rFonts w:eastAsia="黑体"/>
          <w:b/>
          <w:sz w:val="30"/>
          <w:szCs w:val="30"/>
        </w:rPr>
        <w:t>一、拟聘任会计师事务所的基本情况</w:t>
      </w:r>
    </w:p>
    <w:p w14:paraId="130D4AE5">
      <w:pPr>
        <w:adjustRightInd w:val="0"/>
        <w:snapToGrid w:val="0"/>
        <w:spacing w:line="560" w:lineRule="exact"/>
        <w:ind w:firstLine="600" w:firstLineChars="200"/>
        <w:rPr>
          <w:rFonts w:eastAsia="仿宋_GB2312"/>
          <w:sz w:val="30"/>
          <w:szCs w:val="30"/>
        </w:rPr>
      </w:pPr>
      <w:r>
        <w:rPr>
          <w:rFonts w:eastAsia="仿宋_GB2312"/>
          <w:sz w:val="30"/>
          <w:szCs w:val="30"/>
        </w:rPr>
        <w:t>（一）机构信息</w:t>
      </w:r>
    </w:p>
    <w:p w14:paraId="123C4D82">
      <w:pPr>
        <w:adjustRightInd w:val="0"/>
        <w:snapToGrid w:val="0"/>
        <w:spacing w:line="560" w:lineRule="exact"/>
        <w:ind w:firstLine="600" w:firstLineChars="200"/>
        <w:rPr>
          <w:rFonts w:eastAsia="仿宋_GB2312"/>
          <w:sz w:val="30"/>
          <w:szCs w:val="30"/>
        </w:rPr>
      </w:pPr>
      <w:r>
        <w:rPr>
          <w:rFonts w:eastAsia="仿宋_GB2312"/>
          <w:sz w:val="30"/>
          <w:szCs w:val="30"/>
        </w:rPr>
        <w:t>1.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按照证监会行业分类，下同），审计收费总额，本公司同行业上市公司审计客户家数。</w:t>
      </w:r>
    </w:p>
    <w:p w14:paraId="7CC3DF79">
      <w:pPr>
        <w:adjustRightInd w:val="0"/>
        <w:snapToGrid w:val="0"/>
        <w:spacing w:line="560" w:lineRule="exact"/>
        <w:ind w:firstLine="600" w:firstLineChars="200"/>
        <w:rPr>
          <w:rFonts w:eastAsia="仿宋_GB2312"/>
          <w:sz w:val="30"/>
          <w:szCs w:val="30"/>
        </w:rPr>
      </w:pPr>
      <w:r>
        <w:rPr>
          <w:rFonts w:eastAsia="仿宋_GB2312"/>
          <w:sz w:val="30"/>
          <w:szCs w:val="30"/>
        </w:rPr>
        <w:t>2.投资者保护能力。计提职业风险基金、购买的职业保险累计赔偿限额（可披露区间数），说明职业风险基金计提或职业保险购买是否符合相关规定；近三年（最近三个完整自然年度及当年，下同）因在执业行为相关民事诉讼中承担民事责任的情况，如诉讼主体、目前进展等。</w:t>
      </w:r>
    </w:p>
    <w:p w14:paraId="247B7159">
      <w:pPr>
        <w:adjustRightInd w:val="0"/>
        <w:snapToGrid w:val="0"/>
        <w:spacing w:line="560" w:lineRule="exact"/>
        <w:ind w:firstLine="600" w:firstLineChars="200"/>
        <w:rPr>
          <w:rFonts w:eastAsia="仿宋_GB2312"/>
          <w:sz w:val="30"/>
          <w:szCs w:val="30"/>
        </w:rPr>
      </w:pPr>
      <w:r>
        <w:rPr>
          <w:rFonts w:eastAsia="仿宋_GB2312"/>
          <w:sz w:val="30"/>
          <w:szCs w:val="30"/>
        </w:rPr>
        <w:t>3.诚信记录。会计师事务所及其从业人员近三年因执业行为受到刑事处罚，受到证监会及其派出机构、行业主管部门等的行政处罚、监督管理措施，受到证券交易所、行业协会等自律组织的自律监管措施、纪律处分的总体情况等。</w:t>
      </w:r>
    </w:p>
    <w:p w14:paraId="4CCAA87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14:paraId="0E7C0524">
      <w:pPr>
        <w:adjustRightInd w:val="0"/>
        <w:snapToGrid w:val="0"/>
        <w:spacing w:line="560" w:lineRule="exact"/>
        <w:ind w:firstLine="600" w:firstLineChars="200"/>
        <w:rPr>
          <w:rFonts w:eastAsia="仿宋_GB2312"/>
          <w:sz w:val="30"/>
          <w:szCs w:val="30"/>
        </w:rPr>
      </w:pPr>
      <w:r>
        <w:rPr>
          <w:rFonts w:eastAsia="仿宋_GB2312"/>
          <w:sz w:val="30"/>
          <w:szCs w:val="30"/>
        </w:rPr>
        <w:t>（二）项目信息</w:t>
      </w:r>
    </w:p>
    <w:p w14:paraId="09990362">
      <w:pPr>
        <w:adjustRightInd w:val="0"/>
        <w:snapToGrid w:val="0"/>
        <w:spacing w:line="560" w:lineRule="exact"/>
        <w:ind w:firstLine="600" w:firstLineChars="200"/>
        <w:rPr>
          <w:rFonts w:eastAsia="仿宋_GB2312"/>
          <w:sz w:val="30"/>
          <w:szCs w:val="30"/>
        </w:rPr>
      </w:pPr>
      <w:r>
        <w:rPr>
          <w:rFonts w:eastAsia="仿宋_GB2312"/>
          <w:sz w:val="30"/>
          <w:szCs w:val="30"/>
        </w:rPr>
        <w:t>1.基本信息。项目合伙人、签字注册会计师、项目质量控制复核人何时成为注册会计师、何时开始从事上市公司审计、何时开始在本所执业、何时开始为本公司提供审计服务；近三年签署或复核上市公司审计报告情况。</w:t>
      </w:r>
    </w:p>
    <w:p w14:paraId="32975C3A">
      <w:pPr>
        <w:adjustRightInd w:val="0"/>
        <w:snapToGrid w:val="0"/>
        <w:spacing w:line="560" w:lineRule="exact"/>
        <w:ind w:firstLine="600" w:firstLineChars="200"/>
        <w:rPr>
          <w:rFonts w:eastAsia="仿宋_GB2312"/>
          <w:sz w:val="30"/>
          <w:szCs w:val="30"/>
        </w:rPr>
      </w:pPr>
      <w:r>
        <w:rPr>
          <w:rFonts w:eastAsia="仿宋_GB2312"/>
          <w:sz w:val="30"/>
          <w:szCs w:val="30"/>
        </w:rPr>
        <w:t>2.诚信记录。项目合伙人、签字注册会计师、项目质量控制复核人近三年因执业行为受到刑事处罚，受到证监会及其派出机构、行业主管部门等的行政处罚、监督管理措施，受到证券交易所、行业协会等自律组织的自律监管措施、纪律处分的具体情况，详见下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1701"/>
        <w:gridCol w:w="1701"/>
        <w:gridCol w:w="1275"/>
        <w:gridCol w:w="2410"/>
      </w:tblGrid>
      <w:tr w14:paraId="1202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37D2302B">
            <w:pPr>
              <w:adjustRightInd w:val="0"/>
              <w:snapToGrid w:val="0"/>
              <w:spacing w:line="560" w:lineRule="exact"/>
              <w:rPr>
                <w:rFonts w:eastAsia="仿宋_GB2312"/>
                <w:sz w:val="24"/>
              </w:rPr>
            </w:pPr>
            <w:r>
              <w:rPr>
                <w:rFonts w:eastAsia="仿宋_GB2312"/>
                <w:sz w:val="24"/>
              </w:rPr>
              <w:t>序号</w:t>
            </w:r>
          </w:p>
        </w:tc>
        <w:tc>
          <w:tcPr>
            <w:tcW w:w="851" w:type="dxa"/>
            <w:tcBorders>
              <w:top w:val="single" w:color="auto" w:sz="4" w:space="0"/>
              <w:left w:val="single" w:color="auto" w:sz="4" w:space="0"/>
              <w:bottom w:val="single" w:color="auto" w:sz="4" w:space="0"/>
              <w:right w:val="single" w:color="auto" w:sz="4" w:space="0"/>
            </w:tcBorders>
          </w:tcPr>
          <w:p w14:paraId="0690B4BA">
            <w:pPr>
              <w:adjustRightInd w:val="0"/>
              <w:snapToGrid w:val="0"/>
              <w:spacing w:line="560" w:lineRule="exact"/>
              <w:rPr>
                <w:rFonts w:eastAsia="仿宋_GB2312"/>
                <w:sz w:val="24"/>
              </w:rPr>
            </w:pPr>
            <w:r>
              <w:rPr>
                <w:rFonts w:eastAsia="仿宋_GB2312"/>
                <w:sz w:val="24"/>
              </w:rPr>
              <w:t>姓名</w:t>
            </w:r>
          </w:p>
        </w:tc>
        <w:tc>
          <w:tcPr>
            <w:tcW w:w="1701" w:type="dxa"/>
            <w:tcBorders>
              <w:top w:val="single" w:color="auto" w:sz="4" w:space="0"/>
              <w:left w:val="single" w:color="auto" w:sz="4" w:space="0"/>
              <w:bottom w:val="single" w:color="auto" w:sz="4" w:space="0"/>
              <w:right w:val="single" w:color="auto" w:sz="4" w:space="0"/>
            </w:tcBorders>
          </w:tcPr>
          <w:p w14:paraId="0C2B546D">
            <w:pPr>
              <w:adjustRightInd w:val="0"/>
              <w:snapToGrid w:val="0"/>
              <w:spacing w:line="560" w:lineRule="exact"/>
              <w:rPr>
                <w:rFonts w:eastAsia="仿宋_GB2312"/>
                <w:sz w:val="24"/>
              </w:rPr>
            </w:pPr>
            <w:r>
              <w:rPr>
                <w:rFonts w:eastAsia="仿宋_GB2312"/>
                <w:sz w:val="24"/>
              </w:rPr>
              <w:t>处理处罚日期</w:t>
            </w:r>
          </w:p>
        </w:tc>
        <w:tc>
          <w:tcPr>
            <w:tcW w:w="1701" w:type="dxa"/>
            <w:tcBorders>
              <w:top w:val="single" w:color="auto" w:sz="4" w:space="0"/>
              <w:left w:val="single" w:color="auto" w:sz="4" w:space="0"/>
              <w:bottom w:val="single" w:color="auto" w:sz="4" w:space="0"/>
              <w:right w:val="single" w:color="auto" w:sz="4" w:space="0"/>
            </w:tcBorders>
          </w:tcPr>
          <w:p w14:paraId="49585FFE">
            <w:pPr>
              <w:adjustRightInd w:val="0"/>
              <w:snapToGrid w:val="0"/>
              <w:spacing w:line="560" w:lineRule="exact"/>
              <w:rPr>
                <w:rFonts w:eastAsia="仿宋_GB2312"/>
                <w:sz w:val="24"/>
              </w:rPr>
            </w:pPr>
            <w:r>
              <w:rPr>
                <w:rFonts w:eastAsia="仿宋_GB2312"/>
                <w:sz w:val="24"/>
              </w:rPr>
              <w:t>处理处罚类型</w:t>
            </w:r>
          </w:p>
        </w:tc>
        <w:tc>
          <w:tcPr>
            <w:tcW w:w="1275" w:type="dxa"/>
            <w:tcBorders>
              <w:top w:val="single" w:color="auto" w:sz="4" w:space="0"/>
              <w:left w:val="single" w:color="auto" w:sz="4" w:space="0"/>
              <w:bottom w:val="single" w:color="auto" w:sz="4" w:space="0"/>
              <w:right w:val="single" w:color="auto" w:sz="4" w:space="0"/>
            </w:tcBorders>
          </w:tcPr>
          <w:p w14:paraId="12C942F7">
            <w:pPr>
              <w:adjustRightInd w:val="0"/>
              <w:snapToGrid w:val="0"/>
              <w:spacing w:line="560" w:lineRule="exact"/>
              <w:rPr>
                <w:rFonts w:eastAsia="仿宋_GB2312"/>
                <w:sz w:val="24"/>
              </w:rPr>
            </w:pPr>
            <w:r>
              <w:rPr>
                <w:rFonts w:eastAsia="仿宋_GB2312"/>
                <w:sz w:val="24"/>
              </w:rPr>
              <w:t>实施单位</w:t>
            </w:r>
          </w:p>
        </w:tc>
        <w:tc>
          <w:tcPr>
            <w:tcW w:w="2410" w:type="dxa"/>
            <w:tcBorders>
              <w:top w:val="single" w:color="auto" w:sz="4" w:space="0"/>
              <w:left w:val="single" w:color="auto" w:sz="4" w:space="0"/>
              <w:bottom w:val="single" w:color="auto" w:sz="4" w:space="0"/>
              <w:right w:val="single" w:color="auto" w:sz="4" w:space="0"/>
            </w:tcBorders>
          </w:tcPr>
          <w:p w14:paraId="06C0F83E">
            <w:pPr>
              <w:adjustRightInd w:val="0"/>
              <w:snapToGrid w:val="0"/>
              <w:spacing w:line="560" w:lineRule="exact"/>
              <w:rPr>
                <w:rFonts w:eastAsia="仿宋_GB2312"/>
                <w:sz w:val="24"/>
              </w:rPr>
            </w:pPr>
            <w:r>
              <w:rPr>
                <w:rFonts w:eastAsia="仿宋_GB2312"/>
                <w:sz w:val="24"/>
              </w:rPr>
              <w:t>事由及处理处罚情况</w:t>
            </w:r>
          </w:p>
        </w:tc>
      </w:tr>
      <w:tr w14:paraId="4B67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4DD9291">
            <w:pPr>
              <w:adjustRightInd w:val="0"/>
              <w:snapToGrid w:val="0"/>
              <w:spacing w:line="560" w:lineRule="exact"/>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tcPr>
          <w:p w14:paraId="27F698B1">
            <w:pPr>
              <w:adjustRightInd w:val="0"/>
              <w:snapToGrid w:val="0"/>
              <w:spacing w:line="560" w:lineRule="exact"/>
              <w:rPr>
                <w:rFonts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6EA8D7C4">
            <w:pPr>
              <w:adjustRightInd w:val="0"/>
              <w:snapToGrid w:val="0"/>
              <w:spacing w:line="560" w:lineRule="exact"/>
              <w:rPr>
                <w:rFonts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1B4D0B2A">
            <w:pPr>
              <w:adjustRightInd w:val="0"/>
              <w:snapToGrid w:val="0"/>
              <w:spacing w:line="560" w:lineRule="exact"/>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tcPr>
          <w:p w14:paraId="5EC6F0C3">
            <w:pPr>
              <w:adjustRightInd w:val="0"/>
              <w:snapToGrid w:val="0"/>
              <w:spacing w:line="560" w:lineRule="exact"/>
              <w:rPr>
                <w:rFonts w:eastAsia="仿宋_GB2312"/>
                <w:sz w:val="30"/>
                <w:szCs w:val="30"/>
              </w:rPr>
            </w:pPr>
          </w:p>
        </w:tc>
        <w:tc>
          <w:tcPr>
            <w:tcW w:w="2410" w:type="dxa"/>
            <w:tcBorders>
              <w:top w:val="single" w:color="auto" w:sz="4" w:space="0"/>
              <w:left w:val="single" w:color="auto" w:sz="4" w:space="0"/>
              <w:bottom w:val="single" w:color="auto" w:sz="4" w:space="0"/>
              <w:right w:val="single" w:color="auto" w:sz="4" w:space="0"/>
            </w:tcBorders>
          </w:tcPr>
          <w:p w14:paraId="0003EAAA">
            <w:pPr>
              <w:adjustRightInd w:val="0"/>
              <w:snapToGrid w:val="0"/>
              <w:spacing w:line="560" w:lineRule="exact"/>
              <w:rPr>
                <w:rFonts w:eastAsia="仿宋_GB2312"/>
                <w:sz w:val="30"/>
                <w:szCs w:val="30"/>
              </w:rPr>
            </w:pPr>
          </w:p>
        </w:tc>
      </w:tr>
    </w:tbl>
    <w:p w14:paraId="00F85F98">
      <w:pPr>
        <w:adjustRightInd w:val="0"/>
        <w:snapToGrid w:val="0"/>
        <w:spacing w:line="560" w:lineRule="exact"/>
        <w:ind w:firstLine="600" w:firstLineChars="200"/>
        <w:rPr>
          <w:rFonts w:eastAsia="仿宋_GB2312"/>
          <w:sz w:val="30"/>
          <w:szCs w:val="30"/>
        </w:rPr>
      </w:pPr>
      <w:r>
        <w:rPr>
          <w:rFonts w:eastAsia="仿宋_GB2312"/>
          <w:sz w:val="30"/>
          <w:szCs w:val="30"/>
        </w:rPr>
        <w:t>3.独立性。说明拟聘任会计师事务所及项目合伙人、签字注册会计师、项目质量控制复核人等是否存在可能影响独立性的情形及采取的防范措施。</w:t>
      </w:r>
    </w:p>
    <w:p w14:paraId="5E7296A5">
      <w:pPr>
        <w:adjustRightInd w:val="0"/>
        <w:snapToGrid w:val="0"/>
        <w:spacing w:line="560" w:lineRule="exact"/>
        <w:ind w:firstLine="600" w:firstLineChars="200"/>
        <w:rPr>
          <w:rFonts w:eastAsia="仿宋_GB2312"/>
          <w:sz w:val="30"/>
          <w:szCs w:val="30"/>
        </w:rPr>
      </w:pPr>
      <w:r>
        <w:rPr>
          <w:rFonts w:eastAsia="仿宋_GB2312"/>
          <w:sz w:val="30"/>
          <w:szCs w:val="30"/>
        </w:rPr>
        <w:t>4.审计收费。说明本期审计费用及定价原则，较上一期审计费用的变化情况；如审计费用变化超过20%的，应</w:t>
      </w:r>
      <w:r>
        <w:rPr>
          <w:rFonts w:eastAsia="仿宋_GB2312"/>
          <w:kern w:val="0"/>
          <w:sz w:val="30"/>
          <w:szCs w:val="30"/>
        </w:rPr>
        <w:t>当</w:t>
      </w:r>
      <w:r>
        <w:rPr>
          <w:rFonts w:eastAsia="仿宋_GB2312"/>
          <w:sz w:val="30"/>
          <w:szCs w:val="30"/>
        </w:rPr>
        <w:t>说明原因。若审计费用包括内控审计费用，应</w:t>
      </w:r>
      <w:r>
        <w:rPr>
          <w:rFonts w:eastAsia="仿宋_GB2312"/>
          <w:kern w:val="0"/>
          <w:sz w:val="30"/>
          <w:szCs w:val="30"/>
        </w:rPr>
        <w:t>当</w:t>
      </w:r>
      <w:r>
        <w:rPr>
          <w:rFonts w:eastAsia="仿宋_GB2312"/>
          <w:sz w:val="30"/>
          <w:szCs w:val="30"/>
        </w:rPr>
        <w:t>区分年报审计费用和内控审计费用进行说明。</w:t>
      </w:r>
    </w:p>
    <w:p w14:paraId="04008F9B">
      <w:pPr>
        <w:adjustRightInd w:val="0"/>
        <w:snapToGrid w:val="0"/>
        <w:spacing w:line="560" w:lineRule="exact"/>
        <w:ind w:firstLine="600" w:firstLineChars="200"/>
        <w:rPr>
          <w:rFonts w:eastAsia="仿宋_GB2312"/>
          <w:sz w:val="30"/>
          <w:szCs w:val="30"/>
        </w:rPr>
      </w:pPr>
      <w:r>
        <w:rPr>
          <w:rFonts w:eastAsia="仿宋_GB2312"/>
          <w:sz w:val="30"/>
          <w:szCs w:val="30"/>
        </w:rPr>
        <w:t>（三）本所认定应当予以披露的其他信息</w:t>
      </w:r>
    </w:p>
    <w:p w14:paraId="5EC031FE">
      <w:pPr>
        <w:adjustRightInd w:val="0"/>
        <w:snapToGrid w:val="0"/>
        <w:spacing w:line="560" w:lineRule="exact"/>
        <w:ind w:firstLine="600" w:firstLineChars="200"/>
        <w:rPr>
          <w:rFonts w:eastAsia="仿宋_GB2312"/>
          <w:sz w:val="30"/>
          <w:szCs w:val="30"/>
        </w:rPr>
      </w:pPr>
    </w:p>
    <w:p w14:paraId="19627AAD">
      <w:pPr>
        <w:adjustRightInd w:val="0"/>
        <w:snapToGrid w:val="0"/>
        <w:spacing w:line="560" w:lineRule="exact"/>
        <w:ind w:firstLine="602" w:firstLineChars="200"/>
        <w:rPr>
          <w:rFonts w:eastAsia="黑体"/>
          <w:b/>
          <w:bCs/>
          <w:sz w:val="30"/>
          <w:szCs w:val="30"/>
        </w:rPr>
      </w:pPr>
      <w:r>
        <w:rPr>
          <w:rFonts w:eastAsia="黑体"/>
          <w:b/>
          <w:bCs/>
          <w:sz w:val="30"/>
          <w:szCs w:val="30"/>
        </w:rPr>
        <w:t>二、拟变更会计师事务所的情况说明（如适用）</w:t>
      </w:r>
    </w:p>
    <w:p w14:paraId="0428C183">
      <w:pPr>
        <w:adjustRightInd w:val="0"/>
        <w:snapToGrid w:val="0"/>
        <w:spacing w:line="560" w:lineRule="exact"/>
        <w:ind w:firstLine="600" w:firstLineChars="200"/>
        <w:rPr>
          <w:rFonts w:eastAsia="仿宋_GB2312"/>
          <w:sz w:val="30"/>
          <w:szCs w:val="30"/>
        </w:rPr>
      </w:pPr>
      <w:r>
        <w:rPr>
          <w:rFonts w:eastAsia="仿宋_GB2312"/>
          <w:sz w:val="30"/>
          <w:szCs w:val="30"/>
        </w:rPr>
        <w:t>（一）前任会计师事务所情况及上年度审计意见</w:t>
      </w:r>
    </w:p>
    <w:p w14:paraId="6B90DEAD">
      <w:pPr>
        <w:adjustRightInd w:val="0"/>
        <w:snapToGrid w:val="0"/>
        <w:spacing w:line="560" w:lineRule="exact"/>
        <w:ind w:firstLine="600" w:firstLineChars="200"/>
        <w:rPr>
          <w:rFonts w:eastAsia="仿宋_GB2312"/>
          <w:sz w:val="30"/>
          <w:szCs w:val="30"/>
        </w:rPr>
      </w:pPr>
      <w:r>
        <w:rPr>
          <w:rFonts w:eastAsia="仿宋_GB2312"/>
          <w:sz w:val="30"/>
          <w:szCs w:val="30"/>
        </w:rPr>
        <w:t>说明前任会计师事务所相关情况，包括名称、已提供审计服务年限、上年度审计意见类型等。是否存在已委托前任会计师事务所开展部分审计工作后解聘前任会计师事务所的情况。</w:t>
      </w:r>
    </w:p>
    <w:p w14:paraId="431B1B41">
      <w:pPr>
        <w:adjustRightInd w:val="0"/>
        <w:snapToGrid w:val="0"/>
        <w:spacing w:line="560" w:lineRule="exact"/>
        <w:ind w:firstLine="600" w:firstLineChars="200"/>
        <w:rPr>
          <w:rFonts w:eastAsia="仿宋_GB2312"/>
          <w:sz w:val="30"/>
          <w:szCs w:val="30"/>
        </w:rPr>
      </w:pPr>
      <w:r>
        <w:rPr>
          <w:rFonts w:eastAsia="仿宋_GB2312"/>
          <w:sz w:val="30"/>
          <w:szCs w:val="30"/>
        </w:rPr>
        <w:t>（二）拟变更会计师事务所的原因</w:t>
      </w:r>
    </w:p>
    <w:p w14:paraId="42E66BBB">
      <w:pPr>
        <w:adjustRightInd w:val="0"/>
        <w:snapToGrid w:val="0"/>
        <w:spacing w:line="560" w:lineRule="exact"/>
        <w:ind w:firstLine="600" w:firstLineChars="200"/>
        <w:rPr>
          <w:rFonts w:eastAsia="仿宋_GB2312"/>
          <w:sz w:val="30"/>
          <w:szCs w:val="30"/>
        </w:rPr>
      </w:pPr>
      <w:r>
        <w:rPr>
          <w:rFonts w:eastAsia="仿宋_GB2312"/>
          <w:sz w:val="30"/>
          <w:szCs w:val="30"/>
        </w:rPr>
        <w:t>说明上市公司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14:paraId="0B9EE174">
      <w:pPr>
        <w:adjustRightInd w:val="0"/>
        <w:snapToGrid w:val="0"/>
        <w:spacing w:line="560" w:lineRule="exact"/>
        <w:ind w:firstLine="600" w:firstLineChars="200"/>
        <w:rPr>
          <w:rFonts w:eastAsia="仿宋_GB2312"/>
          <w:sz w:val="30"/>
          <w:szCs w:val="30"/>
        </w:rPr>
      </w:pPr>
      <w:r>
        <w:rPr>
          <w:rFonts w:eastAsia="仿宋_GB2312"/>
          <w:sz w:val="30"/>
          <w:szCs w:val="30"/>
        </w:rPr>
        <w:t>（三）上市公司与前后任会计师事务所的沟通情况</w:t>
      </w:r>
    </w:p>
    <w:p w14:paraId="52C6398D">
      <w:pPr>
        <w:adjustRightInd w:val="0"/>
        <w:snapToGrid w:val="0"/>
        <w:spacing w:line="560" w:lineRule="exact"/>
        <w:ind w:firstLine="600" w:firstLineChars="200"/>
        <w:rPr>
          <w:rFonts w:eastAsia="仿宋_GB2312"/>
          <w:sz w:val="30"/>
          <w:szCs w:val="30"/>
        </w:rPr>
      </w:pPr>
      <w:r>
        <w:rPr>
          <w:rFonts w:eastAsia="仿宋_GB2312"/>
          <w:sz w:val="30"/>
          <w:szCs w:val="30"/>
        </w:rPr>
        <w:t>说明上市公司与前任会计师事务所的沟通情况，前任会计师事务所如有书面陈述意见应</w:t>
      </w:r>
      <w:r>
        <w:rPr>
          <w:rFonts w:eastAsia="仿宋_GB2312"/>
          <w:kern w:val="0"/>
          <w:sz w:val="30"/>
          <w:szCs w:val="30"/>
        </w:rPr>
        <w:t>当</w:t>
      </w:r>
      <w:r>
        <w:rPr>
          <w:rFonts w:eastAsia="仿宋_GB2312"/>
          <w:sz w:val="30"/>
          <w:szCs w:val="30"/>
        </w:rPr>
        <w:t>进行披露。说明上市公司是否已允许拟聘任的会计师事务所与前任会计师事务所进行沟通，前后任会计师事务所目前的沟通进展等。</w:t>
      </w:r>
    </w:p>
    <w:p w14:paraId="11035D02">
      <w:pPr>
        <w:adjustRightInd w:val="0"/>
        <w:snapToGrid w:val="0"/>
        <w:spacing w:line="560" w:lineRule="exact"/>
        <w:ind w:firstLine="600" w:firstLineChars="200"/>
        <w:rPr>
          <w:rFonts w:eastAsia="仿宋_GB2312"/>
          <w:sz w:val="30"/>
          <w:szCs w:val="30"/>
        </w:rPr>
      </w:pPr>
      <w:r>
        <w:rPr>
          <w:rFonts w:eastAsia="仿宋_GB2312"/>
          <w:sz w:val="30"/>
          <w:szCs w:val="30"/>
        </w:rPr>
        <w:t>（四）本所认定应当予以披露的其他信息</w:t>
      </w:r>
    </w:p>
    <w:p w14:paraId="3F2A3C4E">
      <w:pPr>
        <w:adjustRightInd w:val="0"/>
        <w:snapToGrid w:val="0"/>
        <w:spacing w:line="560" w:lineRule="exact"/>
        <w:ind w:firstLine="600" w:firstLineChars="200"/>
        <w:rPr>
          <w:rFonts w:eastAsia="仿宋_GB2312"/>
          <w:sz w:val="30"/>
          <w:szCs w:val="30"/>
        </w:rPr>
      </w:pPr>
    </w:p>
    <w:p w14:paraId="28C9FACD">
      <w:pPr>
        <w:adjustRightInd w:val="0"/>
        <w:snapToGrid w:val="0"/>
        <w:spacing w:line="560" w:lineRule="exact"/>
        <w:ind w:firstLine="602" w:firstLineChars="200"/>
        <w:rPr>
          <w:rFonts w:eastAsia="黑体"/>
          <w:b/>
          <w:bCs/>
          <w:sz w:val="30"/>
          <w:szCs w:val="30"/>
        </w:rPr>
      </w:pPr>
      <w:r>
        <w:rPr>
          <w:rFonts w:eastAsia="黑体"/>
          <w:b/>
          <w:bCs/>
          <w:sz w:val="30"/>
          <w:szCs w:val="30"/>
        </w:rPr>
        <w:t>三、拟续聘/变更会计</w:t>
      </w:r>
      <w:r>
        <w:rPr>
          <w:rFonts w:hint="eastAsia" w:eastAsia="黑体"/>
          <w:b/>
          <w:bCs/>
          <w:sz w:val="30"/>
          <w:szCs w:val="30"/>
          <w:lang w:eastAsia="zh-CN"/>
        </w:rPr>
        <w:t>师</w:t>
      </w:r>
      <w:r>
        <w:rPr>
          <w:rFonts w:eastAsia="黑体"/>
          <w:b/>
          <w:bCs/>
          <w:sz w:val="30"/>
          <w:szCs w:val="30"/>
        </w:rPr>
        <w:t>事务所履行的程序</w:t>
      </w:r>
    </w:p>
    <w:p w14:paraId="1AF882EE">
      <w:pPr>
        <w:adjustRightInd w:val="0"/>
        <w:snapToGrid w:val="0"/>
        <w:spacing w:line="560" w:lineRule="exact"/>
        <w:ind w:firstLine="600" w:firstLineChars="200"/>
        <w:rPr>
          <w:rFonts w:eastAsia="仿宋_GB2312"/>
          <w:sz w:val="30"/>
          <w:szCs w:val="30"/>
        </w:rPr>
      </w:pPr>
      <w:r>
        <w:rPr>
          <w:rFonts w:eastAsia="仿宋_GB2312"/>
          <w:sz w:val="30"/>
          <w:szCs w:val="30"/>
        </w:rPr>
        <w:t>（一）审计委员会</w:t>
      </w:r>
      <w:r>
        <w:rPr>
          <w:rFonts w:hint="eastAsia" w:eastAsia="仿宋_GB2312"/>
          <w:sz w:val="30"/>
          <w:szCs w:val="30"/>
        </w:rPr>
        <w:t>审议意见</w:t>
      </w:r>
    </w:p>
    <w:p w14:paraId="3E91601E">
      <w:pPr>
        <w:adjustRightInd w:val="0"/>
        <w:snapToGrid w:val="0"/>
        <w:spacing w:line="560" w:lineRule="exact"/>
        <w:ind w:firstLine="600" w:firstLineChars="200"/>
        <w:jc w:val="left"/>
        <w:rPr>
          <w:rFonts w:eastAsia="仿宋_GB2312"/>
          <w:sz w:val="30"/>
          <w:szCs w:val="30"/>
        </w:rPr>
      </w:pPr>
      <w:r>
        <w:rPr>
          <w:rFonts w:eastAsia="仿宋_GB2312"/>
          <w:sz w:val="30"/>
          <w:szCs w:val="30"/>
        </w:rPr>
        <w:t>说明上市公司审计委员会在选聘、监督与评价会计师事务所过程中的履职情况及审查意见，包括为评价拟聘任会计师事务所的专业胜任能力、投资者保护能力、诚信状况、独立性、变更会计师事务所理由的恰当性（如适用）等进行的具体工作和结论。</w:t>
      </w:r>
    </w:p>
    <w:p w14:paraId="7BCB972C">
      <w:pPr>
        <w:adjustRightInd w:val="0"/>
        <w:snapToGrid w:val="0"/>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二</w:t>
      </w:r>
      <w:r>
        <w:rPr>
          <w:rFonts w:eastAsia="仿宋_GB2312"/>
          <w:sz w:val="30"/>
          <w:szCs w:val="30"/>
        </w:rPr>
        <w:t>）董事会的审议和表决情况</w:t>
      </w:r>
    </w:p>
    <w:p w14:paraId="0E7D6915">
      <w:pPr>
        <w:adjustRightInd w:val="0"/>
        <w:snapToGrid w:val="0"/>
        <w:spacing w:line="560" w:lineRule="exact"/>
        <w:ind w:firstLine="600" w:firstLineChars="200"/>
        <w:rPr>
          <w:rFonts w:eastAsia="仿宋_GB2312"/>
          <w:sz w:val="30"/>
          <w:szCs w:val="30"/>
        </w:rPr>
      </w:pPr>
      <w:r>
        <w:rPr>
          <w:rFonts w:eastAsia="仿宋_GB2312"/>
          <w:sz w:val="30"/>
          <w:szCs w:val="30"/>
        </w:rPr>
        <w:t>说明上市公司董事会对本次聘任会计</w:t>
      </w:r>
      <w:r>
        <w:rPr>
          <w:rFonts w:hint="eastAsia" w:eastAsia="仿宋_GB2312"/>
          <w:sz w:val="30"/>
          <w:szCs w:val="30"/>
          <w:lang w:eastAsia="zh-CN"/>
        </w:rPr>
        <w:t>师</w:t>
      </w:r>
      <w:bookmarkStart w:id="2" w:name="_GoBack"/>
      <w:bookmarkEnd w:id="2"/>
      <w:r>
        <w:rPr>
          <w:rFonts w:eastAsia="仿宋_GB2312"/>
          <w:sz w:val="30"/>
          <w:szCs w:val="30"/>
        </w:rPr>
        <w:t>事务所相关议案的审议和表决情况。</w:t>
      </w:r>
    </w:p>
    <w:p w14:paraId="4B074E6B">
      <w:pPr>
        <w:adjustRightInd w:val="0"/>
        <w:snapToGrid w:val="0"/>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三</w:t>
      </w:r>
      <w:r>
        <w:rPr>
          <w:rFonts w:eastAsia="仿宋_GB2312"/>
          <w:sz w:val="30"/>
          <w:szCs w:val="30"/>
        </w:rPr>
        <w:t>）生效日期</w:t>
      </w:r>
    </w:p>
    <w:p w14:paraId="1A06D198">
      <w:pPr>
        <w:adjustRightInd w:val="0"/>
        <w:snapToGrid w:val="0"/>
        <w:spacing w:line="560" w:lineRule="exact"/>
        <w:ind w:firstLine="600" w:firstLineChars="200"/>
        <w:rPr>
          <w:rFonts w:eastAsia="仿宋_GB2312"/>
          <w:sz w:val="30"/>
          <w:szCs w:val="30"/>
        </w:rPr>
      </w:pPr>
      <w:r>
        <w:rPr>
          <w:rFonts w:eastAsia="仿宋_GB2312"/>
          <w:sz w:val="30"/>
          <w:szCs w:val="30"/>
        </w:rPr>
        <w:t>说明本次聘任会计师事务所事项尚需提交公司股东会审议，并自公司股东会审议通过之日起生效。</w:t>
      </w:r>
    </w:p>
    <w:p w14:paraId="190A1E22">
      <w:pPr>
        <w:adjustRightInd w:val="0"/>
        <w:snapToGrid w:val="0"/>
        <w:spacing w:line="560" w:lineRule="exact"/>
        <w:ind w:firstLine="600" w:firstLineChars="200"/>
        <w:rPr>
          <w:rFonts w:eastAsia="仿宋_GB2312"/>
          <w:sz w:val="30"/>
          <w:szCs w:val="30"/>
        </w:rPr>
      </w:pPr>
    </w:p>
    <w:p w14:paraId="3CBDA1A8">
      <w:pPr>
        <w:adjustRightInd w:val="0"/>
        <w:snapToGrid w:val="0"/>
        <w:spacing w:line="560" w:lineRule="exact"/>
        <w:ind w:firstLine="600" w:firstLineChars="200"/>
        <w:rPr>
          <w:rFonts w:eastAsia="仿宋_GB2312"/>
          <w:sz w:val="30"/>
          <w:szCs w:val="30"/>
        </w:rPr>
      </w:pPr>
      <w:r>
        <w:rPr>
          <w:rFonts w:eastAsia="仿宋_GB2312"/>
          <w:sz w:val="30"/>
          <w:szCs w:val="30"/>
        </w:rPr>
        <w:t>特此公告。</w:t>
      </w:r>
    </w:p>
    <w:p w14:paraId="7CCF95A5">
      <w:pPr>
        <w:adjustRightInd w:val="0"/>
        <w:snapToGrid w:val="0"/>
        <w:spacing w:line="560" w:lineRule="exact"/>
        <w:ind w:firstLine="600" w:firstLineChars="200"/>
        <w:jc w:val="right"/>
        <w:rPr>
          <w:rFonts w:eastAsia="仿宋_GB2312"/>
          <w:sz w:val="30"/>
          <w:szCs w:val="30"/>
        </w:rPr>
      </w:pPr>
    </w:p>
    <w:p w14:paraId="3D9DAB33">
      <w:pPr>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color w:val="000000"/>
          <w:kern w:val="0"/>
          <w:sz w:val="30"/>
          <w:szCs w:val="30"/>
        </w:rPr>
        <w:t>××××</w:t>
      </w:r>
      <w:r>
        <w:rPr>
          <w:rFonts w:hint="eastAsia" w:ascii="仿宋_GB2312" w:eastAsia="仿宋_GB2312"/>
          <w:sz w:val="30"/>
          <w:szCs w:val="30"/>
        </w:rPr>
        <w:t>股份有限公司董事会</w:t>
      </w:r>
    </w:p>
    <w:p w14:paraId="4C77B605">
      <w:pPr>
        <w:adjustRightInd w:val="0"/>
        <w:snapToGrid w:val="0"/>
        <w:spacing w:line="560" w:lineRule="exact"/>
        <w:ind w:firstLine="600" w:firstLineChars="200"/>
        <w:jc w:val="right"/>
        <w:rPr>
          <w:rFonts w:eastAsia="仿宋_GB2312"/>
          <w:sz w:val="30"/>
          <w:szCs w:val="30"/>
        </w:rPr>
      </w:pPr>
      <w:r>
        <w:rPr>
          <w:rFonts w:eastAsia="仿宋_GB2312"/>
          <w:sz w:val="30"/>
          <w:szCs w:val="30"/>
        </w:rPr>
        <w:t>年  月  日</w:t>
      </w:r>
    </w:p>
    <w:p w14:paraId="75D96229">
      <w:pPr>
        <w:adjustRightInd w:val="0"/>
        <w:snapToGrid w:val="0"/>
        <w:spacing w:line="560" w:lineRule="exact"/>
        <w:ind w:firstLine="600" w:firstLineChars="200"/>
        <w:jc w:val="right"/>
        <w:rPr>
          <w:color w:val="000000"/>
          <w:sz w:val="30"/>
          <w:szCs w:val="30"/>
        </w:rPr>
      </w:pPr>
    </w:p>
    <w:p w14:paraId="030F4125">
      <w:pPr>
        <w:pStyle w:val="19"/>
        <w:autoSpaceDE w:val="0"/>
        <w:autoSpaceDN w:val="0"/>
        <w:adjustRightInd w:val="0"/>
        <w:snapToGrid w:val="0"/>
        <w:spacing w:line="560" w:lineRule="exact"/>
        <w:ind w:left="600" w:firstLine="0" w:firstLineChars="0"/>
        <w:rPr>
          <w:rFonts w:ascii="Times New Roman" w:hAnsi="Times New Roman" w:eastAsia="仿宋_GB2312"/>
          <w:b/>
          <w:color w:val="000000"/>
          <w:sz w:val="30"/>
          <w:szCs w:val="30"/>
        </w:rPr>
      </w:pPr>
      <w:bookmarkStart w:id="0" w:name="_Hlk62400095"/>
      <w:bookmarkStart w:id="1" w:name="_Hlk62400062"/>
    </w:p>
    <w:p w14:paraId="750A6059">
      <w:pPr>
        <w:pStyle w:val="19"/>
        <w:numPr>
          <w:ilvl w:val="0"/>
          <w:numId w:val="2"/>
        </w:numPr>
        <w:autoSpaceDE w:val="0"/>
        <w:autoSpaceDN w:val="0"/>
        <w:adjustRightInd w:val="0"/>
        <w:snapToGrid w:val="0"/>
        <w:spacing w:line="560" w:lineRule="exact"/>
        <w:ind w:firstLine="600" w:firstLineChars="0"/>
        <w:rPr>
          <w:rFonts w:eastAsia="仿宋_GB2312"/>
          <w:sz w:val="30"/>
          <w:szCs w:val="30"/>
        </w:rPr>
      </w:pPr>
      <w:r>
        <w:rPr>
          <w:rFonts w:ascii="Times New Roman" w:hAnsi="Times New Roman" w:eastAsia="仿宋_GB2312"/>
          <w:b/>
          <w:color w:val="000000"/>
          <w:sz w:val="30"/>
          <w:szCs w:val="30"/>
        </w:rPr>
        <w:t>报备文件</w:t>
      </w:r>
      <w:bookmarkEnd w:id="0"/>
      <w:bookmarkEnd w:id="1"/>
    </w:p>
    <w:p w14:paraId="79F0D396">
      <w:pPr>
        <w:adjustRightInd w:val="0"/>
        <w:snapToGrid w:val="0"/>
        <w:spacing w:line="560" w:lineRule="exact"/>
        <w:ind w:firstLine="600" w:firstLineChars="200"/>
        <w:rPr>
          <w:rFonts w:eastAsia="仿宋_GB2312"/>
          <w:sz w:val="30"/>
          <w:szCs w:val="30"/>
        </w:rPr>
      </w:pPr>
      <w:r>
        <w:rPr>
          <w:rFonts w:eastAsia="仿宋_GB2312"/>
          <w:sz w:val="30"/>
          <w:szCs w:val="30"/>
        </w:rPr>
        <w:t>1.拟聘任会计师事务所关于其基本情况的说明</w:t>
      </w:r>
    </w:p>
    <w:p w14:paraId="7DBEA866">
      <w:pPr>
        <w:adjustRightInd w:val="0"/>
        <w:snapToGrid w:val="0"/>
        <w:spacing w:line="560" w:lineRule="exact"/>
        <w:ind w:firstLine="600" w:firstLineChars="200"/>
        <w:rPr>
          <w:rFonts w:eastAsia="仿宋_GB2312"/>
          <w:sz w:val="30"/>
          <w:szCs w:val="30"/>
        </w:rPr>
      </w:pPr>
      <w:r>
        <w:rPr>
          <w:rFonts w:eastAsia="仿宋_GB2312"/>
          <w:sz w:val="30"/>
          <w:szCs w:val="30"/>
        </w:rPr>
        <w:t>2.前任会计师事务所书面陈述意见（如适用）</w:t>
      </w:r>
    </w:p>
    <w:p w14:paraId="53EFEE41">
      <w:pPr>
        <w:adjustRightInd w:val="0"/>
        <w:snapToGrid w:val="0"/>
        <w:spacing w:line="560" w:lineRule="exact"/>
        <w:ind w:firstLine="600" w:firstLineChars="200"/>
        <w:rPr>
          <w:rFonts w:eastAsia="仿宋_GB2312"/>
          <w:sz w:val="30"/>
          <w:szCs w:val="30"/>
        </w:rPr>
      </w:pPr>
      <w:r>
        <w:rPr>
          <w:rFonts w:hint="eastAsia" w:eastAsia="仿宋_GB2312"/>
          <w:sz w:val="30"/>
          <w:szCs w:val="30"/>
        </w:rPr>
        <w:t>3</w:t>
      </w:r>
      <w:r>
        <w:rPr>
          <w:rFonts w:eastAsia="仿宋_GB2312"/>
          <w:sz w:val="30"/>
          <w:szCs w:val="30"/>
        </w:rPr>
        <w:t>.审计委员会</w:t>
      </w:r>
      <w:r>
        <w:rPr>
          <w:rFonts w:hint="eastAsia" w:eastAsia="仿宋_GB2312"/>
          <w:sz w:val="30"/>
          <w:szCs w:val="30"/>
        </w:rPr>
        <w:t>审议</w:t>
      </w:r>
      <w:r>
        <w:rPr>
          <w:rFonts w:eastAsia="仿宋_GB2312"/>
          <w:sz w:val="30"/>
          <w:szCs w:val="30"/>
        </w:rPr>
        <w:t>情况的</w:t>
      </w:r>
      <w:r>
        <w:rPr>
          <w:rFonts w:hint="eastAsia" w:eastAsia="仿宋_GB2312"/>
          <w:sz w:val="30"/>
          <w:szCs w:val="30"/>
        </w:rPr>
        <w:t>书面</w:t>
      </w:r>
      <w:r>
        <w:rPr>
          <w:rFonts w:eastAsia="仿宋_GB2312"/>
          <w:sz w:val="30"/>
          <w:szCs w:val="30"/>
        </w:rPr>
        <w:t>文件</w:t>
      </w:r>
    </w:p>
    <w:p w14:paraId="6B80C85A">
      <w:pPr>
        <w:adjustRightInd w:val="0"/>
        <w:snapToGrid w:val="0"/>
        <w:spacing w:line="560" w:lineRule="exact"/>
        <w:ind w:firstLine="600" w:firstLineChars="200"/>
        <w:rPr>
          <w:rFonts w:eastAsia="仿宋_GB2312"/>
          <w:sz w:val="30"/>
          <w:szCs w:val="30"/>
        </w:rPr>
      </w:pPr>
    </w:p>
    <w:p w14:paraId="04E4B40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857B">
    <w:pPr>
      <w:pStyle w:val="4"/>
      <w:jc w:val="center"/>
    </w:pPr>
    <w:r>
      <w:fldChar w:fldCharType="begin"/>
    </w:r>
    <w:r>
      <w:instrText xml:space="preserve">PAGE   \* MERGEFORMAT</w:instrText>
    </w:r>
    <w:r>
      <w:fldChar w:fldCharType="separate"/>
    </w:r>
    <w:r>
      <w:rPr>
        <w:lang w:val="zh-CN"/>
      </w:rPr>
      <w:t>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80056"/>
    <w:multiLevelType w:val="multilevel"/>
    <w:tmpl w:val="53180056"/>
    <w:lvl w:ilvl="0" w:tentative="0">
      <w:start w:val="1"/>
      <w:numFmt w:val="bullet"/>
      <w:lvlText w:val=""/>
      <w:lvlJc w:val="left"/>
      <w:pPr>
        <w:ind w:left="0" w:hanging="420"/>
      </w:pPr>
      <w:rPr>
        <w:rFonts w:hint="default" w:ascii="Wingdings" w:hAnsi="Wingdings"/>
      </w:rPr>
    </w:lvl>
    <w:lvl w:ilvl="1" w:tentative="0">
      <w:start w:val="1"/>
      <w:numFmt w:val="decimal"/>
      <w:lvlText w:val="%2."/>
      <w:lvlJc w:val="left"/>
      <w:pPr>
        <w:tabs>
          <w:tab w:val="left" w:pos="418"/>
        </w:tabs>
        <w:ind w:left="418" w:hanging="360"/>
      </w:pPr>
    </w:lvl>
    <w:lvl w:ilvl="2" w:tentative="0">
      <w:start w:val="1"/>
      <w:numFmt w:val="decimal"/>
      <w:lvlText w:val="%3."/>
      <w:lvlJc w:val="left"/>
      <w:pPr>
        <w:tabs>
          <w:tab w:val="left" w:pos="1138"/>
        </w:tabs>
        <w:ind w:left="1138" w:hanging="360"/>
      </w:pPr>
    </w:lvl>
    <w:lvl w:ilvl="3" w:tentative="0">
      <w:start w:val="1"/>
      <w:numFmt w:val="decimal"/>
      <w:lvlText w:val="%4."/>
      <w:lvlJc w:val="left"/>
      <w:pPr>
        <w:tabs>
          <w:tab w:val="left" w:pos="1858"/>
        </w:tabs>
        <w:ind w:left="1858" w:hanging="360"/>
      </w:pPr>
    </w:lvl>
    <w:lvl w:ilvl="4" w:tentative="0">
      <w:start w:val="1"/>
      <w:numFmt w:val="decimal"/>
      <w:lvlText w:val="%5."/>
      <w:lvlJc w:val="left"/>
      <w:pPr>
        <w:tabs>
          <w:tab w:val="left" w:pos="2578"/>
        </w:tabs>
        <w:ind w:left="2578" w:hanging="360"/>
      </w:pPr>
    </w:lvl>
    <w:lvl w:ilvl="5" w:tentative="0">
      <w:start w:val="1"/>
      <w:numFmt w:val="decimal"/>
      <w:lvlText w:val="%6."/>
      <w:lvlJc w:val="left"/>
      <w:pPr>
        <w:tabs>
          <w:tab w:val="left" w:pos="3298"/>
        </w:tabs>
        <w:ind w:left="3298" w:hanging="360"/>
      </w:pPr>
    </w:lvl>
    <w:lvl w:ilvl="6" w:tentative="0">
      <w:start w:val="1"/>
      <w:numFmt w:val="decimal"/>
      <w:lvlText w:val="%7."/>
      <w:lvlJc w:val="left"/>
      <w:pPr>
        <w:tabs>
          <w:tab w:val="left" w:pos="4018"/>
        </w:tabs>
        <w:ind w:left="4018" w:hanging="360"/>
      </w:pPr>
    </w:lvl>
    <w:lvl w:ilvl="7" w:tentative="0">
      <w:start w:val="1"/>
      <w:numFmt w:val="decimal"/>
      <w:lvlText w:val="%8."/>
      <w:lvlJc w:val="left"/>
      <w:pPr>
        <w:tabs>
          <w:tab w:val="left" w:pos="4738"/>
        </w:tabs>
        <w:ind w:left="4738" w:hanging="360"/>
      </w:pPr>
    </w:lvl>
    <w:lvl w:ilvl="8" w:tentative="0">
      <w:start w:val="1"/>
      <w:numFmt w:val="decimal"/>
      <w:lvlText w:val="%9."/>
      <w:lvlJc w:val="left"/>
      <w:pPr>
        <w:tabs>
          <w:tab w:val="left" w:pos="5458"/>
        </w:tabs>
        <w:ind w:left="5458" w:hanging="360"/>
      </w:p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17"/>
    <w:rsid w:val="00012A9B"/>
    <w:rsid w:val="0011084A"/>
    <w:rsid w:val="00127A16"/>
    <w:rsid w:val="001B7BFE"/>
    <w:rsid w:val="002131AA"/>
    <w:rsid w:val="00237F2D"/>
    <w:rsid w:val="00254C3E"/>
    <w:rsid w:val="00320202"/>
    <w:rsid w:val="00367ABF"/>
    <w:rsid w:val="003C3F67"/>
    <w:rsid w:val="003C6296"/>
    <w:rsid w:val="00454DFE"/>
    <w:rsid w:val="004627D1"/>
    <w:rsid w:val="00462A71"/>
    <w:rsid w:val="00466F9B"/>
    <w:rsid w:val="004F0608"/>
    <w:rsid w:val="004F3114"/>
    <w:rsid w:val="005048F2"/>
    <w:rsid w:val="00511F03"/>
    <w:rsid w:val="005F2001"/>
    <w:rsid w:val="006325E7"/>
    <w:rsid w:val="006A792D"/>
    <w:rsid w:val="006B112A"/>
    <w:rsid w:val="006F6618"/>
    <w:rsid w:val="00725813"/>
    <w:rsid w:val="00727020"/>
    <w:rsid w:val="00727100"/>
    <w:rsid w:val="007400A5"/>
    <w:rsid w:val="007C4B83"/>
    <w:rsid w:val="007D4FAA"/>
    <w:rsid w:val="007D58A0"/>
    <w:rsid w:val="007D7265"/>
    <w:rsid w:val="007F31D5"/>
    <w:rsid w:val="00803A42"/>
    <w:rsid w:val="008048E3"/>
    <w:rsid w:val="008A20FF"/>
    <w:rsid w:val="00915FF9"/>
    <w:rsid w:val="0092559B"/>
    <w:rsid w:val="00927D6C"/>
    <w:rsid w:val="00947317"/>
    <w:rsid w:val="009A5FE5"/>
    <w:rsid w:val="009A6AB8"/>
    <w:rsid w:val="009F60DD"/>
    <w:rsid w:val="00A1755F"/>
    <w:rsid w:val="00A218BE"/>
    <w:rsid w:val="00A364E1"/>
    <w:rsid w:val="00A5007A"/>
    <w:rsid w:val="00A65E04"/>
    <w:rsid w:val="00AA21B4"/>
    <w:rsid w:val="00AF1D46"/>
    <w:rsid w:val="00B14972"/>
    <w:rsid w:val="00B40892"/>
    <w:rsid w:val="00B41929"/>
    <w:rsid w:val="00B46DA5"/>
    <w:rsid w:val="00B77AF5"/>
    <w:rsid w:val="00BA4B4F"/>
    <w:rsid w:val="00BB70E9"/>
    <w:rsid w:val="00BC245E"/>
    <w:rsid w:val="00BF4CBD"/>
    <w:rsid w:val="00BF707A"/>
    <w:rsid w:val="00C22365"/>
    <w:rsid w:val="00C40B96"/>
    <w:rsid w:val="00C55B7E"/>
    <w:rsid w:val="00CB104D"/>
    <w:rsid w:val="00CB6C7E"/>
    <w:rsid w:val="00CD29AE"/>
    <w:rsid w:val="00CE7B0B"/>
    <w:rsid w:val="00D65D65"/>
    <w:rsid w:val="00DD3DB6"/>
    <w:rsid w:val="00DD505B"/>
    <w:rsid w:val="00DF1E22"/>
    <w:rsid w:val="00E02E91"/>
    <w:rsid w:val="00E11A1C"/>
    <w:rsid w:val="00E138BC"/>
    <w:rsid w:val="00E84282"/>
    <w:rsid w:val="00E91098"/>
    <w:rsid w:val="00EB5C8E"/>
    <w:rsid w:val="00EF13A1"/>
    <w:rsid w:val="00F6307D"/>
    <w:rsid w:val="00F765C7"/>
    <w:rsid w:val="00FF28D1"/>
    <w:rsid w:val="00FF70A7"/>
    <w:rsid w:val="520F53AD"/>
    <w:rsid w:val="5EE44465"/>
    <w:rsid w:val="7BDFF726"/>
    <w:rsid w:val="A5FD393C"/>
    <w:rsid w:val="B7EE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unhideWhenUsed/>
    <w:qFormat/>
    <w:uiPriority w:val="99"/>
    <w:pPr>
      <w:snapToGrid w:val="0"/>
      <w:jc w:val="left"/>
    </w:pPr>
    <w:rPr>
      <w:sz w:val="18"/>
      <w:szCs w:val="18"/>
    </w:rPr>
  </w:style>
  <w:style w:type="paragraph" w:styleId="7">
    <w:name w:val="annotation subject"/>
    <w:basedOn w:val="2"/>
    <w:next w:val="2"/>
    <w:link w:val="18"/>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styleId="12">
    <w:name w:val="footnote reference"/>
    <w:unhideWhenUsed/>
    <w:qFormat/>
    <w:uiPriority w:val="99"/>
    <w:rPr>
      <w:vertAlign w:val="superscript"/>
    </w:rPr>
  </w:style>
  <w:style w:type="character" w:customStyle="1" w:styleId="13">
    <w:name w:val="批注文字 字符"/>
    <w:link w:val="2"/>
    <w:semiHidden/>
    <w:qFormat/>
    <w:uiPriority w:val="99"/>
    <w:rPr>
      <w:rFonts w:ascii="Times New Roman" w:hAnsi="Times New Roman" w:eastAsia="宋体" w:cs="Times New Roman"/>
      <w:szCs w:val="24"/>
    </w:rPr>
  </w:style>
  <w:style w:type="character" w:customStyle="1" w:styleId="14">
    <w:name w:val="批注框文本 字符"/>
    <w:link w:val="3"/>
    <w:semiHidden/>
    <w:qFormat/>
    <w:uiPriority w:val="99"/>
    <w:rPr>
      <w:rFonts w:ascii="Times New Roman" w:hAnsi="Times New Roman" w:eastAsia="宋体" w:cs="Times New Roman"/>
      <w:sz w:val="18"/>
      <w:szCs w:val="18"/>
    </w:rPr>
  </w:style>
  <w:style w:type="character" w:customStyle="1" w:styleId="15">
    <w:name w:val="页脚 字符"/>
    <w:link w:val="4"/>
    <w:qFormat/>
    <w:uiPriority w:val="99"/>
    <w:rPr>
      <w:rFonts w:ascii="Times New Roman" w:hAnsi="Times New Roman" w:eastAsia="宋体" w:cs="Times New Roman"/>
      <w:sz w:val="18"/>
      <w:szCs w:val="18"/>
    </w:rPr>
  </w:style>
  <w:style w:type="character" w:customStyle="1" w:styleId="16">
    <w:name w:val="页眉 字符"/>
    <w:link w:val="5"/>
    <w:qFormat/>
    <w:uiPriority w:val="99"/>
    <w:rPr>
      <w:rFonts w:ascii="Times New Roman" w:hAnsi="Times New Roman" w:eastAsia="宋体" w:cs="Times New Roman"/>
      <w:sz w:val="18"/>
      <w:szCs w:val="18"/>
    </w:rPr>
  </w:style>
  <w:style w:type="character" w:customStyle="1" w:styleId="17">
    <w:name w:val="脚注文本 字符"/>
    <w:link w:val="6"/>
    <w:semiHidden/>
    <w:qFormat/>
    <w:uiPriority w:val="99"/>
    <w:rPr>
      <w:rFonts w:ascii="Times New Roman" w:hAnsi="Times New Roman" w:eastAsia="宋体" w:cs="Times New Roman"/>
      <w:sz w:val="18"/>
      <w:szCs w:val="18"/>
    </w:rPr>
  </w:style>
  <w:style w:type="character" w:customStyle="1" w:styleId="18">
    <w:name w:val="批注主题 字符"/>
    <w:link w:val="7"/>
    <w:semiHidden/>
    <w:qFormat/>
    <w:uiPriority w:val="99"/>
    <w:rPr>
      <w:rFonts w:ascii="Times New Roman" w:hAnsi="Times New Roman" w:eastAsia="宋体" w:cs="Times New Roman"/>
      <w:b/>
      <w:bCs/>
      <w:szCs w:val="24"/>
    </w:r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316</Words>
  <Characters>1807</Characters>
  <Lines>15</Lines>
  <Paragraphs>4</Paragraphs>
  <TotalTime>123</TotalTime>
  <ScaleCrop>false</ScaleCrop>
  <LinksUpToDate>false</LinksUpToDate>
  <CharactersWithSpaces>2119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2023-08-04T10:59:00Z</dcterms:created>
  <dc:creator>whzhou</dc:creator>
  <cp:lastModifiedBy>xczhao</cp:lastModifiedBy>
  <dcterms:modified xsi:type="dcterms:W3CDTF">2025-03-13T10:44:31Z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9C86427EA186440AA334A1BAE034BA4B_13</vt:lpwstr>
  </property>
</Properties>
</file>