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8072"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"/>
        </w:rPr>
      </w:pPr>
      <w:r>
        <w:rPr>
          <w:rFonts w:hint="eastAsia" w:ascii="Times New Roman" w:hAnsi="Times New Roman" w:eastAsia="黑体"/>
          <w:sz w:val="32"/>
          <w:szCs w:val="32"/>
          <w:lang w:eastAsia="zh"/>
        </w:rPr>
        <w:t>附件2</w:t>
      </w:r>
    </w:p>
    <w:p w14:paraId="6380A42E"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"/>
        </w:rPr>
      </w:pPr>
    </w:p>
    <w:p w14:paraId="7A43F336">
      <w:pPr>
        <w:spacing w:line="560" w:lineRule="exact"/>
        <w:jc w:val="center"/>
        <w:outlineLvl w:val="0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《上海证券交易所股票上市规则（2025年</w:t>
      </w:r>
    </w:p>
    <w:p w14:paraId="19F4D086">
      <w:pPr>
        <w:spacing w:line="56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月修订）》修订说明</w:t>
      </w:r>
    </w:p>
    <w:p w14:paraId="12996F14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 w14:paraId="7C25E9E4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为深入落实《中华人民共和国公司法》（以下简称《公司法》）精神，推动上市公司优化内部治理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结构，促进公司规范运作，切实保护中小投资者合法权益，上海证券交易所</w:t>
      </w:r>
      <w:r>
        <w:rPr>
          <w:rFonts w:hint="eastAsia" w:ascii="Times New Roman" w:hAnsi="Times New Roman" w:eastAsia="仿宋_GB2312"/>
          <w:sz w:val="30"/>
          <w:szCs w:val="30"/>
        </w:rPr>
        <w:t>（以下简称本所）</w:t>
      </w:r>
      <w:r>
        <w:rPr>
          <w:rFonts w:ascii="Times New Roman" w:hAnsi="Times New Roman" w:eastAsia="仿宋_GB2312"/>
          <w:sz w:val="30"/>
          <w:szCs w:val="30"/>
        </w:rPr>
        <w:t>修订了《上海证券交易所股票上市规则》（以下简称《股票上市规则》），现将有关情况说明如下。</w:t>
      </w:r>
    </w:p>
    <w:p w14:paraId="50B57527">
      <w:pPr>
        <w:spacing w:line="56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一、修订背景</w:t>
      </w:r>
    </w:p>
    <w:p w14:paraId="34C0B985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2023年12月29日，第十四届全国人民代表大会常务委员会第七次会议修订通过了《公司法》，于2024年7月1日</w:t>
      </w:r>
      <w:r>
        <w:rPr>
          <w:rFonts w:ascii="Times New Roman" w:hAnsi="Times New Roman" w:eastAsia="仿宋_GB2312"/>
          <w:sz w:val="30"/>
          <w:szCs w:val="30"/>
        </w:rPr>
        <w:t>起施行。此次修订是一次系统、全面的修订，对公司治理结构、股东权利保护、控股股东、实际控制人和董事、监事、高级管理人员责任进行了优化调整。为全面落实新《公司法》精神，证监会修订《上市公司章程指引》等规则，进一步完善上市公司治理结构及其运行制度。《股票上市规则》作为</w:t>
      </w:r>
      <w:r>
        <w:rPr>
          <w:rFonts w:hint="eastAsia" w:ascii="Times New Roman" w:hAnsi="Times New Roman" w:eastAsia="仿宋_GB2312"/>
          <w:sz w:val="30"/>
          <w:szCs w:val="30"/>
        </w:rPr>
        <w:t>证券</w:t>
      </w:r>
      <w:r>
        <w:rPr>
          <w:rFonts w:ascii="Times New Roman" w:hAnsi="Times New Roman" w:eastAsia="仿宋_GB2312"/>
          <w:sz w:val="30"/>
          <w:szCs w:val="30"/>
        </w:rPr>
        <w:t>交易所履行信息披露自律监管的基础性规则，需要相应调整，与新《公司法》的有关要求在业务规则层面做好衔接。</w:t>
      </w:r>
    </w:p>
    <w:p w14:paraId="487239BF">
      <w:pPr>
        <w:spacing w:line="56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二、主要修订内容</w:t>
      </w:r>
    </w:p>
    <w:p w14:paraId="7EDDEB9C">
      <w:pPr>
        <w:spacing w:line="56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/>
          <w:sz w:val="30"/>
          <w:szCs w:val="30"/>
        </w:rPr>
        <w:t>一是明确审计委员会职责承接安排。</w:t>
      </w:r>
      <w:r>
        <w:rPr>
          <w:rFonts w:hint="default" w:ascii="Times New Roman" w:hAnsi="Times New Roman" w:eastAsia="仿宋_GB2312"/>
          <w:sz w:val="30"/>
          <w:szCs w:val="30"/>
        </w:rPr>
        <w:t>其一，明确审计委员会承接监事会职权。即除承担审核公司财务信息及其披露、监督及评估内外部审计工作和内部控制职责外，还行使《公司法》规定的监事会职权，包括对董事、高级管理人员（以下简称高管）执行职务的行为进行监督等。其二，明确审计委员会的运行机制与履职规范。完善</w:t>
      </w:r>
      <w:r>
        <w:rPr>
          <w:rFonts w:hint="default" w:ascii="Times New Roman" w:hAnsi="Times New Roman" w:eastAsia="仿宋_GB2312"/>
          <w:kern w:val="1"/>
          <w:sz w:val="30"/>
          <w:szCs w:val="30"/>
        </w:rPr>
        <w:t>审计委员会的人员组成、议事方式、表决程序等方面的规定</w:t>
      </w:r>
      <w:r>
        <w:rPr>
          <w:rFonts w:hint="default" w:ascii="Times New Roman" w:hAnsi="Times New Roman" w:eastAsia="仿宋_GB2312"/>
          <w:sz w:val="30"/>
          <w:szCs w:val="30"/>
        </w:rPr>
        <w:t>。</w:t>
      </w:r>
    </w:p>
    <w:p w14:paraId="2063A553">
      <w:pPr>
        <w:suppressAutoHyphens/>
        <w:spacing w:line="560" w:lineRule="exact"/>
        <w:ind w:right="1" w:firstLine="600"/>
        <w:rPr>
          <w:rFonts w:ascii="Times New Roman" w:hAnsi="Times New Roman" w:eastAsia="仿宋_GB2312"/>
          <w:kern w:val="1"/>
          <w:sz w:val="30"/>
          <w:szCs w:val="30"/>
        </w:rPr>
      </w:pPr>
      <w:r>
        <w:rPr>
          <w:rFonts w:hint="default" w:ascii="Times New Roman" w:hAnsi="Times New Roman" w:eastAsia="仿宋_GB2312"/>
          <w:b/>
          <w:sz w:val="30"/>
          <w:szCs w:val="30"/>
        </w:rPr>
        <w:t>二是强化董事、高管职责安排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与控股股东、实际控制人行为规范</w:t>
      </w:r>
      <w:r>
        <w:rPr>
          <w:rFonts w:hint="default" w:ascii="Times New Roman" w:hAnsi="Times New Roman" w:eastAsia="仿宋_GB2312"/>
          <w:b/>
          <w:sz w:val="30"/>
          <w:szCs w:val="30"/>
        </w:rPr>
        <w:t>。</w:t>
      </w:r>
      <w:r>
        <w:rPr>
          <w:rFonts w:hint="default" w:ascii="Times New Roman" w:hAnsi="Times New Roman" w:eastAsia="仿宋_GB2312"/>
          <w:sz w:val="30"/>
          <w:szCs w:val="30"/>
        </w:rPr>
        <w:t>其一，细化董事、高管忠实勤勉义务的内涵。明确董事、高管应当采取措施避免自身利益与公司利益冲突，执行职务应当为公司的最大利益，尽到管理者通常应有的合理注意。同时，根据上位法规定董事、高管经营同类业务等行为的审议程序要求。</w:t>
      </w:r>
      <w:r>
        <w:rPr>
          <w:rFonts w:hint="default" w:ascii="Times New Roman" w:hAnsi="Times New Roman" w:eastAsia="仿宋_GB2312"/>
          <w:kern w:val="1"/>
          <w:sz w:val="30"/>
          <w:szCs w:val="30"/>
        </w:rPr>
        <w:t>其二，新增事实董事相关规定。明确控股股东、实际控制人作为事实董事时，需遵守关于董事忠实勤勉义务的规定。</w:t>
      </w:r>
    </w:p>
    <w:p w14:paraId="000C50CA">
      <w:pPr>
        <w:spacing w:line="56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/>
          <w:bCs/>
          <w:kern w:val="1"/>
          <w:sz w:val="30"/>
          <w:szCs w:val="30"/>
        </w:rPr>
        <w:t>三是</w:t>
      </w:r>
      <w:r>
        <w:rPr>
          <w:rFonts w:hint="default" w:ascii="Times New Roman" w:hAnsi="Times New Roman" w:eastAsia="仿宋_GB2312"/>
          <w:b/>
          <w:sz w:val="30"/>
          <w:szCs w:val="30"/>
        </w:rPr>
        <w:t>强化股东特别是中小股东权利保障。</w:t>
      </w:r>
      <w:r>
        <w:rPr>
          <w:rFonts w:hint="default" w:ascii="Times New Roman" w:hAnsi="Times New Roman" w:eastAsia="仿宋_GB2312"/>
          <w:sz w:val="30"/>
          <w:szCs w:val="30"/>
        </w:rPr>
        <w:t>其一，保障中小股东临时提案权。将临时提案股东持股比例由3%降低至1%，同时规定公司不得提高临时提案股东的持股比例。其二，进一步明确关联交易的审议披露要求。达到披露标准的关联交易应在提交董事会审议前，按规定经公司全体独立董事过半数同意。其三，完善差异表决权股东相关规定。进一步明确股东会审议修改公司章程等六类事项时，特别表决权应当与普通表决权同权。同时，对修改公司章程、增减注册资本等四类须经股东会三分之二以上表决通过的事项，还须经特别表决权股东三分之二以上同意。</w:t>
      </w:r>
    </w:p>
    <w:p w14:paraId="78DE57B1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四是完善破产重整信息披露相关规定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。根据《关于切实审理好上市公司破产重整案件工作座谈会纪要》《上市公司监管指引第11号——上市公司破产重整相关事项》等上位规则，完善上市公司破产重整披露要求。其一，明确公司在法院裁定受理破产事项前应当及时披露重大进展，不再要求每月披露进展，提高重整信息披露的有效性。其二，明确重整计划草案、和解协议的披露时点为债权人会议召开前十五日。其三，删去公司重整计划、和解协议执行完毕后披露法院裁定相关内容的要求。</w:t>
      </w:r>
    </w:p>
    <w:p w14:paraId="2786E059">
      <w:pPr>
        <w:overflowPunct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三、公众意见及采纳情况</w:t>
      </w:r>
    </w:p>
    <w:p w14:paraId="652B5C89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自2024年12月27日公开征求意见以来，本所收到了个人投资者、上市公司、证券服务机构等主体反馈的各类意见、建议共46条。总的来看，市场主体对本次落实新《公司法》相关规则修订工作予以积极评价，同时对部分规则条款提出了完善意见。本所高度重视，逐项研究、评估，对于合理化意见建议，加以吸收采纳。少量未予采纳的意见中，有的与上位规则不一致，如建议调整审计委员会召开频次要求、调整董事辞职报告的生效时间等；有的各方还存在一定分歧，如修改其他风险警示情形等。后续，将进一步研究论证，待条件成熟时提出落实安排。此外，对于规则理解适用层面的意见建议，后续将加大规则宣传培训力度，帮助市场主体更好理解和适用规则。</w:t>
      </w:r>
    </w:p>
    <w:p w14:paraId="38E43691"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特此说明。</w:t>
      </w:r>
    </w:p>
    <w:p w14:paraId="19B78E25"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15E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0F119C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50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BF7DDC23"/>
    <w:rsid w:val="000027E8"/>
    <w:rsid w:val="00090BFC"/>
    <w:rsid w:val="000A1FD4"/>
    <w:rsid w:val="000B7BA4"/>
    <w:rsid w:val="001053C7"/>
    <w:rsid w:val="00134DD9"/>
    <w:rsid w:val="00177484"/>
    <w:rsid w:val="00193BAE"/>
    <w:rsid w:val="001C0819"/>
    <w:rsid w:val="001E24F6"/>
    <w:rsid w:val="00203359"/>
    <w:rsid w:val="002229BE"/>
    <w:rsid w:val="00331745"/>
    <w:rsid w:val="00375542"/>
    <w:rsid w:val="00465097"/>
    <w:rsid w:val="004716E4"/>
    <w:rsid w:val="00511659"/>
    <w:rsid w:val="00540CFF"/>
    <w:rsid w:val="006E0962"/>
    <w:rsid w:val="006F62F1"/>
    <w:rsid w:val="00755C78"/>
    <w:rsid w:val="00783704"/>
    <w:rsid w:val="008839A4"/>
    <w:rsid w:val="008954FD"/>
    <w:rsid w:val="008D74D7"/>
    <w:rsid w:val="00A014C6"/>
    <w:rsid w:val="00AB5889"/>
    <w:rsid w:val="00B016BC"/>
    <w:rsid w:val="00BC5B50"/>
    <w:rsid w:val="00BC6AF3"/>
    <w:rsid w:val="00C93FB3"/>
    <w:rsid w:val="00CC6C6B"/>
    <w:rsid w:val="00CD4AAB"/>
    <w:rsid w:val="00CF128B"/>
    <w:rsid w:val="00DD4E83"/>
    <w:rsid w:val="00ED6F5A"/>
    <w:rsid w:val="00F12231"/>
    <w:rsid w:val="00F6619B"/>
    <w:rsid w:val="0B694C1F"/>
    <w:rsid w:val="0D6DAD20"/>
    <w:rsid w:val="37A56474"/>
    <w:rsid w:val="3B2E20C7"/>
    <w:rsid w:val="4BB63592"/>
    <w:rsid w:val="4EFAEC6D"/>
    <w:rsid w:val="52252CFB"/>
    <w:rsid w:val="54DFA7B3"/>
    <w:rsid w:val="5FFE0242"/>
    <w:rsid w:val="603324D5"/>
    <w:rsid w:val="6F776706"/>
    <w:rsid w:val="70C66A35"/>
    <w:rsid w:val="77F65A3D"/>
    <w:rsid w:val="7F3B807A"/>
    <w:rsid w:val="977F2E4E"/>
    <w:rsid w:val="B7F59125"/>
    <w:rsid w:val="BF7DDC23"/>
    <w:rsid w:val="C79E07D1"/>
    <w:rsid w:val="CB6F0D3E"/>
    <w:rsid w:val="DBBAB3F0"/>
    <w:rsid w:val="EFEEEECF"/>
    <w:rsid w:val="FDDF94D4"/>
    <w:rsid w:val="FF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8"/>
      <w:ind w:left="120"/>
      <w:jc w:val="left"/>
    </w:pPr>
    <w:rPr>
      <w:rFonts w:ascii="仿宋_GB2312" w:hAnsi="仿宋_GB2312"/>
      <w:kern w:val="0"/>
      <w:lang w:eastAsia="en-US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1534</Words>
  <Characters>1555</Characters>
  <Lines>11</Lines>
  <Paragraphs>3</Paragraphs>
  <TotalTime>6</TotalTime>
  <ScaleCrop>false</ScaleCrop>
  <LinksUpToDate>false</LinksUpToDate>
  <CharactersWithSpaces>1555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2025-02-13T09:35:00Z</dcterms:created>
  <dc:creator>sse</dc:creator>
  <cp:lastModifiedBy>whxu</cp:lastModifiedBy>
  <cp:lastPrinted>2025-03-06T21:47:00Z</cp:lastPrinted>
  <dcterms:modified xsi:type="dcterms:W3CDTF">2025-04-25T19:45:36Z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795FBFADC96E08249A6A0B683917F119_43</vt:lpwstr>
  </property>
</Properties>
</file>