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黑体" w:hAnsi="黑体" w:eastAsia="黑体"/>
          <w:b/>
          <w:bCs/>
          <w:sz w:val="36"/>
          <w:szCs w:val="36"/>
        </w:rPr>
      </w:pPr>
      <w:bookmarkStart w:id="0" w:name="_Hlk101288941"/>
      <w:bookmarkStart w:id="1" w:name="_Toc340839631"/>
      <w:bookmarkStart w:id="2" w:name="_Toc330904146"/>
      <w:bookmarkStart w:id="3" w:name="_Toc50034078"/>
      <w:r>
        <w:rPr>
          <w:rFonts w:ascii="黑体" w:hAnsi="黑体" w:eastAsia="黑体"/>
          <w:b/>
          <w:bCs/>
          <w:sz w:val="36"/>
          <w:szCs w:val="36"/>
        </w:rPr>
        <w:t>第</w:t>
      </w:r>
      <w:r>
        <w:rPr>
          <w:rFonts w:hint="eastAsia" w:ascii="黑体" w:hAnsi="黑体" w:eastAsia="黑体"/>
          <w:b/>
          <w:bCs/>
          <w:sz w:val="36"/>
          <w:szCs w:val="36"/>
        </w:rPr>
        <w:t>十三</w:t>
      </w:r>
      <w:r>
        <w:rPr>
          <w:rFonts w:ascii="黑体" w:hAnsi="黑体" w:eastAsia="黑体"/>
          <w:b/>
          <w:bCs/>
          <w:sz w:val="36"/>
          <w:szCs w:val="36"/>
        </w:rPr>
        <w:t>号 上市公司</w:t>
      </w:r>
      <w:r>
        <w:rPr>
          <w:rFonts w:hint="eastAsia" w:ascii="黑体" w:hAnsi="黑体" w:eastAsia="黑体"/>
          <w:b/>
          <w:bCs/>
          <w:sz w:val="36"/>
          <w:szCs w:val="36"/>
        </w:rPr>
        <w:t>募集资金相关公告</w:t>
      </w:r>
    </w:p>
    <w:bookmarkEnd w:id="0"/>
    <w:p>
      <w:pPr>
        <w:autoSpaceDE w:val="0"/>
        <w:autoSpaceDN w:val="0"/>
        <w:adjustRightInd w:val="0"/>
        <w:spacing w:line="560" w:lineRule="exact"/>
        <w:jc w:val="center"/>
        <w:rPr>
          <w:rFonts w:ascii="黑体" w:hAnsi="黑体" w:eastAsia="黑体"/>
          <w:b/>
          <w:bCs/>
          <w:sz w:val="36"/>
          <w:szCs w:val="36"/>
        </w:rPr>
      </w:pPr>
    </w:p>
    <w:p>
      <w:pPr>
        <w:pStyle w:val="23"/>
        <w:rPr>
          <w:rFonts w:ascii="仿宋_GB2312" w:eastAsia="仿宋_GB2312"/>
          <w:sz w:val="24"/>
          <w:szCs w:val="24"/>
        </w:rPr>
      </w:pPr>
    </w:p>
    <w:p>
      <w:pPr>
        <w:pStyle w:val="9"/>
        <w:tabs>
          <w:tab w:val="right" w:leader="dot" w:pos="8296"/>
        </w:tabs>
        <w:rPr>
          <w:rFonts w:ascii="仿宋_GB2312" w:eastAsia="仿宋_GB2312" w:hAnsiTheme="minorHAnsi" w:cstheme="minorBidi"/>
          <w:b/>
          <w:bCs/>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"1-3" \h \z \u </w:instrText>
      </w:r>
      <w:r>
        <w:rPr>
          <w:rFonts w:hint="eastAsia" w:ascii="仿宋_GB2312" w:hAnsi="仿宋_GB2312" w:eastAsia="仿宋_GB2312" w:cs="仿宋_GB2312"/>
          <w:sz w:val="30"/>
          <w:szCs w:val="30"/>
        </w:rPr>
        <w:fldChar w:fldCharType="separate"/>
      </w:r>
      <w:r>
        <w:fldChar w:fldCharType="begin"/>
      </w:r>
      <w:r>
        <w:instrText xml:space="preserve"> HYPERLINK \l "_Toc101509129" </w:instrText>
      </w:r>
      <w:r>
        <w:fldChar w:fldCharType="separate"/>
      </w:r>
      <w:r>
        <w:rPr>
          <w:rStyle w:val="14"/>
          <w:rFonts w:hint="eastAsia" w:ascii="仿宋_GB2312" w:eastAsia="仿宋_GB2312"/>
          <w:b/>
          <w:bCs/>
          <w:sz w:val="30"/>
          <w:szCs w:val="30"/>
          <w:u w:val="none"/>
        </w:rPr>
        <w:t>一、募集资金资金存放与使用</w:t>
      </w:r>
      <w:r>
        <w:rPr>
          <w:rFonts w:hint="eastAsia" w:ascii="仿宋_GB2312" w:eastAsia="仿宋_GB2312"/>
          <w:b/>
          <w:bCs/>
          <w:sz w:val="30"/>
          <w:szCs w:val="30"/>
        </w:rPr>
        <w:tab/>
      </w:r>
      <w:r>
        <w:rPr>
          <w:rFonts w:hint="eastAsia" w:ascii="仿宋_GB2312" w:eastAsia="仿宋_GB2312"/>
          <w:b/>
          <w:bCs/>
          <w:sz w:val="30"/>
          <w:szCs w:val="30"/>
        </w:rPr>
        <w:fldChar w:fldCharType="begin"/>
      </w:r>
      <w:r>
        <w:rPr>
          <w:rFonts w:hint="eastAsia" w:ascii="仿宋_GB2312" w:eastAsia="仿宋_GB2312"/>
          <w:b/>
          <w:bCs/>
          <w:sz w:val="30"/>
          <w:szCs w:val="30"/>
        </w:rPr>
        <w:instrText xml:space="preserve"> PAGEREF _Toc101509129 \h </w:instrText>
      </w:r>
      <w:r>
        <w:rPr>
          <w:rFonts w:hint="eastAsia" w:ascii="仿宋_GB2312" w:eastAsia="仿宋_GB2312"/>
          <w:b/>
          <w:bCs/>
          <w:sz w:val="30"/>
          <w:szCs w:val="30"/>
        </w:rPr>
        <w:fldChar w:fldCharType="separate"/>
      </w:r>
      <w:r>
        <w:rPr>
          <w:rFonts w:ascii="仿宋_GB2312" w:eastAsia="仿宋_GB2312"/>
          <w:b/>
          <w:bCs/>
          <w:sz w:val="30"/>
          <w:szCs w:val="30"/>
        </w:rPr>
        <w:t>2</w:t>
      </w:r>
      <w:r>
        <w:rPr>
          <w:rFonts w:hint="eastAsia" w:ascii="仿宋_GB2312" w:eastAsia="仿宋_GB2312"/>
          <w:b/>
          <w:bCs/>
          <w:sz w:val="30"/>
          <w:szCs w:val="30"/>
        </w:rPr>
        <w:fldChar w:fldCharType="end"/>
      </w:r>
      <w:r>
        <w:rPr>
          <w:rFonts w:hint="eastAsia" w:ascii="仿宋_GB2312" w:eastAsia="仿宋_GB2312"/>
          <w:b/>
          <w:bCs/>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"_Toc101509130" </w:instrText>
      </w:r>
      <w:r>
        <w:fldChar w:fldCharType="separate"/>
      </w:r>
      <w:r>
        <w:rPr>
          <w:rStyle w:val="14"/>
          <w:rFonts w:hint="eastAsia" w:ascii="仿宋_GB2312" w:eastAsia="仿宋_GB2312"/>
          <w:sz w:val="30"/>
          <w:szCs w:val="30"/>
          <w:u w:val="none"/>
        </w:rPr>
        <w:t>1.上市公司签订募集资金专户存储三方监管协议的公告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_Toc101509130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"_Toc101509131" </w:instrText>
      </w:r>
      <w:r>
        <w:fldChar w:fldCharType="separate"/>
      </w:r>
      <w:r>
        <w:rPr>
          <w:rStyle w:val="14"/>
          <w:rFonts w:hint="eastAsia" w:ascii="仿宋_GB2312" w:eastAsia="仿宋_GB2312"/>
          <w:sz w:val="30"/>
          <w:szCs w:val="30"/>
          <w:u w:val="none"/>
        </w:rPr>
        <w:t>2.上市公司使用募集资金置换预先投入的自筹资金公告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_Toc101509131 \h </w:instrText>
      </w:r>
      <w:r>
        <w:rPr>
          <w:rFonts w:hint="eastAsia" w:ascii="仿宋_GB2312" w:eastAsia="仿宋_GB2312"/>
          <w:sz w:val="30"/>
          <w:szCs w:val="30"/>
        </w:rPr>
        <w:fldChar w:fldCharType="separate"/>
      </w:r>
      <w:r>
        <w:rPr>
          <w:rFonts w:ascii="仿宋_GB2312" w:eastAsia="仿宋_GB2312"/>
          <w:sz w:val="30"/>
          <w:szCs w:val="30"/>
        </w:rPr>
        <w:t>9</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10"/>
        <w:tabs>
          <w:tab w:val="right" w:leader="dot" w:pos="8296"/>
        </w:tabs>
        <w:rPr>
          <w:rFonts w:hint="eastAsia" w:ascii="仿宋_GB2312" w:eastAsia="仿宋_GB2312" w:hAnsiTheme="minorHAnsi" w:cstheme="minorBidi"/>
          <w:sz w:val="30"/>
          <w:szCs w:val="30"/>
          <w:lang w:eastAsia="zh-CN"/>
        </w:rPr>
      </w:pPr>
      <w:r>
        <w:fldChar w:fldCharType="begin"/>
      </w:r>
      <w:r>
        <w:instrText xml:space="preserve"> HYPERLINK \l "_Toc101509132" </w:instrText>
      </w:r>
      <w:r>
        <w:fldChar w:fldCharType="separate"/>
      </w:r>
      <w:r>
        <w:rPr>
          <w:rStyle w:val="14"/>
          <w:rFonts w:hint="eastAsia" w:ascii="仿宋_GB2312" w:eastAsia="仿宋_GB2312"/>
          <w:sz w:val="30"/>
          <w:szCs w:val="30"/>
          <w:u w:val="none"/>
        </w:rPr>
        <w:t>3.上市公司使用募集资金临时补充流动资金公告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_Toc101509132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lang w:val="en-US" w:eastAsia="zh-CN"/>
        </w:rPr>
        <w:t>1</w:t>
      </w:r>
    </w:p>
    <w:p>
      <w:pPr>
        <w:pStyle w:val="10"/>
        <w:tabs>
          <w:tab w:val="right" w:leader="dot" w:pos="8296"/>
        </w:tabs>
        <w:rPr>
          <w:rFonts w:hint="eastAsia" w:ascii="仿宋_GB2312" w:eastAsia="仿宋_GB2312" w:hAnsiTheme="minorHAnsi" w:cstheme="minorBidi"/>
          <w:sz w:val="30"/>
          <w:szCs w:val="30"/>
          <w:lang w:eastAsia="zh-CN"/>
        </w:rPr>
      </w:pPr>
      <w:r>
        <w:fldChar w:fldCharType="begin"/>
      </w:r>
      <w:r>
        <w:instrText xml:space="preserve"> HYPERLINK \l "_Toc101509134" </w:instrText>
      </w:r>
      <w:r>
        <w:fldChar w:fldCharType="separate"/>
      </w:r>
      <w:r>
        <w:rPr>
          <w:rStyle w:val="14"/>
          <w:rFonts w:hint="eastAsia" w:ascii="仿宋_GB2312" w:eastAsia="仿宋_GB2312"/>
          <w:sz w:val="30"/>
          <w:szCs w:val="30"/>
          <w:u w:val="none"/>
        </w:rPr>
        <w:t>4.上市公司变更募集资金投资项目公告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_Toc101509134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lang w:val="en-US" w:eastAsia="zh-CN"/>
        </w:rPr>
        <w:t>3</w:t>
      </w:r>
    </w:p>
    <w:p>
      <w:pPr>
        <w:pStyle w:val="9"/>
        <w:tabs>
          <w:tab w:val="right" w:leader="dot" w:pos="8296"/>
        </w:tabs>
        <w:rPr>
          <w:rFonts w:hint="eastAsia" w:ascii="仿宋_GB2312" w:eastAsia="仿宋_GB2312" w:hAnsiTheme="minorHAnsi" w:cstheme="minorBidi"/>
          <w:b/>
          <w:bCs/>
          <w:sz w:val="30"/>
          <w:szCs w:val="30"/>
          <w:lang w:eastAsia="zh-CN"/>
        </w:rPr>
      </w:pPr>
      <w:r>
        <w:fldChar w:fldCharType="begin"/>
      </w:r>
      <w:r>
        <w:instrText xml:space="preserve"> HYPERLINK \l "_Toc101509135" </w:instrText>
      </w:r>
      <w:r>
        <w:fldChar w:fldCharType="separate"/>
      </w:r>
      <w:r>
        <w:rPr>
          <w:rStyle w:val="14"/>
          <w:rFonts w:hint="eastAsia" w:ascii="仿宋_GB2312" w:eastAsia="仿宋_GB2312"/>
          <w:b/>
          <w:bCs/>
          <w:sz w:val="30"/>
          <w:szCs w:val="30"/>
          <w:u w:val="none"/>
        </w:rPr>
        <w:t>二、募集资金相关专项报告</w:t>
      </w:r>
      <w:r>
        <w:rPr>
          <w:rFonts w:hint="eastAsia" w:ascii="仿宋_GB2312" w:eastAsia="仿宋_GB2312"/>
          <w:b/>
          <w:bCs/>
          <w:sz w:val="30"/>
          <w:szCs w:val="30"/>
        </w:rPr>
        <w:tab/>
      </w:r>
      <w:r>
        <w:rPr>
          <w:rFonts w:hint="eastAsia" w:ascii="仿宋_GB2312" w:eastAsia="仿宋_GB2312"/>
          <w:b/>
          <w:bCs/>
          <w:sz w:val="30"/>
          <w:szCs w:val="30"/>
        </w:rPr>
        <w:fldChar w:fldCharType="begin"/>
      </w:r>
      <w:r>
        <w:rPr>
          <w:rFonts w:hint="eastAsia" w:ascii="仿宋_GB2312" w:eastAsia="仿宋_GB2312"/>
          <w:b/>
          <w:bCs/>
          <w:sz w:val="30"/>
          <w:szCs w:val="30"/>
        </w:rPr>
        <w:instrText xml:space="preserve"> PAGEREF _Toc101509135 \h </w:instrText>
      </w:r>
      <w:r>
        <w:rPr>
          <w:rFonts w:hint="eastAsia" w:ascii="仿宋_GB2312" w:eastAsia="仿宋_GB2312"/>
          <w:b/>
          <w:bCs/>
          <w:sz w:val="30"/>
          <w:szCs w:val="30"/>
        </w:rPr>
        <w:fldChar w:fldCharType="separate"/>
      </w:r>
      <w:r>
        <w:rPr>
          <w:rFonts w:ascii="仿宋_GB2312" w:eastAsia="仿宋_GB2312"/>
          <w:b/>
          <w:bCs/>
          <w:sz w:val="30"/>
          <w:szCs w:val="30"/>
        </w:rPr>
        <w:t>1</w:t>
      </w:r>
      <w:r>
        <w:rPr>
          <w:rFonts w:hint="eastAsia" w:ascii="仿宋_GB2312" w:eastAsia="仿宋_GB2312"/>
          <w:b/>
          <w:bCs/>
          <w:sz w:val="30"/>
          <w:szCs w:val="30"/>
        </w:rPr>
        <w:fldChar w:fldCharType="end"/>
      </w:r>
      <w:r>
        <w:rPr>
          <w:rFonts w:hint="eastAsia" w:ascii="仿宋_GB2312" w:eastAsia="仿宋_GB2312"/>
          <w:b/>
          <w:bCs/>
          <w:sz w:val="30"/>
          <w:szCs w:val="30"/>
        </w:rPr>
        <w:fldChar w:fldCharType="end"/>
      </w:r>
      <w:r>
        <w:rPr>
          <w:rFonts w:hint="eastAsia" w:ascii="仿宋_GB2312" w:eastAsia="仿宋_GB2312"/>
          <w:b/>
          <w:bCs/>
          <w:sz w:val="30"/>
          <w:szCs w:val="30"/>
          <w:lang w:val="en-US" w:eastAsia="zh-CN"/>
        </w:rPr>
        <w:t>7</w:t>
      </w:r>
    </w:p>
    <w:p>
      <w:pPr>
        <w:pStyle w:val="10"/>
        <w:tabs>
          <w:tab w:val="right" w:leader="dot" w:pos="8296"/>
        </w:tabs>
        <w:rPr>
          <w:rFonts w:hint="eastAsia" w:ascii="仿宋_GB2312" w:eastAsia="仿宋_GB2312" w:hAnsiTheme="minorHAnsi" w:cstheme="minorBidi"/>
          <w:sz w:val="30"/>
          <w:szCs w:val="30"/>
          <w:lang w:eastAsia="zh-CN"/>
        </w:rPr>
      </w:pPr>
      <w:r>
        <w:fldChar w:fldCharType="begin"/>
      </w:r>
      <w:r>
        <w:instrText xml:space="preserve"> HYPERLINK \l "_Toc101509136" </w:instrText>
      </w:r>
      <w:r>
        <w:fldChar w:fldCharType="separate"/>
      </w:r>
      <w:r>
        <w:rPr>
          <w:rStyle w:val="14"/>
          <w:rFonts w:hint="eastAsia" w:ascii="仿宋_GB2312" w:eastAsia="仿宋_GB2312"/>
          <w:sz w:val="30"/>
          <w:szCs w:val="30"/>
          <w:u w:val="none"/>
        </w:rPr>
        <w:t>5.上市公司募集资金存放与实际使用情况的专项报告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_Toc101509136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lang w:val="en-US" w:eastAsia="zh-CN"/>
        </w:rPr>
        <w:t>7</w:t>
      </w:r>
    </w:p>
    <w:p>
      <w:pPr>
        <w:pStyle w:val="10"/>
        <w:tabs>
          <w:tab w:val="right" w:leader="dot" w:pos="8296"/>
        </w:tabs>
        <w:rPr>
          <w:rFonts w:hint="eastAsia" w:ascii="仿宋_GB2312" w:eastAsia="仿宋_GB2312" w:hAnsiTheme="minorHAnsi" w:cstheme="minorBidi"/>
          <w:sz w:val="30"/>
          <w:szCs w:val="30"/>
          <w:lang w:eastAsia="zh-CN"/>
        </w:rPr>
      </w:pPr>
      <w:r>
        <w:fldChar w:fldCharType="begin"/>
      </w:r>
      <w:r>
        <w:instrText xml:space="preserve"> HYPERLINK \l "_Toc101509137" </w:instrText>
      </w:r>
      <w:r>
        <w:fldChar w:fldCharType="separate"/>
      </w:r>
      <w:r>
        <w:rPr>
          <w:rStyle w:val="14"/>
          <w:rFonts w:hint="eastAsia" w:ascii="仿宋_GB2312" w:eastAsia="仿宋_GB2312"/>
          <w:sz w:val="30"/>
          <w:szCs w:val="30"/>
          <w:u w:val="none"/>
        </w:rPr>
        <w:t>6.上市公司前次募集资金使用情况的专项报告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_Toc101509137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lang w:val="en-US" w:eastAsia="zh-CN"/>
        </w:rPr>
        <w:t>6</w:t>
      </w:r>
    </w:p>
    <w:p>
      <w:pPr>
        <w:rPr>
          <w:rFonts w:ascii="仿宋_GB2312" w:eastAsia="仿宋_GB2312"/>
          <w:sz w:val="30"/>
          <w:szCs w:val="30"/>
        </w:rPr>
      </w:pPr>
      <w:r>
        <w:rPr>
          <w:rFonts w:hint="eastAsia" w:ascii="仿宋_GB2312" w:hAnsi="仿宋_GB2312" w:eastAsia="仿宋_GB2312" w:cs="仿宋_GB2312"/>
          <w:sz w:val="30"/>
          <w:szCs w:val="30"/>
        </w:rPr>
        <w:fldChar w:fldCharType="end"/>
      </w:r>
    </w:p>
    <w:p>
      <w:pPr>
        <w:autoSpaceDE w:val="0"/>
        <w:autoSpaceDN w:val="0"/>
        <w:adjustRightInd w:val="0"/>
        <w:spacing w:line="560" w:lineRule="exact"/>
        <w:jc w:val="left"/>
        <w:rPr>
          <w:rFonts w:ascii="仿宋_GB2312" w:hAnsi="黑体" w:eastAsia="仿宋_GB2312"/>
          <w:bCs/>
          <w:sz w:val="24"/>
          <w:szCs w:val="24"/>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p>
      <w:pPr>
        <w:autoSpaceDE w:val="0"/>
        <w:autoSpaceDN w:val="0"/>
        <w:adjustRightInd w:val="0"/>
        <w:spacing w:line="560" w:lineRule="exact"/>
        <w:jc w:val="center"/>
        <w:rPr>
          <w:rFonts w:ascii="黑体" w:hAnsi="黑体" w:eastAsia="黑体"/>
          <w:b/>
          <w:bCs/>
          <w:sz w:val="36"/>
          <w:szCs w:val="36"/>
        </w:rPr>
      </w:pPr>
    </w:p>
    <w:bookmarkEnd w:id="1"/>
    <w:bookmarkEnd w:id="2"/>
    <w:bookmarkEnd w:id="3"/>
    <w:p>
      <w:pPr>
        <w:pStyle w:val="2"/>
        <w:rPr>
          <w:sz w:val="30"/>
          <w:szCs w:val="30"/>
        </w:rPr>
      </w:pPr>
      <w:bookmarkStart w:id="4" w:name="_Toc62470103"/>
      <w:bookmarkStart w:id="5" w:name="_Toc101509129"/>
      <w:r>
        <w:rPr>
          <w:rFonts w:hint="eastAsia"/>
          <w:sz w:val="30"/>
          <w:szCs w:val="30"/>
        </w:rPr>
        <w:t>一、募集资金资金存放与使用</w:t>
      </w:r>
      <w:bookmarkEnd w:id="4"/>
      <w:bookmarkEnd w:id="5"/>
    </w:p>
    <w:p>
      <w:pPr>
        <w:pStyle w:val="3"/>
      </w:pPr>
      <w:bookmarkStart w:id="6" w:name="_Toc62470104"/>
      <w:bookmarkStart w:id="7" w:name="_Toc101509130"/>
      <w:r>
        <w:rPr>
          <w:rFonts w:hint="eastAsia"/>
        </w:rPr>
        <w:t>1</w:t>
      </w:r>
      <w:r>
        <w:t>.上市公司签订募集资金专户存储三方监管协</w:t>
      </w:r>
      <w:r>
        <w:rPr>
          <w:rFonts w:hint="eastAsia"/>
        </w:rPr>
        <w:t>议</w:t>
      </w:r>
      <w:r>
        <w:t>的公告</w:t>
      </w:r>
      <w:bookmarkEnd w:id="6"/>
      <w:bookmarkEnd w:id="7"/>
    </w:p>
    <w:p>
      <w:pPr>
        <w:autoSpaceDE w:val="0"/>
        <w:autoSpaceDN w:val="0"/>
        <w:adjustRightInd w:val="0"/>
        <w:spacing w:line="560" w:lineRule="exact"/>
        <w:jc w:val="center"/>
        <w:rPr>
          <w:rFonts w:ascii="宋体" w:hAnsi="宋体" w:cs="楷体_GB2312-WinCharSetFFFF-H"/>
          <w:color w:val="000000"/>
          <w:kern w:val="0"/>
          <w:sz w:val="32"/>
          <w:szCs w:val="32"/>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仿宋" w:eastAsia="仿宋_GB2312"/>
          <w:color w:val="000000"/>
          <w:sz w:val="30"/>
          <w:szCs w:val="30"/>
        </w:rPr>
        <w:t>XXXX股份有限公司关于签订募集资金专户存储三方监管协议的公告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说明扣除发行费用后的实际募集资金金额、资金到账时间、以前年度已使用金额（如有）、本年度使用金额（如有）及当前余额。</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二、《募集资金专户存储三方监管协议》的签订情况和募集资金专户的开立情况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募集资金专户存储三方监管协议》（以下简称《三方监管协议》）的签订情况，包括协议主体、签订依据、签订时间、签订地点及与《募集资金专户存储三方监管协议（范本）》（见附件）是否存在重大差异等。</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列表说明募集资金专户的开立情况，包括开户行、专户账号和各账号对应的募集资金项目及存储金额等。</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三、《三方监管协议》的主要内容</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对照《三方监管协议》的条款，逐项说明募集资金专项账户的专项用途，上市公司、保荐人及开户行各自的权利和应当履行的义务、承担的责任，违约责任，协议的生效、失效，以及发生纠纷的处理等内容。</w:t>
      </w:r>
    </w:p>
    <w:p>
      <w:pPr>
        <w:autoSpaceDE w:val="0"/>
        <w:autoSpaceDN w:val="0"/>
        <w:adjustRightInd w:val="0"/>
        <w:spacing w:line="560" w:lineRule="exact"/>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w:t>
      </w:r>
      <w:r>
        <w:rPr>
          <w:rFonts w:ascii="仿宋_GB2312" w:hAnsi="宋体" w:eastAsia="仿宋_GB2312" w:cs="宋体-WinCharSetFFFF-H"/>
          <w:color w:val="000000"/>
          <w:kern w:val="0"/>
          <w:sz w:val="30"/>
          <w:szCs w:val="30"/>
        </w:rPr>
        <w:t xml:space="preserve">  </w:t>
      </w:r>
      <w:r>
        <w:rPr>
          <w:rFonts w:hint="eastAsia" w:ascii="仿宋_GB2312" w:hAnsi="宋体" w:eastAsia="仿宋_GB2312" w:cs="宋体-WinCharSetFFFF-H"/>
          <w:color w:val="000000"/>
          <w:kern w:val="0"/>
          <w:sz w:val="30"/>
          <w:szCs w:val="30"/>
        </w:rPr>
        <w:t>月</w:t>
      </w:r>
      <w:r>
        <w:rPr>
          <w:rFonts w:ascii="仿宋_GB2312" w:hAnsi="宋体" w:eastAsia="仿宋_GB2312" w:cs="宋体-WinCharSetFFFF-H"/>
          <w:color w:val="000000"/>
          <w:kern w:val="0"/>
          <w:sz w:val="30"/>
          <w:szCs w:val="30"/>
        </w:rPr>
        <w:t xml:space="preserve">  </w:t>
      </w:r>
      <w:r>
        <w:rPr>
          <w:rFonts w:hint="eastAsia" w:ascii="仿宋_GB2312" w:hAnsi="宋体" w:eastAsia="仿宋_GB2312" w:cs="宋体-WinCharSetFFFF-H"/>
          <w:color w:val="000000"/>
          <w:kern w:val="0"/>
          <w:sz w:val="30"/>
          <w:szCs w:val="30"/>
        </w:rPr>
        <w:t>日</w:t>
      </w:r>
    </w:p>
    <w:p>
      <w:pPr>
        <w:spacing w:line="560" w:lineRule="exact"/>
        <w:jc w:val="right"/>
        <w:rPr>
          <w:rFonts w:ascii="仿宋_GB2312" w:hAnsi="宋体" w:eastAsia="仿宋_GB2312" w:cs="宋体-WinCharSetFFFF-H"/>
          <w:color w:val="000000"/>
          <w:kern w:val="0"/>
          <w:sz w:val="30"/>
          <w:szCs w:val="30"/>
        </w:rPr>
      </w:pPr>
    </w:p>
    <w:p>
      <w:pPr>
        <w:spacing w:line="560" w:lineRule="exact"/>
        <w:jc w:val="right"/>
        <w:rPr>
          <w:rFonts w:ascii="仿宋_GB2312" w:hAnsi="宋体" w:eastAsia="仿宋_GB2312" w:cs="宋体-WinCharSetFFFF-H"/>
          <w:color w:val="000000"/>
          <w:kern w:val="0"/>
          <w:sz w:val="30"/>
          <w:szCs w:val="30"/>
        </w:rPr>
      </w:pPr>
    </w:p>
    <w:p>
      <w:pPr>
        <w:pStyle w:val="17"/>
        <w:numPr>
          <w:ilvl w:val="0"/>
          <w:numId w:val="1"/>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sz w:val="30"/>
          <w:szCs w:val="30"/>
        </w:rPr>
        <w:t>募集资金专户存储三方监管协议</w:t>
      </w:r>
    </w:p>
    <w:p>
      <w:pPr>
        <w:spacing w:line="560" w:lineRule="exact"/>
      </w:pPr>
    </w:p>
    <w:p>
      <w:pPr>
        <w:widowControl/>
        <w:jc w:val="left"/>
      </w:pPr>
      <w:r>
        <w:br w:type="page"/>
      </w:r>
    </w:p>
    <w:p>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附件：</w:t>
      </w:r>
      <w:bookmarkStart w:id="8" w:name="_Hlk101288998"/>
    </w:p>
    <w:p>
      <w:pPr>
        <w:adjustRightInd w:val="0"/>
        <w:snapToGrid w:val="0"/>
        <w:spacing w:line="560" w:lineRule="exact"/>
        <w:jc w:val="center"/>
        <w:rPr>
          <w:rFonts w:ascii="仿宋" w:hAnsi="仿宋" w:eastAsia="仿宋_GB2312"/>
          <w:b/>
          <w:bCs/>
          <w:sz w:val="30"/>
          <w:szCs w:val="30"/>
        </w:rPr>
      </w:pPr>
      <w:r>
        <w:rPr>
          <w:rFonts w:hint="eastAsia" w:ascii="仿宋" w:hAnsi="仿宋" w:eastAsia="仿宋_GB2312"/>
          <w:b/>
          <w:bCs/>
          <w:sz w:val="30"/>
          <w:szCs w:val="30"/>
        </w:rPr>
        <w:t>募集资金专户存储三方监管协议</w:t>
      </w:r>
      <w:bookmarkEnd w:id="8"/>
      <w:r>
        <w:rPr>
          <w:rFonts w:hint="eastAsia" w:ascii="仿宋" w:hAnsi="仿宋" w:eastAsia="仿宋_GB2312"/>
          <w:b/>
          <w:bCs/>
          <w:sz w:val="30"/>
          <w:szCs w:val="30"/>
        </w:rPr>
        <w:t>（范本）</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__________________股份有限公司（以下简称“甲方”）（说明：甲方是实施募集资金投资项目的法人主体，如果募集资金投资项目由上市公司直接实施，则上市公司为甲方，如果由上市公司子公司或其控制的其他企业实施，则上市公司及该子公司或者上市公司控制的其他企业为甲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乙方：________银行________分行（以下简称“乙方”）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丙方：__________________（保荐人或独立财务顾问）（以下简称“丙方”）</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为规范甲方募集资金管理，保护投资者权益，根据有关法律法规及《</w:t>
      </w:r>
      <w:bookmarkStart w:id="9" w:name="_Hlk101287860"/>
      <w:r>
        <w:rPr>
          <w:rFonts w:hint="eastAsia" w:ascii="仿宋" w:hAnsi="仿宋" w:eastAsia="仿宋_GB2312"/>
          <w:sz w:val="30"/>
          <w:szCs w:val="30"/>
        </w:rPr>
        <w:t>上海证券交易所上市公司自律监管指引第1号——规范运作》</w:t>
      </w:r>
      <w:bookmarkEnd w:id="9"/>
      <w:r>
        <w:rPr>
          <w:rFonts w:hint="eastAsia" w:ascii="仿宋" w:hAnsi="仿宋" w:eastAsia="仿宋_GB2312"/>
          <w:sz w:val="30"/>
          <w:szCs w:val="30"/>
        </w:rPr>
        <w:t>，甲、乙、丙三方经协商，达成如下协议：</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甲方已在乙方开设募集资金专项账户（以下简称“专户”），账号为_________________________，截至_____年__月__日，专户余额为_____万元。该专户仅用于甲方_________________________等募集资金投向项目募集资金的存储和使用，不得用作其他用途。</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以存单方式存放的募集资金_____万元（若有），开户日期为_____年__月__日，期限__个月。甲方承诺上述存单到期后将及时转入本协议约定的募集资金专户进行管理或者以存单方式续存，并通知丙方。甲方存单不得质押。</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二、甲乙双方应当共同遵守《中华人民共和国票据法》、《支付结算办法》、《人民币银行结算账户管理办法》等法律、法规、规章。</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三、丙方作为甲方的保荐人、独立财务顾问，应当依据有关规定指定保荐代表人或者其他工作人员对甲方募集资金使用情况进行监督。</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承诺按照《证券发行上市保荐业务管理办法》、《上海证券交易所上市公司自律监管指引第1号——规范运作》以及甲方制订的募集资金管理制度对甲方募集资金的管理与使用履行保荐职责，进行持续督导工作。</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丙方可以采取现场调查、书面问询等方式行使其监督权。甲方和乙方应当配合丙方的调查与查询。丙方每半年度对甲方现场调查时应当同时检查专户存储情况。</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四、甲方授权丙方指定的保荐代表人或财务顾问负责人______、_______可以随时到乙方查询、复印甲方专户的资料；乙方应当及时、准确、完整地向其提供所需的有关专户的资料。</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保荐代表人或财务顾问负责人向乙方查询甲方专户有关情况时应当出具本人的合法身份证明；丙方指定的其他工作人员向乙方查询甲方专户有关情况时应当出具本人的合法身份证明和单位介绍信。</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五、乙方按月（每月__日前）向甲方出具真实、准确、完整的专户对账单，并抄送给丙方。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六、甲方1次或者12个月以内累计从专户支取的金额超过5000万元且达到发行募集资金总额扣除发行费用后的净额（以下简称“募集资金净额”）的20%的，甲方应当及时以传真方式通知丙方，同时提供专户的支出清单。</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七、丙方有权根据有关规定更换指定的保荐代表人或财务顾问负责人。丙方更换保荐代表人或财务顾问负责人的，应当将相关证明文件书面通知乙方，同时按本协议第十二条的要求书面通知更换后保荐代表人或财务顾问负责人的联系方式。更换保荐代表人或财务顾问负责人不影响本协议的效力。</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八、乙方连续三次未及时向甲方出具对账单，以及存在未配合丙方调查专户情形的，甲方可以主动或者在丙方的要求下单方面终止本协议并注销募集资金专户。</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九、丙方发现甲方、乙方未按约定履行本协议的，应当在知悉有关事实后及时向上海证券交易所书面报告。</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十、本协议自甲、乙、丙三方法定代表人或者其授权代表签署并加盖各自单位公章之日起生效，至专户资金全部支出完毕并依法销户之日起失效。</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十一、本协议一式＿份，甲、乙、丙三方各持一份，向上海证券交易所、中国证监会____监管局各报备一份，其余留甲方备用。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十二、联系方式：</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1．_________________股份有限公司（甲方）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联系人：________________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Email：_________________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2．___________银行________________分行（乙方）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r>
        <w:rPr>
          <w:rFonts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联系人：________________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Email：_________________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3．</w:t>
      </w:r>
      <w:r>
        <w:rPr>
          <w:rFonts w:hint="eastAsia" w:ascii="仿宋" w:hAnsi="仿宋" w:eastAsia="仿宋_GB2312"/>
          <w:sz w:val="30"/>
          <w:szCs w:val="30"/>
          <w:u w:val="single"/>
        </w:rPr>
        <w:t xml:space="preserve">                     </w:t>
      </w:r>
      <w:r>
        <w:rPr>
          <w:rFonts w:hint="eastAsia" w:ascii="仿宋" w:hAnsi="仿宋" w:eastAsia="仿宋_GB2312"/>
          <w:sz w:val="30"/>
          <w:szCs w:val="30"/>
        </w:rPr>
        <w:t>（保荐人或独立财务顾问）（丙方）</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保荐代表人A：</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身份证号码：</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保荐代表人B：</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身份证号码：</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w:t>
      </w:r>
      <w:r>
        <w:rPr>
          <w:rFonts w:hint="eastAsia" w:ascii="仿宋" w:hAnsi="仿宋" w:eastAsia="仿宋_GB2312"/>
          <w:sz w:val="30"/>
          <w:szCs w:val="30"/>
          <w:u w:val="single"/>
        </w:rPr>
        <w:t xml:space="preserve">                  </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协议签署：</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甲方：_______________股份有限公司（盖章）</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乙方：____银行____分行_____支行（盖章）</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丙方：_______证券(股份)有限公司（盖章）</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法定代表人或授权代表：__________</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pPr>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napToGrid w:val="0"/>
        <w:spacing w:line="560" w:lineRule="exact"/>
        <w:ind w:firstLine="600" w:firstLineChars="200"/>
        <w:rPr>
          <w:rFonts w:ascii="仿宋_GB2312" w:eastAsia="仿宋_GB2312"/>
          <w:sz w:val="30"/>
          <w:szCs w:val="30"/>
        </w:rPr>
      </w:pPr>
    </w:p>
    <w:p>
      <w:pPr>
        <w:adjustRightInd w:val="0"/>
        <w:snapToGrid w:val="0"/>
        <w:spacing w:line="560" w:lineRule="exact"/>
        <w:ind w:firstLine="600" w:firstLineChars="200"/>
        <w:rPr>
          <w:rFonts w:ascii="仿宋" w:hAnsi="仿宋" w:eastAsia="仿宋_GB2312"/>
          <w:sz w:val="30"/>
          <w:szCs w:val="30"/>
        </w:rPr>
      </w:pPr>
    </w:p>
    <w:p>
      <w:pPr>
        <w:tabs>
          <w:tab w:val="left" w:pos="0"/>
        </w:tabs>
        <w:adjustRightInd w:val="0"/>
        <w:snapToGrid w:val="0"/>
        <w:spacing w:line="560" w:lineRule="exact"/>
        <w:ind w:firstLine="600" w:firstLineChars="200"/>
        <w:rPr>
          <w:rFonts w:ascii="仿宋" w:hAnsi="仿宋" w:eastAsia="仿宋_GB2312"/>
          <w:sz w:val="30"/>
          <w:szCs w:val="30"/>
        </w:rPr>
      </w:pPr>
    </w:p>
    <w:p>
      <w:pPr>
        <w:tabs>
          <w:tab w:val="left" w:pos="0"/>
        </w:tabs>
        <w:adjustRightInd w:val="0"/>
        <w:snapToGrid w:val="0"/>
        <w:spacing w:line="560" w:lineRule="exact"/>
        <w:ind w:firstLine="600" w:firstLineChars="200"/>
        <w:rPr>
          <w:rFonts w:ascii="仿宋" w:hAnsi="仿宋" w:eastAsia="仿宋_GB2312"/>
          <w:sz w:val="30"/>
          <w:szCs w:val="30"/>
        </w:rPr>
      </w:pPr>
    </w:p>
    <w:p>
      <w:pPr>
        <w:tabs>
          <w:tab w:val="left" w:pos="0"/>
        </w:tabs>
        <w:adjustRightInd w:val="0"/>
        <w:snapToGrid w:val="0"/>
        <w:spacing w:line="560" w:lineRule="exact"/>
        <w:ind w:firstLine="600" w:firstLineChars="200"/>
        <w:rPr>
          <w:rFonts w:ascii="仿宋" w:hAnsi="仿宋" w:eastAsia="仿宋_GB2312"/>
          <w:sz w:val="30"/>
          <w:szCs w:val="30"/>
        </w:rPr>
      </w:pPr>
    </w:p>
    <w:p>
      <w:pPr>
        <w:pStyle w:val="3"/>
      </w:pPr>
      <w:bookmarkStart w:id="10" w:name="_Toc62470105"/>
      <w:bookmarkStart w:id="11" w:name="_Toc101509131"/>
      <w:r>
        <w:t>2.上市公司</w:t>
      </w:r>
      <w:r>
        <w:rPr>
          <w:rFonts w:hint="eastAsia"/>
        </w:rPr>
        <w:t>使用募集资金置换预先投入的自筹资金公告</w:t>
      </w:r>
      <w:bookmarkEnd w:id="10"/>
      <w:bookmarkEnd w:id="11"/>
    </w:p>
    <w:p>
      <w:pPr>
        <w:adjustRightInd w:val="0"/>
        <w:snapToGrid w:val="0"/>
        <w:spacing w:line="560" w:lineRule="exact"/>
        <w:jc w:val="left"/>
        <w:rPr>
          <w:rFonts w:ascii="仿宋" w:hAnsi="仿宋"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XXXX股份有限公司用募集资金置换预先投入的自筹资金公告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2"/>
        </w:numPr>
        <w:autoSpaceDE w:val="0"/>
        <w:autoSpaceDN w:val="0"/>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公司使用募集资金置换预先已投入募集资金投资项目的自筹资金的金额，是否符合募集资金到账后6个月内进行置换的规定</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简要介绍募集资金的到账时间、募集金额、验资情况和募集资金的存储等情况。</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二、发行申请文件承诺募集资金投资项目情况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简要介绍发行申请文件中披露的募集资金项目情况及募集资金使用计划。</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三、自筹资金预先投入募投项目情况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简要介绍公司募集资金投资项目已完成总投资额的具体情况，公司使用自筹资金的投入情况，使用募集资金置换预先已投入募集资金投资项目的自筹资金的金额。</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四、本次以募集资金置换预先已投入自筹资金的董事会审议程序以及是否符合监管要求。</w:t>
      </w:r>
    </w:p>
    <w:p>
      <w:pPr>
        <w:autoSpaceDE w:val="0"/>
        <w:autoSpaceDN w:val="0"/>
        <w:adjustRightInd w:val="0"/>
        <w:snapToGrid w:val="0"/>
        <w:spacing w:line="560" w:lineRule="exact"/>
        <w:ind w:firstLine="602" w:firstLineChars="200"/>
        <w:rPr>
          <w:rFonts w:ascii="黑体" w:hAnsi="黑体" w:eastAsia="黑体"/>
          <w:b/>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五、专项意见说明</w:t>
      </w:r>
    </w:p>
    <w:p>
      <w:pPr>
        <w:autoSpaceDE w:val="0"/>
        <w:autoSpaceDN w:val="0"/>
        <w:adjustRightInd w:val="0"/>
        <w:snapToGrid w:val="0"/>
        <w:spacing w:line="560" w:lineRule="exact"/>
        <w:ind w:firstLine="600" w:firstLineChars="200"/>
        <w:rPr>
          <w:rFonts w:ascii="黑体" w:hAnsi="黑体" w:eastAsia="黑体" w:cs="宋体-WinCharSetFFFF-H"/>
          <w:b/>
          <w:color w:val="000000"/>
          <w:kern w:val="0"/>
          <w:sz w:val="30"/>
          <w:szCs w:val="30"/>
        </w:rPr>
      </w:pPr>
      <w:r>
        <w:rPr>
          <w:rFonts w:hint="eastAsia" w:ascii="仿宋_GB2312" w:hAnsi="宋体" w:eastAsia="仿宋_GB2312"/>
          <w:color w:val="000000"/>
          <w:kern w:val="0"/>
          <w:sz w:val="30"/>
          <w:szCs w:val="30"/>
        </w:rPr>
        <w:t>简要披露会计师事务所、保荐人对募集资金置换的结论性意见。</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pStyle w:val="28"/>
        <w:numPr>
          <w:ilvl w:val="0"/>
          <w:numId w:val="3"/>
        </w:numPr>
        <w:autoSpaceDE w:val="0"/>
        <w:autoSpaceDN w:val="0"/>
        <w:adjustRightInd w:val="0"/>
        <w:snapToGrid w:val="0"/>
        <w:spacing w:line="560" w:lineRule="exact"/>
        <w:ind w:firstLineChars="0"/>
        <w:jc w:val="left"/>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pPr>
        <w:spacing w:line="560" w:lineRule="exact"/>
        <w:ind w:firstLine="600" w:firstLineChars="200"/>
        <w:jc w:val="left"/>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会计师事务所出具的《公司以自筹资金预先投入募集资金投资项目的鉴证报告》</w:t>
      </w:r>
    </w:p>
    <w:p>
      <w:pPr>
        <w:adjustRightInd w:val="0"/>
        <w:snapToGrid w:val="0"/>
        <w:spacing w:line="560" w:lineRule="exact"/>
        <w:ind w:firstLine="600" w:firstLineChars="200"/>
        <w:rPr>
          <w:rFonts w:ascii="仿宋" w:hAnsi="仿宋" w:eastAsia="仿宋_GB2312" w:cs="宋体"/>
          <w:color w:val="000000"/>
          <w:kern w:val="0"/>
          <w:sz w:val="30"/>
          <w:szCs w:val="30"/>
        </w:rPr>
      </w:pPr>
      <w:r>
        <w:rPr>
          <w:rFonts w:hint="eastAsia" w:ascii="仿宋" w:hAnsi="仿宋" w:eastAsia="仿宋_GB2312" w:cs="宋体"/>
          <w:kern w:val="0"/>
          <w:sz w:val="30"/>
          <w:szCs w:val="30"/>
        </w:rPr>
        <w:t>2</w:t>
      </w:r>
      <w:r>
        <w:rPr>
          <w:rFonts w:ascii="仿宋" w:hAnsi="仿宋" w:eastAsia="仿宋_GB2312" w:cs="宋体"/>
          <w:kern w:val="0"/>
          <w:sz w:val="30"/>
          <w:szCs w:val="30"/>
        </w:rPr>
        <w:t>.</w:t>
      </w:r>
      <w:r>
        <w:rPr>
          <w:rFonts w:hint="eastAsia" w:ascii="仿宋" w:hAnsi="仿宋" w:eastAsia="仿宋_GB2312" w:cs="宋体"/>
          <w:kern w:val="0"/>
          <w:sz w:val="30"/>
          <w:szCs w:val="30"/>
        </w:rPr>
        <w:t>保荐人或独立财务顾问意见</w:t>
      </w:r>
    </w:p>
    <w:p>
      <w:pPr>
        <w:autoSpaceDE w:val="0"/>
        <w:autoSpaceDN w:val="0"/>
        <w:adjustRightInd w:val="0"/>
        <w:snapToGrid w:val="0"/>
        <w:spacing w:line="560" w:lineRule="exact"/>
        <w:ind w:firstLine="600" w:firstLineChars="200"/>
        <w:rPr>
          <w:rFonts w:ascii="仿宋_GB2312" w:eastAsia="仿宋_GB2312"/>
          <w:sz w:val="30"/>
          <w:szCs w:val="30"/>
        </w:rPr>
      </w:pPr>
    </w:p>
    <w:p>
      <w:pPr>
        <w:widowControl/>
        <w:jc w:val="left"/>
        <w:rPr>
          <w:rFonts w:ascii="黑体" w:hAnsi="黑体" w:eastAsia="黑体" w:cstheme="majorBidi"/>
          <w:b/>
          <w:bCs/>
          <w:sz w:val="30"/>
          <w:szCs w:val="32"/>
        </w:rPr>
      </w:pPr>
      <w:bookmarkStart w:id="12" w:name="_Toc62470106"/>
      <w:bookmarkStart w:id="13" w:name="_Toc101509132"/>
      <w:r>
        <w:br w:type="page"/>
      </w:r>
    </w:p>
    <w:p>
      <w:pPr>
        <w:pStyle w:val="3"/>
      </w:pPr>
      <w:r>
        <w:t>3.上市公司</w:t>
      </w:r>
      <w:r>
        <w:rPr>
          <w:rFonts w:hint="eastAsia"/>
        </w:rPr>
        <w:t>使用募集资金临时补充</w:t>
      </w:r>
      <w:bookmarkEnd w:id="12"/>
      <w:bookmarkStart w:id="14" w:name="_Toc62470107"/>
      <w:bookmarkStart w:id="15" w:name="_Toc46315780"/>
      <w:r>
        <w:rPr>
          <w:rFonts w:hint="eastAsia"/>
        </w:rPr>
        <w:t>流动资金公告</w:t>
      </w:r>
      <w:bookmarkEnd w:id="13"/>
      <w:bookmarkEnd w:id="14"/>
      <w:bookmarkEnd w:id="15"/>
    </w:p>
    <w:p>
      <w:pPr>
        <w:adjustRightInd w:val="0"/>
        <w:snapToGrid w:val="0"/>
        <w:spacing w:line="560" w:lineRule="exact"/>
        <w:rPr>
          <w:rFonts w:ascii="仿宋_GB2312" w:hAnsi="宋体"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XXXX股份有限公司募集资金临时补充流动资金公告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4"/>
        </w:numPr>
        <w:tabs>
          <w:tab w:val="clear" w:pos="105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公司关于募集资金临时补充流动资金的金额和期限</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简要介绍募集资金的到账时间、募集金额、募集资金的存储等情况，明确前次用于暂时补充流动资金的募集资金的归还时间。</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二、募集资金投资项目的基本情况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简要介绍募集资金投资项目、已累计投资数额、工程进度、募集资金账户余额等情况。</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三、本次借用部分闲置募集资金临时补充流动资金的计划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简要介绍借用资金的目的、金额、期限等情况，明确此次借用资金不改变募集资金用途，不影响募集资金投资计划的正常进行。</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四、本次以部分闲置募集资金临时补充流动资金计划的董事会审议程序以及是否符合监管要求。</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五、专项意见说明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简要披露保荐人或独立财务顾问专项意见。</w:t>
      </w:r>
    </w:p>
    <w:p>
      <w:pPr>
        <w:autoSpaceDE w:val="0"/>
        <w:autoSpaceDN w:val="0"/>
        <w:adjustRightInd w:val="0"/>
        <w:spacing w:line="560" w:lineRule="exact"/>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ind w:right="1200"/>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pStyle w:val="17"/>
        <w:numPr>
          <w:ilvl w:val="0"/>
          <w:numId w:val="1"/>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pPr>
        <w:pStyle w:val="17"/>
        <w:autoSpaceDE w:val="0"/>
        <w:autoSpaceDN w:val="0"/>
        <w:adjustRightInd w:val="0"/>
        <w:snapToGrid w:val="0"/>
        <w:spacing w:line="560" w:lineRule="exact"/>
        <w:ind w:firstLine="600"/>
        <w:rPr>
          <w:rFonts w:ascii="仿宋_GB2312" w:hAnsi="仿宋" w:eastAsia="仿宋_GB2312" w:cs="宋体"/>
          <w:kern w:val="0"/>
          <w:sz w:val="30"/>
          <w:szCs w:val="30"/>
        </w:rPr>
      </w:pPr>
      <w:r>
        <w:rPr>
          <w:rFonts w:hint="eastAsia" w:ascii="仿宋_GB2312" w:hAnsi="仿宋" w:eastAsia="仿宋_GB2312" w:cs="宋体"/>
          <w:kern w:val="0"/>
          <w:sz w:val="30"/>
          <w:szCs w:val="30"/>
        </w:rPr>
        <w:t>保荐人或独立财务顾问意见</w:t>
      </w:r>
    </w:p>
    <w:p>
      <w:pPr>
        <w:adjustRightInd w:val="0"/>
        <w:snapToGrid w:val="0"/>
        <w:spacing w:line="560" w:lineRule="exact"/>
        <w:ind w:firstLine="723" w:firstLineChars="200"/>
        <w:rPr>
          <w:rFonts w:ascii="黑体" w:hAnsi="黑体" w:eastAsia="黑体"/>
          <w:b/>
          <w:bCs/>
          <w:sz w:val="36"/>
          <w:szCs w:val="36"/>
        </w:rPr>
      </w:pPr>
      <w:r>
        <w:rPr>
          <w:rFonts w:ascii="黑体" w:hAnsi="黑体" w:eastAsia="黑体"/>
          <w:b/>
          <w:bCs/>
          <w:sz w:val="36"/>
          <w:szCs w:val="36"/>
        </w:rPr>
        <w:br w:type="page"/>
      </w:r>
    </w:p>
    <w:p>
      <w:pPr>
        <w:pStyle w:val="3"/>
      </w:pPr>
      <w:bookmarkStart w:id="16" w:name="_Toc101509134"/>
      <w:bookmarkStart w:id="17" w:name="_Toc62470108"/>
      <w:r>
        <w:t>4.</w:t>
      </w:r>
      <w:r>
        <w:rPr>
          <w:rFonts w:hint="eastAsia"/>
        </w:rPr>
        <w:t>上市</w:t>
      </w:r>
      <w:r>
        <w:t>公司变更募集资金投资项目公告</w:t>
      </w:r>
      <w:bookmarkEnd w:id="16"/>
      <w:bookmarkEnd w:id="17"/>
    </w:p>
    <w:p>
      <w:pPr>
        <w:adjustRightInd w:val="0"/>
        <w:snapToGrid w:val="0"/>
        <w:spacing w:line="560" w:lineRule="exact"/>
        <w:rPr>
          <w:rFonts w:ascii="仿宋_GB2312" w:hAnsi="宋体" w:eastAsia="仿宋_GB2312"/>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变更募集资金投资项目公告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2"/>
        </w:num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原项目名称</w:t>
      </w:r>
    </w:p>
    <w:p>
      <w:pPr>
        <w:numPr>
          <w:ilvl w:val="0"/>
          <w:numId w:val="2"/>
        </w:num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新项目名称，投资金额（合作投资项目需介绍合作对方）</w:t>
      </w:r>
    </w:p>
    <w:p>
      <w:pPr>
        <w:pStyle w:val="17"/>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 w:hAnsi="仿宋" w:eastAsia="仿宋_GB2312"/>
          <w:sz w:val="30"/>
          <w:szCs w:val="30"/>
        </w:rPr>
        <w:t>变更募集资金投向的金额</w:t>
      </w:r>
    </w:p>
    <w:p>
      <w:pPr>
        <w:pStyle w:val="17"/>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 w:hAnsi="仿宋" w:eastAsia="仿宋_GB2312"/>
          <w:sz w:val="30"/>
          <w:szCs w:val="30"/>
        </w:rPr>
        <w:t>新项目预计正常投产并产生收益的时间</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w:t>
      </w:r>
      <w:r>
        <w:rPr>
          <w:rFonts w:hint="eastAsia" w:ascii="黑体" w:hAnsi="黑体" w:eastAsia="黑体"/>
          <w:b/>
          <w:bCs/>
          <w:sz w:val="30"/>
          <w:szCs w:val="30"/>
        </w:rPr>
        <w:t>变更募集资金投资项目的概述</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时间、金额、拟变更募集资金投资项目（以下简称原项目）的名称、涉及变更投向的总金额及其占总筹资额的比例、已投入金额、变更后募集资金投资项目（以下简称新项目）的名称和拟投入的金额，是否构成关联交易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简要说明董事会审议变更募集资金投向议案的表决情况。</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w:t>
      </w:r>
      <w:r>
        <w:rPr>
          <w:rFonts w:hint="eastAsia" w:ascii="黑体" w:hAnsi="黑体" w:eastAsia="黑体" w:cs="宋体-WinCharSetFFFF-H"/>
          <w:b/>
          <w:bCs/>
          <w:color w:val="000000"/>
          <w:kern w:val="0"/>
          <w:sz w:val="30"/>
          <w:szCs w:val="30"/>
        </w:rPr>
        <w:t>变更募集资金投资项目的具体原因</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（一）原项目计划投资和实际投资情况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介绍原项目计划投资情况，包括原项目立项批准时间、实施主体、拟投入金额和构成明细、计划进度、预计效益等情况。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介绍原项目实际投资情况，包括项目实际实施主体、累计已实际投入金额和构成明细、目前的进度、完成计划及实现效益、未使用募集资金余额及存储、建设已形成资产的后续使用安排等情况。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（二）变更的具体原因</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变更原因进行详细分析和说明，包括当时拟定原项目的原因、目前市场的变化、原项目可行性发生的重大变化、继续实施原项目存在的具体困难以及按原计划投入是否能够达到预期目标等。对变更原因的分析和说明，应提供有说服力的背景、依据及数据支持。</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三、详细介绍新项目的具体内容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应详细披露基本情况、投资计划、可行性分析、经济效益分析等内容。项目基本情况，例如名称、地点、内容、规模等；投资计划，例如资金具体投向、投资方式、计划投资进度、回收期；可行性分析，例如所在行业的发展趋势、产品竞争情况、项目新增产能的市场前景、项目实施面临的风险及应对措施等；经济效益，例如预计产品产量、价格、收入、利税等。</w:t>
      </w:r>
    </w:p>
    <w:p>
      <w:pPr>
        <w:autoSpaceDE w:val="0"/>
        <w:autoSpaceDN w:val="0"/>
        <w:adjustRightInd w:val="0"/>
        <w:spacing w:line="560" w:lineRule="exact"/>
        <w:ind w:firstLine="600" w:firstLineChars="200"/>
        <w:rPr>
          <w:rFonts w:ascii="楷体" w:hAnsi="楷体" w:eastAsia="楷体"/>
          <w:color w:val="000000"/>
          <w:sz w:val="32"/>
          <w:szCs w:val="32"/>
        </w:rPr>
      </w:pPr>
      <w:r>
        <w:rPr>
          <w:rFonts w:hint="eastAsia" w:ascii="仿宋_GB2312" w:eastAsia="仿宋_GB2312"/>
          <w:color w:val="000000"/>
          <w:sz w:val="30"/>
          <w:szCs w:val="30"/>
        </w:rPr>
        <w:t>如用于对外投资的，结合对外投资公告格式的要求披露；如用于购买资产的，结合上市公司购买、出售资产公告格式的要求披露；如投资新募投项目构成关联交易，结合关联交易公告格式要求披露。</w:t>
      </w:r>
      <w:r>
        <w:rPr>
          <w:rFonts w:ascii="仿宋_GB2312" w:eastAsia="仿宋_GB2312"/>
          <w:color w:val="000000"/>
          <w:sz w:val="30"/>
          <w:szCs w:val="30"/>
        </w:rPr>
        <w:cr/>
      </w:r>
      <w:r>
        <w:rPr>
          <w:rFonts w:ascii="仿宋_GB2312" w:eastAsia="仿宋_GB2312"/>
          <w:color w:val="000000"/>
          <w:sz w:val="30"/>
          <w:szCs w:val="30"/>
        </w:rPr>
        <w:t xml:space="preserve">    </w:t>
      </w:r>
      <w:r>
        <w:rPr>
          <w:rFonts w:hint="eastAsia" w:ascii="楷体" w:hAnsi="楷体" w:eastAsia="楷体"/>
          <w:color w:val="000000"/>
          <w:sz w:val="24"/>
          <w:szCs w:val="28"/>
        </w:rPr>
        <w:t>（编制提醒：新项目如属于收购资产、关联交易、对外投资的，还应当分别按照相关公告格式另行披露）</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四、新项目的市场前景和风险提示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主要介绍新项目的市场前景，新项目可能存在的风险，如投资项目因市场、技术、环保、财务等因素引致的风险，股权投资及与他人合作的风险，项目管理和组织实施的风险等，以及拟采取的对策。</w:t>
      </w:r>
    </w:p>
    <w:p>
      <w:pPr>
        <w:autoSpaceDE w:val="0"/>
        <w:autoSpaceDN w:val="0"/>
        <w:adjustRightInd w:val="0"/>
        <w:spacing w:line="560" w:lineRule="exact"/>
        <w:ind w:firstLine="600" w:firstLineChars="200"/>
        <w:rPr>
          <w:rFonts w:ascii="仿宋_GB2312" w:eastAsia="仿宋_GB2312"/>
          <w:color w:val="000000"/>
          <w:sz w:val="30"/>
          <w:szCs w:val="30"/>
        </w:rPr>
      </w:pPr>
    </w:p>
    <w:p>
      <w:pPr>
        <w:adjustRightInd w:val="0"/>
        <w:snapToGri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五、如新项目尚需有关部门审批，说明有关情况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说明新项目是否需要国家有关部门审批或者备案，以及履行审批或者备案程序等有关情况。</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六、保荐人或独立财务顾问对变更募集资金投资项目的意见</w:t>
      </w:r>
    </w:p>
    <w:p>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p>
    <w:p>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七、关于本次变更募集资金用途提交股东会审议的相关事宜</w:t>
      </w:r>
    </w:p>
    <w:p>
      <w:pPr>
        <w:tabs>
          <w:tab w:val="left" w:pos="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上市公司仅变更募集资金投资项目实施地点的，可以免于提交股东会审议,但应对新实施地点的可行性予以充分论证。</w:t>
      </w:r>
    </w:p>
    <w:p>
      <w:pPr>
        <w:tabs>
          <w:tab w:val="left" w:pos="0"/>
        </w:tabs>
        <w:adjustRightInd w:val="0"/>
        <w:snapToGrid w:val="0"/>
        <w:spacing w:line="56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（编制提醒：</w:t>
      </w:r>
    </w:p>
    <w:p>
      <w:pPr>
        <w:tabs>
          <w:tab w:val="left" w:pos="0"/>
        </w:tabs>
        <w:adjustRightInd w:val="0"/>
        <w:snapToGrid w:val="0"/>
        <w:spacing w:line="56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1</w:t>
      </w:r>
      <w:r>
        <w:rPr>
          <w:rFonts w:ascii="楷体" w:hAnsi="楷体" w:eastAsia="楷体"/>
          <w:color w:val="000000"/>
          <w:sz w:val="24"/>
          <w:szCs w:val="24"/>
        </w:rPr>
        <w:t>.如仅变更募集资金投资项目实施地点的，本</w:t>
      </w:r>
      <w:r>
        <w:rPr>
          <w:rFonts w:hint="eastAsia" w:ascii="楷体" w:hAnsi="楷体" w:eastAsia="楷体"/>
          <w:color w:val="000000"/>
          <w:sz w:val="24"/>
          <w:szCs w:val="24"/>
        </w:rPr>
        <w:t>公告格式</w:t>
      </w:r>
      <w:r>
        <w:rPr>
          <w:rFonts w:ascii="楷体" w:hAnsi="楷体" w:eastAsia="楷体"/>
          <w:color w:val="000000"/>
          <w:sz w:val="24"/>
          <w:szCs w:val="24"/>
        </w:rPr>
        <w:t>的相关内容可以从简披露。</w:t>
      </w:r>
    </w:p>
    <w:p>
      <w:pPr>
        <w:tabs>
          <w:tab w:val="left" w:pos="0"/>
        </w:tabs>
        <w:adjustRightInd w:val="0"/>
        <w:snapToGrid w:val="0"/>
        <w:spacing w:line="56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2</w:t>
      </w:r>
      <w:r>
        <w:rPr>
          <w:rFonts w:ascii="楷体" w:hAnsi="楷体" w:eastAsia="楷体"/>
          <w:color w:val="000000"/>
          <w:sz w:val="24"/>
          <w:szCs w:val="24"/>
        </w:rPr>
        <w:t>.</w:t>
      </w:r>
      <w:r>
        <w:rPr>
          <w:rFonts w:hint="eastAsia" w:ascii="楷体" w:hAnsi="楷体" w:eastAsia="楷体"/>
          <w:color w:val="000000"/>
          <w:sz w:val="24"/>
          <w:szCs w:val="24"/>
        </w:rPr>
        <w:t>如果公司变更募集资金投资项目公告有关事项所披露的信息不够充分，应当待有关事项后续充分披露后，方可发布召开股东会通知。）</w:t>
      </w:r>
    </w:p>
    <w:p>
      <w:pPr>
        <w:autoSpaceDE w:val="0"/>
        <w:autoSpaceDN w:val="0"/>
        <w:adjustRightInd w:val="0"/>
        <w:spacing w:line="560" w:lineRule="exact"/>
        <w:ind w:firstLine="600" w:firstLineChars="200"/>
        <w:jc w:val="left"/>
        <w:rPr>
          <w:rFonts w:ascii="仿宋_GB2312" w:hAnsi="宋体" w:eastAsia="仿宋_GB2312" w:cs="宋体-WinCharSetFFFF-H"/>
          <w:color w:val="000000"/>
          <w:kern w:val="0"/>
          <w:sz w:val="30"/>
          <w:szCs w:val="30"/>
        </w:rPr>
      </w:pPr>
    </w:p>
    <w:p>
      <w:pPr>
        <w:autoSpaceDE w:val="0"/>
        <w:autoSpaceDN w:val="0"/>
        <w:adjustRightInd w:val="0"/>
        <w:spacing w:line="56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pStyle w:val="17"/>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w:t>
      </w:r>
      <w:r>
        <w:rPr>
          <w:rFonts w:hint="eastAsia" w:ascii="仿宋_GB2312" w:eastAsia="仿宋_GB2312"/>
          <w:color w:val="000000"/>
          <w:sz w:val="30"/>
          <w:szCs w:val="30"/>
        </w:rPr>
        <w:t>新项目的可行性研究报告（如有）</w:t>
      </w:r>
    </w:p>
    <w:p>
      <w:pPr>
        <w:tabs>
          <w:tab w:val="left" w:pos="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保荐人或独立财务顾问对变更募集资金投资项目的意见</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jc w:val="left"/>
        <w:rPr>
          <w:rFonts w:eastAsia="黑体"/>
          <w:b/>
          <w:bCs/>
          <w:kern w:val="44"/>
          <w:sz w:val="30"/>
          <w:szCs w:val="30"/>
        </w:rPr>
      </w:pPr>
      <w:bookmarkStart w:id="18" w:name="_Toc101509135"/>
      <w:bookmarkStart w:id="19" w:name="_Toc62470109"/>
      <w:r>
        <w:rPr>
          <w:sz w:val="30"/>
          <w:szCs w:val="30"/>
        </w:rPr>
        <w:br w:type="page"/>
      </w:r>
    </w:p>
    <w:p>
      <w:pPr>
        <w:pStyle w:val="2"/>
        <w:tabs>
          <w:tab w:val="left" w:pos="0"/>
        </w:tabs>
        <w:adjustRightInd w:val="0"/>
        <w:snapToGrid w:val="0"/>
        <w:spacing w:line="560" w:lineRule="exact"/>
        <w:rPr>
          <w:rFonts w:ascii="仿宋" w:hAnsi="仿宋" w:eastAsia="仿宋_GB2312"/>
          <w:sz w:val="30"/>
          <w:szCs w:val="30"/>
        </w:rPr>
      </w:pPr>
      <w:r>
        <w:rPr>
          <w:rFonts w:hint="eastAsia"/>
          <w:sz w:val="30"/>
          <w:szCs w:val="30"/>
        </w:rPr>
        <w:t>二、募集资金相关专项报告</w:t>
      </w:r>
      <w:bookmarkEnd w:id="18"/>
      <w:bookmarkEnd w:id="19"/>
    </w:p>
    <w:p>
      <w:pPr>
        <w:pStyle w:val="3"/>
      </w:pPr>
      <w:bookmarkStart w:id="20" w:name="_Toc62470110"/>
      <w:bookmarkStart w:id="21" w:name="_Toc50034079"/>
      <w:bookmarkStart w:id="22" w:name="_Toc101509136"/>
      <w:r>
        <w:rPr>
          <w:rFonts w:hint="eastAsia"/>
        </w:rPr>
        <w:t>5</w:t>
      </w:r>
      <w:r>
        <w:t>.</w:t>
      </w:r>
      <w:r>
        <w:rPr>
          <w:rFonts w:hint="eastAsia"/>
        </w:rPr>
        <w:t>上市公司募集资金存放与实际使用情况的专项报告</w:t>
      </w:r>
      <w:bookmarkEnd w:id="20"/>
      <w:bookmarkEnd w:id="21"/>
      <w:bookmarkEnd w:id="22"/>
    </w:p>
    <w:p>
      <w:pPr>
        <w:autoSpaceDE w:val="0"/>
        <w:autoSpaceDN w:val="0"/>
        <w:adjustRightInd w:val="0"/>
        <w:snapToGrid w:val="0"/>
        <w:spacing w:line="560" w:lineRule="exact"/>
        <w:rPr>
          <w:rFonts w:ascii="仿宋_GB2312" w:hAnsi="宋体" w:eastAsia="仿宋_GB2312"/>
          <w:b/>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应当每半年披露一次其募集资金存放与实际使用情况的专项报告。上市公司董事会须每半年出具上述专项报告，且须经公司董事会审议通过。每个会计年度结束后，保荐人或独立财务顾问应当对上市公司年度募集资金存放与使用情况出具专项核查报告，并与年度报告同时披露。年度审计时，上市公司应当聘请会计师事务所对募集资金存放与使用情况出具鉴证报告，并与审计报告同时披露。</w:t>
      </w:r>
    </w:p>
    <w:p>
      <w:pPr>
        <w:spacing w:line="560" w:lineRule="exact"/>
        <w:rPr>
          <w:rFonts w:ascii="仿宋_GB2312" w:hAnsi="宋体" w:eastAsia="仿宋_GB2312" w:cs="宋体"/>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p>
    <w:p>
      <w:pPr>
        <w:snapToGrid w:val="0"/>
        <w:spacing w:line="560" w:lineRule="exact"/>
        <w:jc w:val="center"/>
        <w:rPr>
          <w:rFonts w:ascii="仿宋_GB2312" w:hAnsi="宋体" w:eastAsia="仿宋_GB2312" w:cs="黑体-WinCharSetFFFF-H"/>
          <w:bCs/>
          <w:kern w:val="0"/>
          <w:sz w:val="30"/>
          <w:szCs w:val="30"/>
        </w:rPr>
      </w:pPr>
      <w:r>
        <w:rPr>
          <w:rFonts w:hint="eastAsia" w:ascii="仿宋_GB2312" w:hAnsi="宋体" w:eastAsia="仿宋_GB2312" w:cs="黑体-WinCharSetFFFF-H"/>
          <w:bCs/>
          <w:kern w:val="0"/>
          <w:sz w:val="30"/>
          <w:szCs w:val="30"/>
        </w:rPr>
        <w:t>关于公司募集资金存放与实际使用情况的专项报告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说明扣除发行费用后的实际募集资金金额、资金到账时间、以前年度已使用金额、本年度使用金额及当前余额。</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二、募集资金管理情况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募集资金管理制度》的制定和执行情况，包括募集资金在各银行账户的存储情况，公司与保荐人及商业银行签订《募集资金专户存储三方监管协议》的时间、与《募集资金专户存储三方监管协议（范本）》是否存在重大差异，《募集资金专户存储三方监管协议》的履行情况及存在的问题。</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三、本年度募集资金的实际使用情况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公司应在“募集资金使用情况对照表”（见附表1）中说明如下内容：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募集资金投资项目（以下简称“募投项目”）的资金使用情况。分项目说明募集资金承诺投资项目、承诺投资总额、调整后投资总额、截至期末承诺投入金额（以最近一次已披露计划为依据）、本年度投入金额、截至期末累计投入金额、截至期末累计投入金额与承诺投入金额的差额、截至期末投入进度、项目达到预定可使用状态日期、本年度实现的效益是否达到预计及项目可行性是否发生重大变化等。募投项目实际投资进度与投资计划存在差异的，应当解释具体原因。</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募投项目出现《上海证券交易所</w:t>
      </w:r>
      <w:r>
        <w:rPr>
          <w:rFonts w:hint="eastAsia" w:ascii="仿宋_GB2312" w:eastAsia="仿宋_GB2312" w:cs="仿宋_GB2312" w:hAnsiTheme="minorHAnsi"/>
          <w:kern w:val="0"/>
          <w:sz w:val="30"/>
          <w:szCs w:val="30"/>
        </w:rPr>
        <w:t>上市公司自律监管指引第</w:t>
      </w:r>
      <w:r>
        <w:rPr>
          <w:rFonts w:ascii="·ÂËÎ_GB2312" w:hAnsi="·ÂËÎ_GB2312" w:eastAsia="仿宋_GB2312" w:cs="·ÂËÎ_GB2312"/>
          <w:kern w:val="0"/>
          <w:sz w:val="30"/>
          <w:szCs w:val="30"/>
        </w:rPr>
        <w:t xml:space="preserve">1 </w:t>
      </w:r>
      <w:r>
        <w:rPr>
          <w:rFonts w:hint="eastAsia" w:ascii="仿宋_GB2312" w:eastAsia="仿宋_GB2312" w:cs="仿宋_GB2312" w:hAnsiTheme="minorHAnsi"/>
          <w:kern w:val="0"/>
          <w:sz w:val="30"/>
          <w:szCs w:val="30"/>
        </w:rPr>
        <w:t>号——规范运作</w:t>
      </w:r>
      <w:r>
        <w:rPr>
          <w:rFonts w:hint="eastAsia" w:ascii="仿宋_GB2312" w:eastAsia="仿宋_GB2312"/>
          <w:color w:val="000000"/>
          <w:sz w:val="30"/>
          <w:szCs w:val="30"/>
        </w:rPr>
        <w:t>》6</w:t>
      </w:r>
      <w:r>
        <w:rPr>
          <w:rFonts w:ascii="仿宋_GB2312" w:eastAsia="仿宋_GB2312"/>
          <w:color w:val="000000"/>
          <w:sz w:val="30"/>
          <w:szCs w:val="30"/>
        </w:rPr>
        <w:t>.3.9</w:t>
      </w:r>
      <w:r>
        <w:rPr>
          <w:rFonts w:hint="eastAsia" w:ascii="仿宋_GB2312" w:eastAsia="仿宋_GB2312"/>
          <w:color w:val="000000"/>
          <w:sz w:val="30"/>
          <w:szCs w:val="30"/>
        </w:rPr>
        <w:t>条第（四）款所列情形的，应披露有关情况及拟采取的措施。</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募投项目无法单独核算效益的，应说明原因，并就该投资项目对公司财务状况、经营业绩的影响作定性分析。</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（二）募投项目先期投入及置换情况。公司以募集资金置换预先已投入募投项目的自筹资金的，应说明先期投入的金额、用募集资金置换先期投入的金额、时间和履行的决策程序。</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（三）用闲置募集资金暂时补充流动资金情况。公司以闲置募集资金暂时补充流动资金的，应说明决策程序、批准使用金额、起止时间、实际使用金额、募集资金是否如期归还等内容。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对闲置募集资金进行现金管理，投资相关产品情况。公司以闲置募集资金投资产品的，应说明本报告期的收益情况以及签约方、产品名称、决策程序、批准使用金额、实际使用金额、期限、期末的投资份额、募集资金是否如期归还等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用超募资金永久补充流动资金或归还银行贷款情况。公司以超募资金永久补充流动资金或归还银行贷款的，应说明决策程序、批准使用金额、实际使用情况、是否进行高风险投资以及为他人提供财务资助等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（六）超募资金用于在建项目及新项目（包括收购资产等）的情况。上市公司将超募资金用于在建项目及新项目（包括收购资产等）的，参照变更募投项目的资金使用情况进行说明。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（七）节余募集资金使用情况。公司将募投项目节余资金用于其他募投项目或非募投项目的，应分别说明节余资金来源、履行的审批程序及披露情况。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（八）募集资金使用的其他情况。</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四、变更募投项目的资金使用情况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募投项目发生变更的，应在“变更募集资金投资项目情况表”（见附表2）中说明变更后的项目、对应的原项目、变更后项目拟投入募集资金总额、截至期末计划累计投资金额、本年度实际投入金额、实际累计投入金额、投资进度、项目达到预定可使用状态日期、本年度实现的效益、是否达到预计效益及变更后的项目可行性是否发生重大变化及项目变更的原因、决策程序、信息披露情况等。</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未达到计划进度及变更后的项目可行性发生重大变化的，应当解释原因。</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变更后的募集资金投资项目无法单独核算效益的，应说明原因，并就该投资项目对公司财务状况、经营业绩的影响作定性分析。</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募投项目已对外转让或置换的（募投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五、募集资金使用及披露中存在的问题</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说明公司已披露的相关信息是否存在不及时、真实、准确、完整披露的情况。存在募集资金管理违规情形的，应说明违规的原因、涉及金额及整改措施。</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六、会计师事务所对公司年度募集资金存放与使用情况出具的鉴证报告的结论性意见。</w:t>
      </w: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七、保荐人或独立财务顾问对公司年度募集资金存放与使用情况所出具的专项核查报告的结论性意见。</w:t>
      </w: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pPr>
        <w:autoSpaceDE w:val="0"/>
        <w:autoSpaceDN w:val="0"/>
        <w:adjustRightInd w:val="0"/>
        <w:spacing w:line="560" w:lineRule="exact"/>
        <w:ind w:firstLine="578" w:firstLineChars="192"/>
        <w:jc w:val="left"/>
        <w:rPr>
          <w:rFonts w:ascii="仿宋_GB2312" w:hAnsi="宋体" w:eastAsia="仿宋_GB2312" w:cs="宋体-WinCharSetFFFF-H"/>
          <w:color w:val="000000"/>
          <w:kern w:val="0"/>
          <w:sz w:val="30"/>
          <w:szCs w:val="30"/>
        </w:rPr>
      </w:pPr>
      <w:r>
        <w:rPr>
          <w:rFonts w:hint="eastAsia" w:ascii="黑体" w:hAnsi="黑体" w:eastAsia="黑体" w:cs="宋体-WinCharSetFFFF-H"/>
          <w:b/>
          <w:color w:val="000000"/>
          <w:kern w:val="0"/>
          <w:sz w:val="30"/>
          <w:szCs w:val="30"/>
        </w:rPr>
        <w:t>八、公司存在两次以上融资且当年分别存在募集资金运用的，应在专项报告分别说明。</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numPr>
          <w:ilvl w:val="0"/>
          <w:numId w:val="5"/>
        </w:numPr>
        <w:autoSpaceDE w:val="0"/>
        <w:autoSpaceDN w:val="0"/>
        <w:adjustRightInd w:val="0"/>
        <w:snapToGrid w:val="0"/>
        <w:spacing w:line="560" w:lineRule="exact"/>
        <w:ind w:left="0"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上网公告文件</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1.保荐人或独立财务顾问对上市公司年度募集资金存放与使用情况出具的专项核查报告；</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2.会计师事务所对上市公司年度募集资金存放与使用情况出具的鉴证报告。</w:t>
      </w:r>
    </w:p>
    <w:p>
      <w:pPr>
        <w:widowControl/>
        <w:jc w:val="left"/>
        <w:rPr>
          <w:rFonts w:ascii="仿宋_GB2312" w:hAnsi="宋体" w:eastAsia="仿宋_GB2312" w:cs="宋体-WinCharSetFFFF-H"/>
          <w:color w:val="000000"/>
          <w:kern w:val="0"/>
          <w:sz w:val="30"/>
          <w:szCs w:val="30"/>
        </w:rPr>
      </w:pPr>
      <w:r>
        <w:rPr>
          <w:rFonts w:ascii="仿宋_GB2312" w:hAnsi="宋体" w:eastAsia="仿宋_GB2312" w:cs="宋体-WinCharSetFFFF-H"/>
          <w:color w:val="000000"/>
          <w:kern w:val="0"/>
          <w:sz w:val="30"/>
          <w:szCs w:val="30"/>
        </w:rPr>
        <w:br w:type="page"/>
      </w:r>
    </w:p>
    <w:p>
      <w:pPr>
        <w:widowControl/>
        <w:adjustRightInd w:val="0"/>
        <w:snapToGrid w:val="0"/>
        <w:spacing w:line="560" w:lineRule="exact"/>
        <w:jc w:val="left"/>
        <w:rPr>
          <w:rFonts w:ascii="仿宋_GB2312" w:eastAsia="仿宋_GB2312"/>
          <w:sz w:val="30"/>
          <w:szCs w:val="30"/>
        </w:rPr>
      </w:pPr>
      <w:r>
        <w:rPr>
          <w:rFonts w:hint="eastAsia" w:ascii="仿宋_GB2312" w:eastAsia="仿宋_GB2312"/>
          <w:color w:val="000000"/>
          <w:sz w:val="30"/>
          <w:szCs w:val="30"/>
        </w:rPr>
        <w:t>附表</w:t>
      </w:r>
      <w:r>
        <w:rPr>
          <w:rFonts w:ascii="仿宋_GB2312" w:eastAsia="仿宋_GB2312"/>
          <w:color w:val="000000"/>
          <w:sz w:val="30"/>
          <w:szCs w:val="30"/>
        </w:rPr>
        <w:t>1</w:t>
      </w:r>
      <w:r>
        <w:rPr>
          <w:rFonts w:hint="eastAsia" w:ascii="仿宋_GB2312" w:eastAsia="仿宋_GB2312"/>
          <w:color w:val="000000"/>
          <w:sz w:val="30"/>
          <w:szCs w:val="30"/>
        </w:rPr>
        <w:t>：</w:t>
      </w:r>
      <w:r>
        <w:rPr>
          <w:rFonts w:ascii="仿宋_GB2312" w:eastAsia="仿宋_GB2312"/>
          <w:sz w:val="30"/>
          <w:szCs w:val="30"/>
        </w:rPr>
        <w:t xml:space="preserve"> </w:t>
      </w:r>
    </w:p>
    <w:p>
      <w:pPr>
        <w:adjustRightInd w:val="0"/>
        <w:snapToGrid w:val="0"/>
        <w:spacing w:line="560" w:lineRule="exact"/>
        <w:ind w:firstLine="602" w:firstLineChars="200"/>
        <w:jc w:val="center"/>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募集资金使用情况对照表</w:t>
      </w:r>
    </w:p>
    <w:p>
      <w:pPr>
        <w:adjustRightInd w:val="0"/>
        <w:snapToGrid w:val="0"/>
        <w:spacing w:line="560" w:lineRule="exact"/>
        <w:ind w:firstLine="600" w:firstLineChars="200"/>
        <w:jc w:val="right"/>
        <w:rPr>
          <w:rFonts w:ascii="仿宋" w:hAnsi="仿宋" w:eastAsia="仿宋_GB2312"/>
          <w:b/>
          <w:color w:val="000000"/>
          <w:sz w:val="24"/>
          <w:szCs w:val="24"/>
        </w:rPr>
      </w:pPr>
      <w:r>
        <w:rPr>
          <w:rFonts w:hint="eastAsia" w:ascii="仿宋" w:hAnsi="仿宋" w:eastAsia="仿宋_GB2312"/>
          <w:color w:val="000000"/>
          <w:sz w:val="30"/>
          <w:szCs w:val="30"/>
        </w:rPr>
        <w:t>　　　　　　　　　　　　　　　　　　　　</w:t>
      </w:r>
      <w:r>
        <w:rPr>
          <w:rFonts w:hint="eastAsia" w:ascii="仿宋" w:hAnsi="仿宋" w:eastAsia="仿宋_GB2312"/>
          <w:color w:val="000000"/>
          <w:sz w:val="24"/>
          <w:szCs w:val="24"/>
        </w:rPr>
        <w:t>单位：××</w:t>
      </w:r>
    </w:p>
    <w:tbl>
      <w:tblPr>
        <w:tblStyle w:val="12"/>
        <w:tblW w:w="5000" w:type="pct"/>
        <w:jc w:val="center"/>
        <w:tblLayout w:type="autofit"/>
        <w:tblCellMar>
          <w:top w:w="0" w:type="dxa"/>
          <w:left w:w="108" w:type="dxa"/>
          <w:bottom w:w="0" w:type="dxa"/>
          <w:right w:w="108" w:type="dxa"/>
        </w:tblCellMar>
      </w:tblPr>
      <w:tblGrid>
        <w:gridCol w:w="684"/>
        <w:gridCol w:w="696"/>
        <w:gridCol w:w="626"/>
        <w:gridCol w:w="762"/>
        <w:gridCol w:w="628"/>
        <w:gridCol w:w="456"/>
        <w:gridCol w:w="576"/>
        <w:gridCol w:w="830"/>
        <w:gridCol w:w="1056"/>
        <w:gridCol w:w="456"/>
        <w:gridCol w:w="563"/>
        <w:gridCol w:w="628"/>
        <w:gridCol w:w="561"/>
      </w:tblGrid>
      <w:tr>
        <w:tblPrEx>
          <w:tblCellMar>
            <w:top w:w="0" w:type="dxa"/>
            <w:left w:w="108" w:type="dxa"/>
            <w:bottom w:w="0" w:type="dxa"/>
            <w:right w:w="108" w:type="dxa"/>
          </w:tblCellMar>
        </w:tblPrEx>
        <w:trPr>
          <w:trHeight w:val="285" w:hRule="atLeast"/>
          <w:jc w:val="center"/>
        </w:trPr>
        <w:tc>
          <w:tcPr>
            <w:tcW w:w="1689" w:type="pct"/>
            <w:gridSpan w:val="4"/>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募集资金总额</w:t>
            </w:r>
          </w:p>
        </w:tc>
        <w:tc>
          <w:tcPr>
            <w:tcW w:w="631" w:type="pct"/>
            <w:gridSpan w:val="2"/>
            <w:tcBorders>
              <w:top w:val="single" w:color="auto" w:sz="8"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1892" w:type="pct"/>
            <w:gridSpan w:val="5"/>
            <w:tcBorders>
              <w:top w:val="single" w:color="auto" w:sz="8"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本年度投入募集资金总额</w:t>
            </w:r>
          </w:p>
        </w:tc>
        <w:tc>
          <w:tcPr>
            <w:tcW w:w="788" w:type="pct"/>
            <w:gridSpan w:val="2"/>
            <w:tcBorders>
              <w:top w:val="single" w:color="auto" w:sz="8"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689" w:type="pct"/>
            <w:gridSpan w:val="4"/>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变更用途的募集资金</w:t>
            </w:r>
          </w:p>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总额</w:t>
            </w:r>
          </w:p>
        </w:tc>
        <w:tc>
          <w:tcPr>
            <w:tcW w:w="631" w:type="pct"/>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1892" w:type="pct"/>
            <w:gridSpan w:val="5"/>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已累计投入募集资金总额</w:t>
            </w:r>
          </w:p>
        </w:tc>
        <w:tc>
          <w:tcPr>
            <w:tcW w:w="788" w:type="pct"/>
            <w:gridSpan w:val="2"/>
            <w:vMerge w:val="restart"/>
            <w:tcBorders>
              <w:top w:val="single" w:color="auto" w:sz="4" w:space="0"/>
              <w:left w:val="single" w:color="auto" w:sz="4" w:space="0"/>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cantSplit/>
          <w:trHeight w:val="285" w:hRule="atLeast"/>
          <w:jc w:val="center"/>
        </w:trPr>
        <w:tc>
          <w:tcPr>
            <w:tcW w:w="1689" w:type="pct"/>
            <w:gridSpan w:val="4"/>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变更用途的募集资金</w:t>
            </w:r>
          </w:p>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总额比例</w:t>
            </w:r>
          </w:p>
        </w:tc>
        <w:tc>
          <w:tcPr>
            <w:tcW w:w="631" w:type="pct"/>
            <w:gridSpan w:val="2"/>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color w:val="000000"/>
                <w:kern w:val="0"/>
                <w:sz w:val="24"/>
                <w:szCs w:val="24"/>
              </w:rPr>
            </w:pPr>
            <w:r>
              <w:rPr>
                <w:rFonts w:hint="eastAsia" w:ascii="仿宋" w:hAnsi="仿宋" w:eastAsia="仿宋_GB2312"/>
                <w:color w:val="000000"/>
                <w:kern w:val="0"/>
                <w:sz w:val="24"/>
                <w:szCs w:val="24"/>
              </w:rPr>
              <w:t>　</w:t>
            </w:r>
          </w:p>
        </w:tc>
        <w:tc>
          <w:tcPr>
            <w:tcW w:w="1892" w:type="pct"/>
            <w:gridSpan w:val="5"/>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p>
        </w:tc>
        <w:tc>
          <w:tcPr>
            <w:tcW w:w="788" w:type="pct"/>
            <w:gridSpan w:val="2"/>
            <w:vMerge w:val="continue"/>
            <w:tcBorders>
              <w:top w:val="single" w:color="auto" w:sz="4" w:space="0"/>
              <w:left w:val="single" w:color="auto" w:sz="4" w:space="0"/>
              <w:bottom w:val="single" w:color="auto" w:sz="4" w:space="0"/>
              <w:right w:val="single" w:color="000000" w:sz="8"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p>
        </w:tc>
      </w:tr>
      <w:tr>
        <w:tblPrEx>
          <w:tblCellMar>
            <w:top w:w="0" w:type="dxa"/>
            <w:left w:w="108" w:type="dxa"/>
            <w:bottom w:w="0" w:type="dxa"/>
            <w:right w:w="108" w:type="dxa"/>
          </w:tblCellMar>
        </w:tblPrEx>
        <w:trPr>
          <w:cantSplit/>
          <w:trHeight w:val="2927" w:hRule="atLeast"/>
          <w:jc w:val="center"/>
        </w:trPr>
        <w:tc>
          <w:tcPr>
            <w:tcW w:w="428" w:type="pct"/>
            <w:tcBorders>
              <w:top w:val="nil"/>
              <w:left w:val="single" w:color="auto" w:sz="8" w:space="0"/>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承诺投资项目</w:t>
            </w:r>
          </w:p>
        </w:tc>
        <w:tc>
          <w:tcPr>
            <w:tcW w:w="394"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已变更项目，含部分变更（如有）</w:t>
            </w:r>
          </w:p>
        </w:tc>
        <w:tc>
          <w:tcPr>
            <w:tcW w:w="394"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募集资金承诺投资总额</w:t>
            </w:r>
          </w:p>
        </w:tc>
        <w:tc>
          <w:tcPr>
            <w:tcW w:w="473"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调整后投资总额</w:t>
            </w:r>
          </w:p>
        </w:tc>
        <w:tc>
          <w:tcPr>
            <w:tcW w:w="394"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截至期末承诺投入金额(1)</w:t>
            </w:r>
          </w:p>
        </w:tc>
        <w:tc>
          <w:tcPr>
            <w:tcW w:w="236"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本年度投入金额</w:t>
            </w:r>
          </w:p>
        </w:tc>
        <w:tc>
          <w:tcPr>
            <w:tcW w:w="315"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截至期末累计投入金额(2)</w:t>
            </w:r>
          </w:p>
        </w:tc>
        <w:tc>
          <w:tcPr>
            <w:tcW w:w="513"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截至期末累计投入金额与承诺投入金额的差额(3)＝(2)-(1)</w:t>
            </w:r>
          </w:p>
        </w:tc>
        <w:tc>
          <w:tcPr>
            <w:tcW w:w="473"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截至期末投入进度（%）(4)＝(2)/(1)</w:t>
            </w:r>
          </w:p>
        </w:tc>
        <w:tc>
          <w:tcPr>
            <w:tcW w:w="235"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项目达到预定可使用状态日期</w:t>
            </w:r>
          </w:p>
        </w:tc>
        <w:tc>
          <w:tcPr>
            <w:tcW w:w="355"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本年度实现的效益</w:t>
            </w:r>
          </w:p>
        </w:tc>
        <w:tc>
          <w:tcPr>
            <w:tcW w:w="394" w:type="pct"/>
            <w:tcBorders>
              <w:top w:val="nil"/>
              <w:left w:val="nil"/>
              <w:bottom w:val="nil"/>
              <w:right w:val="single" w:color="auto" w:sz="4"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是否达到预计效益</w:t>
            </w:r>
          </w:p>
        </w:tc>
        <w:tc>
          <w:tcPr>
            <w:tcW w:w="394" w:type="pct"/>
            <w:tcBorders>
              <w:top w:val="nil"/>
              <w:left w:val="nil"/>
              <w:bottom w:val="nil"/>
              <w:right w:val="single" w:color="auto" w:sz="8" w:space="0"/>
            </w:tcBorders>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项目可行性是否发生重大变化</w:t>
            </w:r>
          </w:p>
        </w:tc>
      </w:tr>
      <w:tr>
        <w:tblPrEx>
          <w:tblCellMar>
            <w:top w:w="0" w:type="dxa"/>
            <w:left w:w="108" w:type="dxa"/>
            <w:bottom w:w="0" w:type="dxa"/>
            <w:right w:w="108" w:type="dxa"/>
          </w:tblCellMar>
        </w:tblPrEx>
        <w:trPr>
          <w:trHeight w:val="285" w:hRule="atLeast"/>
          <w:jc w:val="center"/>
        </w:trPr>
        <w:tc>
          <w:tcPr>
            <w:tcW w:w="390" w:type="pct"/>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33"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5"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55"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390" w:type="pct"/>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3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5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390" w:type="pct"/>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合计</w:t>
            </w:r>
          </w:p>
        </w:tc>
        <w:tc>
          <w:tcPr>
            <w:tcW w:w="43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23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55"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94" w:type="pct"/>
            <w:tcBorders>
              <w:top w:val="nil"/>
              <w:left w:val="nil"/>
              <w:bottom w:val="single" w:color="auto" w:sz="4" w:space="0"/>
              <w:right w:val="single" w:color="auto"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r>
      <w:tr>
        <w:tblPrEx>
          <w:tblCellMar>
            <w:top w:w="0" w:type="dxa"/>
            <w:left w:w="108" w:type="dxa"/>
            <w:bottom w:w="0" w:type="dxa"/>
            <w:right w:w="108" w:type="dxa"/>
          </w:tblCellMar>
        </w:tblPrEx>
        <w:trPr>
          <w:trHeight w:val="422"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未达到计划进度原因（分具体募投项目）</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项目可行性发生重大变化的情况说明</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募集资金投资项目先期投入及置换情况</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用闲置募集资金暂时补充流动资金情况</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sz w:val="24"/>
                <w:szCs w:val="24"/>
              </w:rPr>
              <w:t>对闲置募集资金进行现金管理，投资相关产品情况</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sz w:val="24"/>
                <w:szCs w:val="24"/>
              </w:rPr>
            </w:pPr>
            <w:r>
              <w:rPr>
                <w:rFonts w:hint="eastAsia" w:ascii="仿宋" w:hAnsi="仿宋" w:eastAsia="仿宋_GB2312"/>
                <w:sz w:val="24"/>
                <w:szCs w:val="24"/>
              </w:rPr>
              <w:t>用超募资金永久补充流动资金或归还银行贷款情况</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募集资金结余的金额及形成原因</w:t>
            </w:r>
          </w:p>
        </w:tc>
        <w:tc>
          <w:tcPr>
            <w:tcW w:w="2916" w:type="pct"/>
            <w:gridSpan w:val="8"/>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399" w:hRule="atLeast"/>
          <w:jc w:val="center"/>
        </w:trPr>
        <w:tc>
          <w:tcPr>
            <w:tcW w:w="2084" w:type="pct"/>
            <w:gridSpan w:val="5"/>
            <w:tcBorders>
              <w:top w:val="single" w:color="auto" w:sz="4" w:space="0"/>
              <w:left w:val="single" w:color="auto" w:sz="8" w:space="0"/>
              <w:bottom w:val="single" w:color="auto" w:sz="8" w:space="0"/>
              <w:right w:val="single" w:color="auto" w:sz="4" w:space="0"/>
            </w:tcBorders>
            <w:vAlign w:val="center"/>
          </w:tcPr>
          <w:p>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募集资金其他使用情况</w:t>
            </w:r>
          </w:p>
        </w:tc>
        <w:tc>
          <w:tcPr>
            <w:tcW w:w="2916" w:type="pct"/>
            <w:gridSpan w:val="8"/>
            <w:tcBorders>
              <w:top w:val="single" w:color="auto" w:sz="4" w:space="0"/>
              <w:left w:val="nil"/>
              <w:bottom w:val="single" w:color="auto" w:sz="8" w:space="0"/>
              <w:right w:val="single" w:color="000000" w:sz="8"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bl>
    <w:p>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注1：“本年度投入募集资金总额”包括募集资金到账后“本年度投入金额”及实际已置换先期投入金额。</w:t>
      </w:r>
    </w:p>
    <w:p>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注2：“截至期末承诺投入金额”以最近一次已披露募集资金投资计划为依据确定。</w:t>
      </w:r>
    </w:p>
    <w:p>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注3：“本年度实现的效益”的计算口径、计算方法应与承诺效益的计算口径、计算方法一致。</w:t>
      </w:r>
    </w:p>
    <w:p>
      <w:pPr>
        <w:widowControl/>
        <w:jc w:val="left"/>
        <w:rPr>
          <w:rFonts w:ascii="仿宋" w:hAnsi="仿宋" w:eastAsia="仿宋_GB2312" w:cs="宋体"/>
          <w:b/>
          <w:color w:val="000000"/>
          <w:kern w:val="0"/>
          <w:sz w:val="30"/>
          <w:szCs w:val="30"/>
        </w:rPr>
      </w:pPr>
      <w:r>
        <w:rPr>
          <w:rFonts w:ascii="仿宋" w:hAnsi="仿宋" w:eastAsia="仿宋_GB2312" w:cs="宋体"/>
          <w:b/>
          <w:color w:val="000000"/>
          <w:kern w:val="0"/>
          <w:sz w:val="30"/>
          <w:szCs w:val="30"/>
        </w:rPr>
        <w:br w:type="page"/>
      </w:r>
    </w:p>
    <w:p>
      <w:p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附表2：</w:t>
      </w:r>
    </w:p>
    <w:p>
      <w:pPr>
        <w:adjustRightInd w:val="0"/>
        <w:snapToGrid w:val="0"/>
        <w:spacing w:line="560" w:lineRule="exact"/>
        <w:jc w:val="center"/>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变更募集资金投资项目情况表</w:t>
      </w:r>
    </w:p>
    <w:p>
      <w:pPr>
        <w:adjustRightInd w:val="0"/>
        <w:snapToGrid w:val="0"/>
        <w:spacing w:line="560" w:lineRule="exact"/>
        <w:ind w:firstLine="480" w:firstLineChars="200"/>
        <w:jc w:val="right"/>
        <w:rPr>
          <w:rFonts w:ascii="仿宋" w:hAnsi="仿宋" w:eastAsia="仿宋_GB2312"/>
          <w:color w:val="000000"/>
          <w:sz w:val="24"/>
          <w:szCs w:val="24"/>
        </w:rPr>
      </w:pPr>
      <w:r>
        <w:rPr>
          <w:rFonts w:hint="eastAsia" w:ascii="仿宋" w:hAnsi="仿宋" w:eastAsia="仿宋_GB2312"/>
          <w:color w:val="000000"/>
          <w:sz w:val="24"/>
          <w:szCs w:val="24"/>
        </w:rPr>
        <w:t>单位：××</w:t>
      </w:r>
    </w:p>
    <w:tbl>
      <w:tblPr>
        <w:tblStyle w:val="12"/>
        <w:tblW w:w="5000" w:type="pct"/>
        <w:tblInd w:w="0" w:type="dxa"/>
        <w:tblLayout w:type="autofit"/>
        <w:tblCellMar>
          <w:top w:w="0" w:type="dxa"/>
          <w:left w:w="108" w:type="dxa"/>
          <w:bottom w:w="0" w:type="dxa"/>
          <w:right w:w="108" w:type="dxa"/>
        </w:tblCellMar>
      </w:tblPr>
      <w:tblGrid>
        <w:gridCol w:w="615"/>
        <w:gridCol w:w="841"/>
        <w:gridCol w:w="615"/>
        <w:gridCol w:w="615"/>
        <w:gridCol w:w="615"/>
        <w:gridCol w:w="615"/>
        <w:gridCol w:w="1467"/>
        <w:gridCol w:w="841"/>
        <w:gridCol w:w="615"/>
        <w:gridCol w:w="841"/>
        <w:gridCol w:w="842"/>
      </w:tblGrid>
      <w:tr>
        <w:tblPrEx>
          <w:tblCellMar>
            <w:top w:w="0" w:type="dxa"/>
            <w:left w:w="108" w:type="dxa"/>
            <w:bottom w:w="0" w:type="dxa"/>
            <w:right w:w="108" w:type="dxa"/>
          </w:tblCellMar>
        </w:tblPrEx>
        <w:trPr>
          <w:trHeight w:val="1425" w:hRule="atLeast"/>
        </w:trPr>
        <w:tc>
          <w:tcPr>
            <w:tcW w:w="313" w:type="pct"/>
            <w:tcBorders>
              <w:top w:val="single" w:color="auto" w:sz="8" w:space="0"/>
              <w:left w:val="single" w:color="auto" w:sz="8" w:space="0"/>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w:t>
            </w:r>
          </w:p>
        </w:tc>
        <w:tc>
          <w:tcPr>
            <w:tcW w:w="344"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对应的原项目</w:t>
            </w:r>
          </w:p>
        </w:tc>
        <w:tc>
          <w:tcPr>
            <w:tcW w:w="477"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变更后项目拟投入募集资金总额</w:t>
            </w:r>
          </w:p>
        </w:tc>
        <w:tc>
          <w:tcPr>
            <w:tcW w:w="474"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截至期末计划累计投资金额(1)</w:t>
            </w:r>
          </w:p>
        </w:tc>
        <w:tc>
          <w:tcPr>
            <w:tcW w:w="402"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本年度实际投入金额</w:t>
            </w:r>
          </w:p>
        </w:tc>
        <w:tc>
          <w:tcPr>
            <w:tcW w:w="474"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实际累计投入金额(2)</w:t>
            </w:r>
          </w:p>
        </w:tc>
        <w:tc>
          <w:tcPr>
            <w:tcW w:w="764" w:type="pct"/>
            <w:tcBorders>
              <w:top w:val="single" w:color="auto" w:sz="8" w:space="0"/>
              <w:left w:val="nil"/>
              <w:bottom w:val="single" w:color="auto" w:sz="4" w:space="0"/>
              <w:right w:val="single" w:color="auto" w:sz="4" w:space="0"/>
            </w:tcBorders>
          </w:tcPr>
          <w:p>
            <w:pPr>
              <w:widowControl/>
              <w:adjustRightInd w:val="0"/>
              <w:snapToGrid w:val="0"/>
              <w:spacing w:line="560" w:lineRule="exact"/>
              <w:ind w:firstLine="480" w:firstLineChars="200"/>
              <w:rPr>
                <w:rFonts w:ascii="仿宋" w:hAnsi="仿宋" w:eastAsia="仿宋_GB2312"/>
                <w:color w:val="000000"/>
                <w:kern w:val="0"/>
                <w:sz w:val="24"/>
                <w:szCs w:val="24"/>
              </w:rPr>
            </w:pPr>
            <w:r>
              <w:rPr>
                <w:rFonts w:hint="eastAsia" w:ascii="仿宋" w:hAnsi="仿宋" w:eastAsia="仿宋_GB2312"/>
                <w:color w:val="000000"/>
                <w:kern w:val="0"/>
                <w:sz w:val="24"/>
                <w:szCs w:val="24"/>
              </w:rPr>
              <w:t>投资进度（%）(3)=(2)/(1)</w:t>
            </w:r>
          </w:p>
        </w:tc>
        <w:tc>
          <w:tcPr>
            <w:tcW w:w="474"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项目达到预定可使用状态日期</w:t>
            </w:r>
          </w:p>
        </w:tc>
        <w:tc>
          <w:tcPr>
            <w:tcW w:w="402"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本年度实现的效益</w:t>
            </w:r>
          </w:p>
        </w:tc>
        <w:tc>
          <w:tcPr>
            <w:tcW w:w="402" w:type="pct"/>
            <w:tcBorders>
              <w:top w:val="single" w:color="auto" w:sz="8" w:space="0"/>
              <w:left w:val="nil"/>
              <w:bottom w:val="single" w:color="auto" w:sz="4" w:space="0"/>
              <w:right w:val="single" w:color="auto" w:sz="4"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是否达到预计效益</w:t>
            </w:r>
          </w:p>
        </w:tc>
        <w:tc>
          <w:tcPr>
            <w:tcW w:w="474" w:type="pct"/>
            <w:tcBorders>
              <w:top w:val="single" w:color="auto" w:sz="8" w:space="0"/>
              <w:left w:val="nil"/>
              <w:bottom w:val="single" w:color="auto" w:sz="4" w:space="0"/>
              <w:right w:val="single" w:color="auto" w:sz="8" w:space="0"/>
            </w:tcBorders>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变更后的项目可行性是否发生重大变化</w:t>
            </w:r>
          </w:p>
        </w:tc>
      </w:tr>
      <w:tr>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4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7"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4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7"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合计</w:t>
            </w:r>
          </w:p>
        </w:tc>
        <w:tc>
          <w:tcPr>
            <w:tcW w:w="34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7"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4" w:type="pct"/>
            <w:tcBorders>
              <w:top w:val="nil"/>
              <w:left w:val="nil"/>
              <w:bottom w:val="single" w:color="auto" w:sz="4" w:space="0"/>
              <w:right w:val="single" w:color="auto"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r>
      <w:tr>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变更原因、决策程序及信息披露情况说明（分具体募投项目）</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未达到计划进度的情况和原因（分具体募投项目）</w:t>
            </w:r>
          </w:p>
        </w:tc>
        <w:tc>
          <w:tcPr>
            <w:tcW w:w="474" w:type="pct"/>
            <w:tcBorders>
              <w:top w:val="nil"/>
              <w:left w:val="nil"/>
              <w:bottom w:val="single" w:color="auto" w:sz="4"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4" w:space="0"/>
              <w:right w:val="single" w:color="000000"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8" w:space="0"/>
              <w:right w:val="single" w:color="auto" w:sz="4" w:space="0"/>
            </w:tcBorders>
            <w:vAlign w:val="center"/>
          </w:tcPr>
          <w:p>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变更后的项目可行性发生重大变化的情况说明</w:t>
            </w:r>
          </w:p>
        </w:tc>
        <w:tc>
          <w:tcPr>
            <w:tcW w:w="474" w:type="pct"/>
            <w:tcBorders>
              <w:top w:val="nil"/>
              <w:left w:val="nil"/>
              <w:bottom w:val="single" w:color="auto" w:sz="8" w:space="0"/>
              <w:right w:val="single" w:color="auto" w:sz="4"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8" w:space="0"/>
              <w:right w:val="single" w:color="000000" w:sz="8" w:space="0"/>
            </w:tcBorders>
            <w:vAlign w:val="center"/>
          </w:tcPr>
          <w:p>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bl>
    <w:p>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注：“本年度实现的效益”的计算口径、计算方法应与承诺效益的计算口径、计算方法一致。</w:t>
      </w:r>
    </w:p>
    <w:p>
      <w:pPr>
        <w:widowControl/>
        <w:jc w:val="left"/>
        <w:rPr>
          <w:rFonts w:ascii="仿宋" w:hAnsi="仿宋" w:eastAsia="仿宋_GB2312"/>
          <w:color w:val="000000"/>
          <w:sz w:val="30"/>
          <w:szCs w:val="30"/>
        </w:rPr>
      </w:pPr>
    </w:p>
    <w:p>
      <w:pPr>
        <w:tabs>
          <w:tab w:val="left" w:pos="0"/>
        </w:tabs>
        <w:adjustRightInd w:val="0"/>
        <w:snapToGrid w:val="0"/>
        <w:spacing w:line="560" w:lineRule="exact"/>
        <w:ind w:firstLine="600" w:firstLineChars="200"/>
        <w:rPr>
          <w:rFonts w:ascii="仿宋" w:hAnsi="仿宋" w:eastAsia="仿宋_GB2312"/>
          <w:sz w:val="30"/>
          <w:szCs w:val="30"/>
        </w:rPr>
      </w:pPr>
    </w:p>
    <w:p>
      <w:pPr>
        <w:widowControl/>
        <w:jc w:val="left"/>
        <w:rPr>
          <w:rFonts w:ascii="仿宋" w:hAnsi="仿宋" w:eastAsia="仿宋_GB2312"/>
          <w:sz w:val="30"/>
          <w:szCs w:val="30"/>
        </w:rPr>
      </w:pPr>
      <w:r>
        <w:rPr>
          <w:rFonts w:ascii="仿宋" w:hAnsi="仿宋" w:eastAsia="仿宋_GB2312"/>
          <w:sz w:val="30"/>
          <w:szCs w:val="30"/>
        </w:rPr>
        <w:br w:type="page"/>
      </w:r>
    </w:p>
    <w:p>
      <w:pPr>
        <w:pStyle w:val="3"/>
      </w:pPr>
      <w:bookmarkStart w:id="23" w:name="_Toc62470111"/>
      <w:bookmarkStart w:id="24" w:name="_Toc101509137"/>
      <w:r>
        <w:t>6.</w:t>
      </w:r>
      <w:r>
        <w:rPr>
          <w:rFonts w:hint="eastAsia"/>
        </w:rPr>
        <w:t>上市公司前次募集资金使用情况的专项报告</w:t>
      </w:r>
      <w:bookmarkEnd w:id="23"/>
      <w:bookmarkEnd w:id="24"/>
    </w:p>
    <w:p>
      <w:pPr>
        <w:autoSpaceDE w:val="0"/>
        <w:autoSpaceDN w:val="0"/>
        <w:adjustRightInd w:val="0"/>
        <w:snapToGrid w:val="0"/>
        <w:spacing w:line="560" w:lineRule="exact"/>
        <w:rPr>
          <w:rFonts w:ascii="仿宋_GB2312" w:hAnsi="宋体" w:eastAsia="仿宋_GB2312"/>
          <w:b/>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 w:hAnsi="仿宋" w:eastAsia="仿宋_GB2312"/>
          <w:color w:val="000000"/>
          <w:sz w:val="30"/>
          <w:szCs w:val="30"/>
        </w:rPr>
        <w:t>上市公司申请发行证券，且前次募集资金到账时间距今未满五个</w:t>
      </w:r>
      <w:r>
        <w:fldChar w:fldCharType="begin"/>
      </w:r>
      <w:r>
        <w:instrText xml:space="preserve"> HYPERLINK "http://china.findlaw.cn/jingjifa/kuaiji/kjnd/" \t "_blank" </w:instrText>
      </w:r>
      <w:r>
        <w:fldChar w:fldCharType="separate"/>
      </w:r>
      <w:r>
        <w:rPr>
          <w:rStyle w:val="14"/>
          <w:rFonts w:hint="eastAsia" w:ascii="仿宋" w:hAnsi="仿宋" w:eastAsia="仿宋_GB2312"/>
          <w:color w:val="000000"/>
          <w:sz w:val="30"/>
          <w:szCs w:val="30"/>
          <w:u w:val="none"/>
        </w:rPr>
        <w:t>会计年度</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的，</w:t>
      </w:r>
      <w:r>
        <w:fldChar w:fldCharType="begin"/>
      </w:r>
      <w:r>
        <w:instrText xml:space="preserve"> HYPERLINK "http://china.findlaw.cn/gongsifalv/zuzhijigou/dongshihui/" \t "_blank" </w:instrText>
      </w:r>
      <w:r>
        <w:fldChar w:fldCharType="separate"/>
      </w:r>
      <w:r>
        <w:rPr>
          <w:rStyle w:val="14"/>
          <w:rFonts w:hint="eastAsia" w:ascii="仿宋" w:hAnsi="仿宋" w:eastAsia="仿宋_GB2312"/>
          <w:color w:val="000000"/>
          <w:sz w:val="30"/>
          <w:szCs w:val="30"/>
          <w:u w:val="none"/>
        </w:rPr>
        <w:t>董事会</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应按照本公告格式编制前次募集资金使用情况报告，对发行申请文件最近一期经审计的财务报告截止日的最近一次（境内或境外）募集资金实际使用情况进行详细说明，并就前次募集资金使用情况报告作出决议后提请</w:t>
      </w:r>
      <w:r>
        <w:fldChar w:fldCharType="begin"/>
      </w:r>
      <w:r>
        <w:instrText xml:space="preserve"> HYPERLINK "http://china.findlaw.cn/gongsifalv/zuzhijigou/gufenyouxiangongsi/gudongdahui/" \t "_blank" </w:instrText>
      </w:r>
      <w:r>
        <w:fldChar w:fldCharType="separate"/>
      </w:r>
      <w:r>
        <w:rPr>
          <w:rStyle w:val="14"/>
          <w:rFonts w:hint="eastAsia" w:ascii="仿宋" w:hAnsi="仿宋" w:eastAsia="仿宋_GB2312"/>
          <w:color w:val="000000"/>
          <w:sz w:val="30"/>
          <w:szCs w:val="30"/>
          <w:u w:val="none"/>
        </w:rPr>
        <w:t>股东会</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批准。</w:t>
      </w:r>
    </w:p>
    <w:p>
      <w:pPr>
        <w:spacing w:line="560" w:lineRule="exact"/>
        <w:rPr>
          <w:rFonts w:ascii="仿宋_GB2312" w:hAnsi="宋体" w:eastAsia="仿宋_GB2312" w:cs="宋体"/>
          <w:sz w:val="30"/>
          <w:szCs w:val="30"/>
        </w:rPr>
      </w:pPr>
    </w:p>
    <w:p>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XXXX股份有限公司前次募集资金使用情况的专项报告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一、前次募集资金的募集及存放情况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应说明前次募集资金的数额、资金到账时间以及资金在专项账户的存放情况（至少应当包括初始存放金额、截止日余额）。</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二、前次募集资金使用情况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次募集资金使用情况应与前次募集说明书或非公开发行股票相关信息披露文件中关于募集资金运用的相关披露内容进行逐项对照，以对照表的方式对比说明前次募集资金实际使用情况，包括（但不限于）投资项目、项目中募集资金投资总额、截止日募集资金累计投资额、项目达到预定可使用状态日期或截止日项目完工程度。（《前次募集资金使用情况对照表（参考格式）见附表1》）</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三、前次募集资金变更情况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实际投资项目发生变更的，应单独说明变更项目的名称、涉及金额及占前次募集资金总额的比例、变更原因、变更程序、批准机构及相关披露情况；前次募集资金项目的实际投资总额与承诺存在差异的，应说明差异内容和原因。</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四、前次募集资金投资先期投入项目转让及置换情况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投资项目已对外转让或置换的（前次募集资金投资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置换进入资产的运行情况（至少应当包括资产权属变更情况、资产账面价值变化情况、生产经营情况和效益贡献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五、前次募集资金投资项目最近3年实现效益的情况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应通过与前次募集说明书或非公开发行股票相关信息披露文件中关于募集资金投资项目效益预测的相关披露内容进行逐项对照，以对照表的方式对比说明前次募集资金投资项目最近3年实现效益的情况，包括（但不限于）实际投资项目、截止日投资项目累计产能利用率、投资项目承诺效益、最近3年实际效益、截止日累计实现效益、是否达到预计效益（《前次募集资金投资项目实现效益情况对照表（参考格式）见附表2》，公司无法披露的，应说明原因）。实现效益的计算口径、计算方法应与承诺效益的计算口径、计算方法一致，并在前次募集资金使用情况报告中明确说明。</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前次募集资金投资项目无法单独核算效益的，应说明原因，并就该投资项目对公司财务状况、经营业绩的影响作定性分析。</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募集资金投资项目累计实现的收益低于承诺的累计收益20%（含20%）以上的，应对差异原因进行详细说明。</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六、前次发行涉及以资产认购股份的相关资产运行情况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发行涉及以资产认购股份的，应对该资产运行情况予以详细说明。该资产运行情况至少应当包括资产权属变更情况、资产账面价值变化情况、生产经营情况、效益贡献情况、是否达到盈利预测以及承诺事项的履行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七、闲置募集资金的使用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临时将闲置募集资金用于其他用途的，应单独说明使用闲置资金金额、用途、使用时间、批准机构、批准程序以及收回情况。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八、前次募集资金结余及节余募集资金使用情况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前次募集资金未使用完毕的，应说明未使用金额及占前次募集资金总额的比例、未使用完毕的原因以及剩余资金的使用计划和安排。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九、前次募集资金使用的其他情况</w:t>
      </w:r>
      <w:bookmarkStart w:id="25" w:name="_GoBack"/>
      <w:bookmarkEnd w:id="25"/>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pStyle w:val="28"/>
        <w:numPr>
          <w:ilvl w:val="0"/>
          <w:numId w:val="3"/>
        </w:numPr>
        <w:autoSpaceDE w:val="0"/>
        <w:autoSpaceDN w:val="0"/>
        <w:adjustRightInd w:val="0"/>
        <w:snapToGrid w:val="0"/>
        <w:spacing w:line="560" w:lineRule="exact"/>
        <w:ind w:firstLineChars="0"/>
        <w:rPr>
          <w:rFonts w:ascii="仿宋_GB2312" w:hAnsi="宋体" w:eastAsia="仿宋_GB2312" w:cs="宋体-WinCharSetFFFF-H"/>
          <w:b/>
          <w:color w:val="000000"/>
          <w:kern w:val="0"/>
          <w:sz w:val="30"/>
          <w:szCs w:val="30"/>
        </w:rPr>
      </w:pPr>
      <w:r>
        <w:rPr>
          <w:rFonts w:hint="eastAsia" w:ascii="仿宋_GB2312" w:hAnsi="宋体" w:eastAsia="仿宋_GB2312" w:cs="宋体-WinCharSetFFFF-H"/>
          <w:b/>
          <w:color w:val="000000"/>
          <w:kern w:val="0"/>
          <w:sz w:val="30"/>
          <w:szCs w:val="30"/>
        </w:rPr>
        <w:t>上网公告文件</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会计师事务所出具的鉴证报告</w:t>
      </w:r>
    </w:p>
    <w:p>
      <w:pPr>
        <w:spacing w:line="560" w:lineRule="exact"/>
        <w:rPr>
          <w:rFonts w:ascii="仿宋_GB2312" w:eastAsia="仿宋_GB2312"/>
          <w:color w:val="000000"/>
          <w:sz w:val="30"/>
          <w:szCs w:val="30"/>
        </w:rPr>
      </w:pPr>
    </w:p>
    <w:p>
      <w:pPr>
        <w:widowControl/>
        <w:jc w:val="left"/>
        <w:rPr>
          <w:rFonts w:ascii="仿宋_GB2312" w:eastAsia="仿宋_GB2312"/>
          <w:color w:val="000000"/>
          <w:sz w:val="30"/>
          <w:szCs w:val="30"/>
        </w:rPr>
      </w:pPr>
      <w:r>
        <w:rPr>
          <w:rFonts w:ascii="仿宋_GB2312" w:eastAsia="仿宋_GB2312"/>
          <w:color w:val="000000"/>
          <w:sz w:val="30"/>
          <w:szCs w:val="30"/>
        </w:rPr>
        <w:br w:type="page"/>
      </w:r>
    </w:p>
    <w:p>
      <w:pPr>
        <w:spacing w:after="156" w:afterLines="50"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附表1：</w:t>
      </w:r>
      <w:r>
        <w:rPr>
          <w:rFonts w:ascii="仿宋" w:hAnsi="仿宋" w:eastAsia="仿宋_GB2312" w:cs="宋体"/>
          <w:color w:val="000000"/>
          <w:kern w:val="0"/>
          <w:sz w:val="30"/>
          <w:szCs w:val="30"/>
        </w:rPr>
        <w:t>前次募集资金使用情况对照表</w:t>
      </w:r>
    </w:p>
    <w:tbl>
      <w:tblPr>
        <w:tblStyle w:val="1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066"/>
        <w:gridCol w:w="1069"/>
        <w:gridCol w:w="595"/>
        <w:gridCol w:w="704"/>
        <w:gridCol w:w="653"/>
        <w:gridCol w:w="646"/>
        <w:gridCol w:w="646"/>
        <w:gridCol w:w="655"/>
        <w:gridCol w:w="994"/>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28" w:type="pct"/>
            <w:gridSpan w:val="4"/>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募集资金总额：</w:t>
            </w:r>
          </w:p>
        </w:tc>
        <w:tc>
          <w:tcPr>
            <w:tcW w:w="775" w:type="pct"/>
            <w:gridSpan w:val="2"/>
            <w:vAlign w:val="center"/>
          </w:tcPr>
          <w:p>
            <w:pPr>
              <w:adjustRightInd w:val="0"/>
              <w:snapToGrid w:val="0"/>
              <w:spacing w:line="560" w:lineRule="exact"/>
              <w:jc w:val="right"/>
              <w:rPr>
                <w:rFonts w:ascii="仿宋_GB2312" w:hAnsi="仿宋" w:eastAsia="仿宋_GB2312"/>
                <w:sz w:val="24"/>
                <w:szCs w:val="24"/>
              </w:rPr>
            </w:pPr>
          </w:p>
        </w:tc>
        <w:tc>
          <w:tcPr>
            <w:tcW w:w="1112" w:type="pct"/>
            <w:gridSpan w:val="3"/>
            <w:vAlign w:val="center"/>
          </w:tcPr>
          <w:p>
            <w:pPr>
              <w:adjustRightInd w:val="0"/>
              <w:snapToGrid w:val="0"/>
              <w:spacing w:line="560" w:lineRule="exact"/>
              <w:rPr>
                <w:rFonts w:ascii="仿宋_GB2312" w:hAnsi="仿宋" w:eastAsia="仿宋_GB2312" w:cs="Arial Narrow"/>
                <w:kern w:val="0"/>
                <w:sz w:val="24"/>
                <w:szCs w:val="24"/>
              </w:rPr>
            </w:pPr>
            <w:r>
              <w:rPr>
                <w:rFonts w:hint="eastAsia" w:ascii="仿宋_GB2312" w:hAnsi="仿宋" w:eastAsia="仿宋_GB2312" w:cs="Arial Narrow"/>
                <w:kern w:val="0"/>
                <w:sz w:val="24"/>
                <w:szCs w:val="24"/>
              </w:rPr>
              <w:t>已累计使用募集资金总额：</w:t>
            </w:r>
          </w:p>
        </w:tc>
        <w:tc>
          <w:tcPr>
            <w:tcW w:w="1284" w:type="pct"/>
            <w:gridSpan w:val="2"/>
            <w:vAlign w:val="center"/>
          </w:tcPr>
          <w:p>
            <w:pPr>
              <w:adjustRightInd w:val="0"/>
              <w:snapToGrid w:val="0"/>
              <w:spacing w:line="560" w:lineRule="exact"/>
              <w:jc w:val="right"/>
              <w:rPr>
                <w:rFonts w:ascii="仿宋_GB2312" w:hAnsi="仿宋" w:eastAsia="仿宋_GB2312" w:cs="Arial Narro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28" w:type="pct"/>
            <w:gridSpan w:val="4"/>
            <w:vAlign w:val="center"/>
          </w:tcPr>
          <w:p>
            <w:pPr>
              <w:adjustRightInd w:val="0"/>
              <w:snapToGrid w:val="0"/>
              <w:spacing w:line="560" w:lineRule="exact"/>
              <w:rPr>
                <w:rFonts w:ascii="仿宋_GB2312" w:hAnsi="仿宋" w:eastAsia="仿宋_GB2312"/>
                <w:sz w:val="24"/>
                <w:szCs w:val="24"/>
              </w:rPr>
            </w:pPr>
          </w:p>
        </w:tc>
        <w:tc>
          <w:tcPr>
            <w:tcW w:w="775" w:type="pct"/>
            <w:gridSpan w:val="2"/>
            <w:vAlign w:val="center"/>
          </w:tcPr>
          <w:p>
            <w:pPr>
              <w:adjustRightInd w:val="0"/>
              <w:snapToGrid w:val="0"/>
              <w:spacing w:line="560" w:lineRule="exact"/>
              <w:jc w:val="right"/>
              <w:rPr>
                <w:rFonts w:ascii="仿宋_GB2312" w:hAnsi="仿宋" w:eastAsia="仿宋_GB2312"/>
                <w:sz w:val="24"/>
                <w:szCs w:val="24"/>
              </w:rPr>
            </w:pPr>
          </w:p>
        </w:tc>
        <w:tc>
          <w:tcPr>
            <w:tcW w:w="1112" w:type="pct"/>
            <w:gridSpan w:val="3"/>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各年度使用募集资金总额：</w:t>
            </w:r>
          </w:p>
        </w:tc>
        <w:tc>
          <w:tcPr>
            <w:tcW w:w="1284" w:type="pct"/>
            <w:gridSpan w:val="2"/>
            <w:vAlign w:val="center"/>
          </w:tcPr>
          <w:p>
            <w:pPr>
              <w:adjustRightInd w:val="0"/>
              <w:snapToGrid w:val="0"/>
              <w:spacing w:line="560" w:lineRule="exact"/>
              <w:jc w:val="righ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8" w:type="pct"/>
            <w:gridSpan w:val="4"/>
            <w:vAlign w:val="center"/>
          </w:tcPr>
          <w:p>
            <w:pPr>
              <w:adjustRightInd w:val="0"/>
              <w:snapToGrid w:val="0"/>
              <w:spacing w:line="560" w:lineRule="exact"/>
              <w:rPr>
                <w:rFonts w:ascii="仿宋_GB2312" w:hAnsi="仿宋" w:eastAsia="仿宋_GB2312"/>
                <w:sz w:val="24"/>
                <w:szCs w:val="24"/>
              </w:rPr>
            </w:pPr>
          </w:p>
        </w:tc>
        <w:tc>
          <w:tcPr>
            <w:tcW w:w="775" w:type="pct"/>
            <w:gridSpan w:val="2"/>
            <w:vAlign w:val="center"/>
          </w:tcPr>
          <w:p>
            <w:pPr>
              <w:adjustRightInd w:val="0"/>
              <w:snapToGrid w:val="0"/>
              <w:spacing w:line="560" w:lineRule="exact"/>
              <w:jc w:val="right"/>
              <w:rPr>
                <w:rFonts w:ascii="仿宋_GB2312" w:hAnsi="仿宋" w:eastAsia="仿宋_GB2312"/>
                <w:sz w:val="24"/>
                <w:szCs w:val="24"/>
              </w:rPr>
            </w:pPr>
          </w:p>
        </w:tc>
        <w:tc>
          <w:tcPr>
            <w:tcW w:w="1112" w:type="pct"/>
            <w:gridSpan w:val="3"/>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Arial Narrow"/>
                <w:kern w:val="0"/>
                <w:sz w:val="24"/>
                <w:szCs w:val="24"/>
              </w:rPr>
              <w:t>20XX</w:t>
            </w:r>
            <w:r>
              <w:rPr>
                <w:rFonts w:hint="eastAsia" w:ascii="仿宋_GB2312" w:hAnsi="仿宋" w:eastAsia="仿宋_GB2312" w:cs="宋体"/>
                <w:kern w:val="0"/>
                <w:sz w:val="24"/>
                <w:szCs w:val="24"/>
              </w:rPr>
              <w:t>年：</w:t>
            </w:r>
          </w:p>
        </w:tc>
        <w:tc>
          <w:tcPr>
            <w:tcW w:w="1284" w:type="pct"/>
            <w:gridSpan w:val="2"/>
            <w:vAlign w:val="center"/>
          </w:tcPr>
          <w:p>
            <w:pPr>
              <w:adjustRightInd w:val="0"/>
              <w:snapToGrid w:val="0"/>
              <w:spacing w:line="560" w:lineRule="exact"/>
              <w:jc w:val="righ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8" w:type="pct"/>
            <w:gridSpan w:val="4"/>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变更用途的募集资金总额：</w:t>
            </w:r>
          </w:p>
        </w:tc>
        <w:tc>
          <w:tcPr>
            <w:tcW w:w="775" w:type="pct"/>
            <w:gridSpan w:val="2"/>
            <w:vAlign w:val="center"/>
          </w:tcPr>
          <w:p>
            <w:pPr>
              <w:adjustRightInd w:val="0"/>
              <w:snapToGrid w:val="0"/>
              <w:spacing w:line="560" w:lineRule="exact"/>
              <w:jc w:val="right"/>
              <w:rPr>
                <w:rFonts w:ascii="仿宋_GB2312" w:hAnsi="仿宋" w:eastAsia="仿宋_GB2312"/>
                <w:sz w:val="24"/>
                <w:szCs w:val="24"/>
              </w:rPr>
            </w:pPr>
          </w:p>
        </w:tc>
        <w:tc>
          <w:tcPr>
            <w:tcW w:w="1112" w:type="pct"/>
            <w:gridSpan w:val="3"/>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Arial Narrow"/>
                <w:kern w:val="0"/>
                <w:sz w:val="24"/>
                <w:szCs w:val="24"/>
              </w:rPr>
              <w:t>20XX</w:t>
            </w:r>
            <w:r>
              <w:rPr>
                <w:rFonts w:hint="eastAsia" w:ascii="仿宋_GB2312" w:hAnsi="仿宋" w:eastAsia="仿宋_GB2312" w:cs="宋体"/>
                <w:kern w:val="0"/>
                <w:sz w:val="24"/>
                <w:szCs w:val="24"/>
              </w:rPr>
              <w:t>年：</w:t>
            </w:r>
          </w:p>
        </w:tc>
        <w:tc>
          <w:tcPr>
            <w:tcW w:w="1284" w:type="pct"/>
            <w:gridSpan w:val="2"/>
            <w:vAlign w:val="center"/>
          </w:tcPr>
          <w:p>
            <w:pPr>
              <w:adjustRightInd w:val="0"/>
              <w:snapToGrid w:val="0"/>
              <w:spacing w:line="560" w:lineRule="exact"/>
              <w:jc w:val="righ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28" w:type="pct"/>
            <w:gridSpan w:val="4"/>
            <w:vAlign w:val="center"/>
          </w:tcPr>
          <w:p>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变更用途的募集资金比例：</w:t>
            </w:r>
          </w:p>
        </w:tc>
        <w:tc>
          <w:tcPr>
            <w:tcW w:w="775" w:type="pct"/>
            <w:gridSpan w:val="2"/>
            <w:vAlign w:val="center"/>
          </w:tcPr>
          <w:p>
            <w:pPr>
              <w:adjustRightInd w:val="0"/>
              <w:snapToGrid w:val="0"/>
              <w:spacing w:line="560" w:lineRule="exact"/>
              <w:jc w:val="right"/>
              <w:rPr>
                <w:rFonts w:ascii="仿宋_GB2312" w:hAnsi="仿宋" w:eastAsia="仿宋_GB2312"/>
                <w:sz w:val="24"/>
                <w:szCs w:val="24"/>
              </w:rPr>
            </w:pPr>
          </w:p>
        </w:tc>
        <w:tc>
          <w:tcPr>
            <w:tcW w:w="1112" w:type="pct"/>
            <w:gridSpan w:val="3"/>
            <w:vAlign w:val="center"/>
          </w:tcPr>
          <w:p>
            <w:pPr>
              <w:adjustRightInd w:val="0"/>
              <w:snapToGrid w:val="0"/>
              <w:spacing w:line="560" w:lineRule="exact"/>
              <w:rPr>
                <w:rFonts w:ascii="仿宋_GB2312" w:hAnsi="仿宋" w:eastAsia="仿宋_GB2312" w:cs="Arial Narrow"/>
                <w:kern w:val="0"/>
                <w:sz w:val="24"/>
                <w:szCs w:val="24"/>
              </w:rPr>
            </w:pPr>
            <w:r>
              <w:rPr>
                <w:rFonts w:hint="eastAsia" w:ascii="仿宋_GB2312" w:hAnsi="仿宋" w:eastAsia="仿宋_GB2312" w:cs="Arial Narrow"/>
                <w:kern w:val="0"/>
                <w:sz w:val="24"/>
                <w:szCs w:val="24"/>
              </w:rPr>
              <w:t>20XX年：</w:t>
            </w:r>
          </w:p>
        </w:tc>
        <w:tc>
          <w:tcPr>
            <w:tcW w:w="1284" w:type="pct"/>
            <w:gridSpan w:val="2"/>
            <w:vAlign w:val="center"/>
          </w:tcPr>
          <w:p>
            <w:pPr>
              <w:adjustRightInd w:val="0"/>
              <w:snapToGrid w:val="0"/>
              <w:spacing w:line="560" w:lineRule="exact"/>
              <w:jc w:val="right"/>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88" w:type="pct"/>
            <w:gridSpan w:val="3"/>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投资项目</w:t>
            </w:r>
          </w:p>
        </w:tc>
        <w:tc>
          <w:tcPr>
            <w:tcW w:w="1115" w:type="pct"/>
            <w:gridSpan w:val="3"/>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募集资金投资总额</w:t>
            </w:r>
          </w:p>
        </w:tc>
        <w:tc>
          <w:tcPr>
            <w:tcW w:w="1112" w:type="pct"/>
            <w:gridSpan w:val="3"/>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截止日募集资金累计投资额</w:t>
            </w:r>
          </w:p>
        </w:tc>
        <w:tc>
          <w:tcPr>
            <w:tcW w:w="568" w:type="pct"/>
            <w:vMerge w:val="restar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实际投资金额与募集后承诺投资金额的差额</w:t>
            </w:r>
          </w:p>
        </w:tc>
        <w:tc>
          <w:tcPr>
            <w:tcW w:w="716" w:type="pct"/>
            <w:vMerge w:val="restart"/>
            <w:vAlign w:val="center"/>
          </w:tcPr>
          <w:p>
            <w:pPr>
              <w:adjustRightInd w:val="0"/>
              <w:snapToGrid w:val="0"/>
              <w:spacing w:line="560" w:lineRule="exact"/>
              <w:ind w:left="-63" w:leftChars="-30"/>
              <w:jc w:val="center"/>
              <w:rPr>
                <w:rFonts w:ascii="仿宋_GB2312" w:hAnsi="仿宋" w:eastAsia="仿宋_GB2312"/>
                <w:sz w:val="24"/>
                <w:szCs w:val="24"/>
              </w:rPr>
            </w:pPr>
            <w:r>
              <w:rPr>
                <w:rFonts w:hint="eastAsia" w:ascii="仿宋_GB2312" w:hAnsi="仿宋" w:eastAsia="仿宋_GB2312" w:cs="宋体"/>
                <w:kern w:val="0"/>
                <w:sz w:val="24"/>
                <w:szCs w:val="24"/>
              </w:rPr>
              <w:t>项目达到预定可使用状态日期（或截止日项目完工程度）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序号</w:t>
            </w:r>
          </w:p>
        </w:tc>
        <w:tc>
          <w:tcPr>
            <w:tcW w:w="609"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承诺投资项目</w:t>
            </w:r>
          </w:p>
        </w:tc>
        <w:tc>
          <w:tcPr>
            <w:tcW w:w="611"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实际投资项目</w:t>
            </w:r>
          </w:p>
        </w:tc>
        <w:tc>
          <w:tcPr>
            <w:tcW w:w="340" w:type="pct"/>
            <w:vAlign w:val="center"/>
          </w:tcPr>
          <w:p>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募集前承诺</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402" w:type="pct"/>
            <w:vAlign w:val="center"/>
          </w:tcPr>
          <w:p>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募集后承诺</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73" w:type="pct"/>
            <w:vAlign w:val="center"/>
          </w:tcPr>
          <w:p>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实际投资</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金额</w:t>
            </w:r>
          </w:p>
        </w:tc>
        <w:tc>
          <w:tcPr>
            <w:tcW w:w="369" w:type="pct"/>
            <w:vAlign w:val="center"/>
          </w:tcPr>
          <w:p>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募集前承诺</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69" w:type="pct"/>
            <w:vAlign w:val="center"/>
          </w:tcPr>
          <w:p>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募集后承诺</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74" w:type="pct"/>
            <w:vAlign w:val="center"/>
          </w:tcPr>
          <w:p>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实际投资</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金额</w:t>
            </w:r>
          </w:p>
        </w:tc>
        <w:tc>
          <w:tcPr>
            <w:tcW w:w="568" w:type="pct"/>
            <w:vMerge w:val="continue"/>
            <w:vAlign w:val="center"/>
          </w:tcPr>
          <w:p>
            <w:pPr>
              <w:adjustRightInd w:val="0"/>
              <w:snapToGrid w:val="0"/>
              <w:spacing w:line="560" w:lineRule="exact"/>
              <w:jc w:val="center"/>
              <w:rPr>
                <w:rFonts w:ascii="仿宋_GB2312" w:hAnsi="仿宋" w:eastAsia="仿宋_GB2312"/>
                <w:sz w:val="24"/>
                <w:szCs w:val="24"/>
              </w:rPr>
            </w:pPr>
          </w:p>
        </w:tc>
        <w:tc>
          <w:tcPr>
            <w:tcW w:w="716" w:type="pct"/>
            <w:vMerge w:val="continue"/>
            <w:vAlign w:val="center"/>
          </w:tcPr>
          <w:p>
            <w:pPr>
              <w:adjustRightInd w:val="0"/>
              <w:snapToGrid w:val="0"/>
              <w:spacing w:line="560" w:lineRule="exact"/>
              <w:ind w:left="-63" w:leftChars="-30"/>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8"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609" w:type="pct"/>
            <w:vAlign w:val="center"/>
          </w:tcPr>
          <w:p>
            <w:pPr>
              <w:adjustRightInd w:val="0"/>
              <w:snapToGrid w:val="0"/>
              <w:spacing w:line="560" w:lineRule="exact"/>
              <w:jc w:val="left"/>
              <w:rPr>
                <w:rFonts w:ascii="仿宋_GB2312" w:hAnsi="仿宋" w:eastAsia="仿宋_GB2312" w:cs="宋体"/>
                <w:sz w:val="24"/>
                <w:szCs w:val="24"/>
              </w:rPr>
            </w:pPr>
          </w:p>
        </w:tc>
        <w:tc>
          <w:tcPr>
            <w:tcW w:w="611" w:type="pct"/>
            <w:vAlign w:val="center"/>
          </w:tcPr>
          <w:p>
            <w:pPr>
              <w:adjustRightInd w:val="0"/>
              <w:snapToGrid w:val="0"/>
              <w:spacing w:line="560" w:lineRule="exact"/>
              <w:jc w:val="left"/>
              <w:rPr>
                <w:rFonts w:ascii="仿宋_GB2312" w:hAnsi="仿宋" w:eastAsia="仿宋_GB2312" w:cs="宋体"/>
                <w:sz w:val="24"/>
                <w:szCs w:val="24"/>
              </w:rPr>
            </w:pPr>
          </w:p>
        </w:tc>
        <w:tc>
          <w:tcPr>
            <w:tcW w:w="340" w:type="pct"/>
            <w:vAlign w:val="center"/>
          </w:tcPr>
          <w:p>
            <w:pPr>
              <w:adjustRightInd w:val="0"/>
              <w:snapToGrid w:val="0"/>
              <w:spacing w:line="560" w:lineRule="exact"/>
              <w:jc w:val="right"/>
              <w:rPr>
                <w:rFonts w:ascii="仿宋_GB2312" w:hAnsi="仿宋" w:eastAsia="仿宋_GB2312" w:cs="宋体"/>
                <w:sz w:val="24"/>
                <w:szCs w:val="24"/>
              </w:rPr>
            </w:pPr>
          </w:p>
        </w:tc>
        <w:tc>
          <w:tcPr>
            <w:tcW w:w="402" w:type="pct"/>
            <w:vAlign w:val="center"/>
          </w:tcPr>
          <w:p>
            <w:pPr>
              <w:adjustRightInd w:val="0"/>
              <w:snapToGrid w:val="0"/>
              <w:spacing w:line="560" w:lineRule="exact"/>
              <w:jc w:val="right"/>
              <w:rPr>
                <w:rFonts w:ascii="仿宋_GB2312" w:hAnsi="仿宋" w:eastAsia="仿宋_GB2312" w:cs="宋体"/>
                <w:sz w:val="24"/>
                <w:szCs w:val="24"/>
              </w:rPr>
            </w:pPr>
          </w:p>
        </w:tc>
        <w:tc>
          <w:tcPr>
            <w:tcW w:w="373" w:type="pct"/>
            <w:vAlign w:val="center"/>
          </w:tcPr>
          <w:p>
            <w:pPr>
              <w:adjustRightInd w:val="0"/>
              <w:snapToGrid w:val="0"/>
              <w:spacing w:line="560" w:lineRule="exact"/>
              <w:jc w:val="right"/>
              <w:rPr>
                <w:rFonts w:ascii="仿宋_GB2312" w:hAnsi="仿宋" w:eastAsia="仿宋_GB2312"/>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74" w:type="pct"/>
            <w:vAlign w:val="center"/>
          </w:tcPr>
          <w:p>
            <w:pPr>
              <w:adjustRightInd w:val="0"/>
              <w:snapToGrid w:val="0"/>
              <w:spacing w:line="560" w:lineRule="exact"/>
              <w:jc w:val="right"/>
              <w:rPr>
                <w:rFonts w:ascii="仿宋_GB2312" w:hAnsi="仿宋" w:eastAsia="仿宋_GB2312"/>
                <w:sz w:val="24"/>
                <w:szCs w:val="24"/>
              </w:rPr>
            </w:pPr>
          </w:p>
        </w:tc>
        <w:tc>
          <w:tcPr>
            <w:tcW w:w="568" w:type="pct"/>
            <w:vAlign w:val="center"/>
          </w:tcPr>
          <w:p>
            <w:pPr>
              <w:adjustRightInd w:val="0"/>
              <w:snapToGrid w:val="0"/>
              <w:spacing w:line="560" w:lineRule="exact"/>
              <w:jc w:val="right"/>
              <w:rPr>
                <w:rFonts w:ascii="仿宋_GB2312" w:hAnsi="仿宋" w:eastAsia="仿宋_GB2312"/>
                <w:sz w:val="24"/>
                <w:szCs w:val="24"/>
              </w:rPr>
            </w:pPr>
          </w:p>
        </w:tc>
        <w:tc>
          <w:tcPr>
            <w:tcW w:w="716" w:type="pct"/>
            <w:vAlign w:val="center"/>
          </w:tcPr>
          <w:p>
            <w:pPr>
              <w:widowControl/>
              <w:adjustRightInd w:val="0"/>
              <w:snapToGrid w:val="0"/>
              <w:spacing w:line="5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609" w:type="pct"/>
            <w:vAlign w:val="center"/>
          </w:tcPr>
          <w:p>
            <w:pPr>
              <w:adjustRightInd w:val="0"/>
              <w:snapToGrid w:val="0"/>
              <w:spacing w:line="560" w:lineRule="exact"/>
              <w:jc w:val="left"/>
              <w:rPr>
                <w:rFonts w:ascii="仿宋_GB2312" w:hAnsi="仿宋" w:eastAsia="仿宋_GB2312" w:cs="宋体"/>
                <w:sz w:val="24"/>
                <w:szCs w:val="24"/>
              </w:rPr>
            </w:pPr>
          </w:p>
        </w:tc>
        <w:tc>
          <w:tcPr>
            <w:tcW w:w="611" w:type="pct"/>
            <w:vAlign w:val="center"/>
          </w:tcPr>
          <w:p>
            <w:pPr>
              <w:adjustRightInd w:val="0"/>
              <w:snapToGrid w:val="0"/>
              <w:spacing w:line="560" w:lineRule="exact"/>
              <w:jc w:val="left"/>
              <w:rPr>
                <w:rFonts w:ascii="仿宋_GB2312" w:hAnsi="仿宋" w:eastAsia="仿宋_GB2312"/>
                <w:sz w:val="24"/>
                <w:szCs w:val="24"/>
              </w:rPr>
            </w:pPr>
          </w:p>
        </w:tc>
        <w:tc>
          <w:tcPr>
            <w:tcW w:w="340" w:type="pct"/>
            <w:vAlign w:val="center"/>
          </w:tcPr>
          <w:p>
            <w:pPr>
              <w:adjustRightInd w:val="0"/>
              <w:snapToGrid w:val="0"/>
              <w:spacing w:line="560" w:lineRule="exact"/>
              <w:jc w:val="right"/>
              <w:rPr>
                <w:rFonts w:ascii="仿宋_GB2312" w:hAnsi="仿宋" w:eastAsia="仿宋_GB2312" w:cs="宋体"/>
                <w:sz w:val="24"/>
                <w:szCs w:val="24"/>
              </w:rPr>
            </w:pPr>
          </w:p>
        </w:tc>
        <w:tc>
          <w:tcPr>
            <w:tcW w:w="402" w:type="pct"/>
            <w:vAlign w:val="center"/>
          </w:tcPr>
          <w:p>
            <w:pPr>
              <w:adjustRightInd w:val="0"/>
              <w:snapToGrid w:val="0"/>
              <w:spacing w:line="560" w:lineRule="exact"/>
              <w:jc w:val="right"/>
              <w:rPr>
                <w:rFonts w:ascii="仿宋_GB2312" w:hAnsi="仿宋" w:eastAsia="仿宋_GB2312" w:cs="宋体"/>
                <w:sz w:val="24"/>
                <w:szCs w:val="24"/>
              </w:rPr>
            </w:pPr>
          </w:p>
        </w:tc>
        <w:tc>
          <w:tcPr>
            <w:tcW w:w="373" w:type="pct"/>
            <w:vAlign w:val="center"/>
          </w:tcPr>
          <w:p>
            <w:pPr>
              <w:adjustRightInd w:val="0"/>
              <w:snapToGrid w:val="0"/>
              <w:spacing w:line="560" w:lineRule="exact"/>
              <w:jc w:val="right"/>
              <w:rPr>
                <w:rFonts w:ascii="仿宋_GB2312" w:hAnsi="仿宋" w:eastAsia="仿宋_GB2312"/>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74" w:type="pct"/>
            <w:vAlign w:val="center"/>
          </w:tcPr>
          <w:p>
            <w:pPr>
              <w:adjustRightInd w:val="0"/>
              <w:snapToGrid w:val="0"/>
              <w:spacing w:line="560" w:lineRule="exact"/>
              <w:jc w:val="right"/>
              <w:rPr>
                <w:rFonts w:ascii="仿宋_GB2312" w:hAnsi="仿宋" w:eastAsia="仿宋_GB2312"/>
                <w:sz w:val="24"/>
                <w:szCs w:val="24"/>
              </w:rPr>
            </w:pPr>
          </w:p>
        </w:tc>
        <w:tc>
          <w:tcPr>
            <w:tcW w:w="568" w:type="pct"/>
            <w:vAlign w:val="center"/>
          </w:tcPr>
          <w:p>
            <w:pPr>
              <w:adjustRightInd w:val="0"/>
              <w:snapToGrid w:val="0"/>
              <w:spacing w:line="560" w:lineRule="exact"/>
              <w:jc w:val="right"/>
              <w:rPr>
                <w:rFonts w:ascii="仿宋_GB2312" w:hAnsi="仿宋" w:eastAsia="仿宋_GB2312"/>
                <w:sz w:val="24"/>
                <w:szCs w:val="24"/>
              </w:rPr>
            </w:pPr>
          </w:p>
        </w:tc>
        <w:tc>
          <w:tcPr>
            <w:tcW w:w="716" w:type="pct"/>
            <w:vAlign w:val="center"/>
          </w:tcPr>
          <w:p>
            <w:pPr>
              <w:widowControl/>
              <w:adjustRightInd w:val="0"/>
              <w:snapToGrid w:val="0"/>
              <w:spacing w:line="5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609" w:type="pct"/>
            <w:vAlign w:val="center"/>
          </w:tcPr>
          <w:p>
            <w:pPr>
              <w:adjustRightInd w:val="0"/>
              <w:snapToGrid w:val="0"/>
              <w:spacing w:line="560" w:lineRule="exact"/>
              <w:jc w:val="left"/>
              <w:rPr>
                <w:rFonts w:ascii="仿宋_GB2312" w:hAnsi="仿宋" w:eastAsia="仿宋_GB2312" w:cs="宋体"/>
                <w:sz w:val="24"/>
                <w:szCs w:val="24"/>
              </w:rPr>
            </w:pPr>
          </w:p>
        </w:tc>
        <w:tc>
          <w:tcPr>
            <w:tcW w:w="611" w:type="pct"/>
            <w:vAlign w:val="center"/>
          </w:tcPr>
          <w:p>
            <w:pPr>
              <w:adjustRightInd w:val="0"/>
              <w:snapToGrid w:val="0"/>
              <w:spacing w:line="560" w:lineRule="exact"/>
              <w:jc w:val="left"/>
              <w:rPr>
                <w:rFonts w:ascii="仿宋_GB2312" w:hAnsi="仿宋" w:eastAsia="仿宋_GB2312" w:cs="宋体"/>
                <w:sz w:val="24"/>
                <w:szCs w:val="24"/>
              </w:rPr>
            </w:pPr>
          </w:p>
        </w:tc>
        <w:tc>
          <w:tcPr>
            <w:tcW w:w="340" w:type="pct"/>
            <w:vAlign w:val="center"/>
          </w:tcPr>
          <w:p>
            <w:pPr>
              <w:adjustRightInd w:val="0"/>
              <w:snapToGrid w:val="0"/>
              <w:spacing w:line="560" w:lineRule="exact"/>
              <w:jc w:val="right"/>
              <w:rPr>
                <w:rFonts w:ascii="仿宋_GB2312" w:hAnsi="仿宋" w:eastAsia="仿宋_GB2312" w:cs="宋体"/>
                <w:sz w:val="24"/>
                <w:szCs w:val="24"/>
              </w:rPr>
            </w:pPr>
          </w:p>
        </w:tc>
        <w:tc>
          <w:tcPr>
            <w:tcW w:w="402" w:type="pct"/>
            <w:vAlign w:val="center"/>
          </w:tcPr>
          <w:p>
            <w:pPr>
              <w:adjustRightInd w:val="0"/>
              <w:snapToGrid w:val="0"/>
              <w:spacing w:line="560" w:lineRule="exact"/>
              <w:jc w:val="right"/>
              <w:rPr>
                <w:rFonts w:ascii="仿宋_GB2312" w:hAnsi="仿宋" w:eastAsia="仿宋_GB2312" w:cs="宋体"/>
                <w:sz w:val="24"/>
                <w:szCs w:val="24"/>
              </w:rPr>
            </w:pPr>
          </w:p>
        </w:tc>
        <w:tc>
          <w:tcPr>
            <w:tcW w:w="373" w:type="pct"/>
            <w:vAlign w:val="center"/>
          </w:tcPr>
          <w:p>
            <w:pPr>
              <w:adjustRightInd w:val="0"/>
              <w:snapToGrid w:val="0"/>
              <w:spacing w:line="560" w:lineRule="exact"/>
              <w:jc w:val="right"/>
              <w:rPr>
                <w:rFonts w:ascii="仿宋_GB2312" w:hAnsi="仿宋" w:eastAsia="仿宋_GB2312"/>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74" w:type="pct"/>
            <w:vAlign w:val="center"/>
          </w:tcPr>
          <w:p>
            <w:pPr>
              <w:adjustRightInd w:val="0"/>
              <w:snapToGrid w:val="0"/>
              <w:spacing w:line="560" w:lineRule="exact"/>
              <w:jc w:val="right"/>
              <w:rPr>
                <w:rFonts w:ascii="仿宋_GB2312" w:hAnsi="仿宋" w:eastAsia="仿宋_GB2312"/>
                <w:sz w:val="24"/>
                <w:szCs w:val="24"/>
              </w:rPr>
            </w:pPr>
          </w:p>
        </w:tc>
        <w:tc>
          <w:tcPr>
            <w:tcW w:w="568" w:type="pct"/>
            <w:vAlign w:val="center"/>
          </w:tcPr>
          <w:p>
            <w:pPr>
              <w:adjustRightInd w:val="0"/>
              <w:snapToGrid w:val="0"/>
              <w:spacing w:line="560" w:lineRule="exact"/>
              <w:jc w:val="right"/>
              <w:rPr>
                <w:rFonts w:ascii="仿宋_GB2312" w:hAnsi="仿宋" w:eastAsia="仿宋_GB2312"/>
                <w:sz w:val="24"/>
                <w:szCs w:val="24"/>
              </w:rPr>
            </w:pPr>
          </w:p>
        </w:tc>
        <w:tc>
          <w:tcPr>
            <w:tcW w:w="716" w:type="pct"/>
            <w:vAlign w:val="center"/>
          </w:tcPr>
          <w:p>
            <w:pPr>
              <w:widowControl/>
              <w:adjustRightInd w:val="0"/>
              <w:snapToGrid w:val="0"/>
              <w:spacing w:line="56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pPr>
              <w:adjustRightInd w:val="0"/>
              <w:snapToGrid w:val="0"/>
              <w:spacing w:line="560" w:lineRule="exact"/>
              <w:jc w:val="center"/>
              <w:rPr>
                <w:rFonts w:ascii="仿宋_GB2312" w:hAnsi="仿宋" w:eastAsia="仿宋_GB2312"/>
                <w:sz w:val="24"/>
                <w:szCs w:val="24"/>
              </w:rPr>
            </w:pPr>
          </w:p>
        </w:tc>
        <w:tc>
          <w:tcPr>
            <w:tcW w:w="609" w:type="pct"/>
            <w:vAlign w:val="center"/>
          </w:tcPr>
          <w:p>
            <w:pPr>
              <w:adjustRightInd w:val="0"/>
              <w:snapToGrid w:val="0"/>
              <w:spacing w:line="560" w:lineRule="exact"/>
              <w:jc w:val="left"/>
              <w:rPr>
                <w:rFonts w:ascii="仿宋_GB2312" w:hAnsi="仿宋" w:eastAsia="仿宋_GB2312" w:cs="宋体"/>
                <w:sz w:val="24"/>
                <w:szCs w:val="24"/>
              </w:rPr>
            </w:pPr>
          </w:p>
        </w:tc>
        <w:tc>
          <w:tcPr>
            <w:tcW w:w="611" w:type="pct"/>
            <w:vAlign w:val="center"/>
          </w:tcPr>
          <w:p>
            <w:pPr>
              <w:adjustRightInd w:val="0"/>
              <w:snapToGrid w:val="0"/>
              <w:spacing w:line="560" w:lineRule="exact"/>
              <w:jc w:val="left"/>
              <w:rPr>
                <w:rFonts w:ascii="仿宋_GB2312" w:hAnsi="仿宋" w:eastAsia="仿宋_GB2312" w:cs="宋体"/>
                <w:sz w:val="24"/>
                <w:szCs w:val="24"/>
              </w:rPr>
            </w:pPr>
          </w:p>
        </w:tc>
        <w:tc>
          <w:tcPr>
            <w:tcW w:w="340" w:type="pct"/>
            <w:vAlign w:val="center"/>
          </w:tcPr>
          <w:p>
            <w:pPr>
              <w:adjustRightInd w:val="0"/>
              <w:snapToGrid w:val="0"/>
              <w:spacing w:line="560" w:lineRule="exact"/>
              <w:jc w:val="right"/>
              <w:rPr>
                <w:rFonts w:ascii="仿宋_GB2312" w:hAnsi="仿宋" w:eastAsia="仿宋_GB2312" w:cs="宋体"/>
                <w:sz w:val="24"/>
                <w:szCs w:val="24"/>
              </w:rPr>
            </w:pPr>
          </w:p>
        </w:tc>
        <w:tc>
          <w:tcPr>
            <w:tcW w:w="402" w:type="pct"/>
            <w:vAlign w:val="center"/>
          </w:tcPr>
          <w:p>
            <w:pPr>
              <w:adjustRightInd w:val="0"/>
              <w:snapToGrid w:val="0"/>
              <w:spacing w:line="560" w:lineRule="exact"/>
              <w:jc w:val="right"/>
              <w:rPr>
                <w:rFonts w:ascii="仿宋_GB2312" w:hAnsi="仿宋" w:eastAsia="仿宋_GB2312" w:cs="宋体"/>
                <w:sz w:val="24"/>
                <w:szCs w:val="24"/>
              </w:rPr>
            </w:pPr>
          </w:p>
        </w:tc>
        <w:tc>
          <w:tcPr>
            <w:tcW w:w="373" w:type="pct"/>
            <w:vAlign w:val="center"/>
          </w:tcPr>
          <w:p>
            <w:pPr>
              <w:adjustRightInd w:val="0"/>
              <w:snapToGrid w:val="0"/>
              <w:spacing w:line="560" w:lineRule="exact"/>
              <w:jc w:val="right"/>
              <w:rPr>
                <w:rFonts w:ascii="仿宋_GB2312" w:hAnsi="仿宋" w:eastAsia="仿宋_GB2312"/>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69" w:type="pct"/>
            <w:vAlign w:val="center"/>
          </w:tcPr>
          <w:p>
            <w:pPr>
              <w:adjustRightInd w:val="0"/>
              <w:snapToGrid w:val="0"/>
              <w:spacing w:line="560" w:lineRule="exact"/>
              <w:jc w:val="right"/>
              <w:rPr>
                <w:rFonts w:ascii="仿宋_GB2312" w:hAnsi="仿宋" w:eastAsia="仿宋_GB2312" w:cs="宋体"/>
                <w:sz w:val="24"/>
                <w:szCs w:val="24"/>
              </w:rPr>
            </w:pPr>
          </w:p>
        </w:tc>
        <w:tc>
          <w:tcPr>
            <w:tcW w:w="374" w:type="pct"/>
            <w:vAlign w:val="center"/>
          </w:tcPr>
          <w:p>
            <w:pPr>
              <w:adjustRightInd w:val="0"/>
              <w:snapToGrid w:val="0"/>
              <w:spacing w:line="560" w:lineRule="exact"/>
              <w:jc w:val="right"/>
              <w:rPr>
                <w:rFonts w:ascii="仿宋_GB2312" w:hAnsi="仿宋" w:eastAsia="仿宋_GB2312"/>
                <w:sz w:val="24"/>
                <w:szCs w:val="24"/>
              </w:rPr>
            </w:pPr>
          </w:p>
        </w:tc>
        <w:tc>
          <w:tcPr>
            <w:tcW w:w="568" w:type="pct"/>
            <w:vAlign w:val="center"/>
          </w:tcPr>
          <w:p>
            <w:pPr>
              <w:adjustRightInd w:val="0"/>
              <w:snapToGrid w:val="0"/>
              <w:spacing w:line="560" w:lineRule="exact"/>
              <w:jc w:val="right"/>
              <w:rPr>
                <w:rFonts w:ascii="仿宋_GB2312" w:hAnsi="仿宋" w:eastAsia="仿宋_GB2312"/>
                <w:sz w:val="24"/>
                <w:szCs w:val="24"/>
              </w:rPr>
            </w:pPr>
          </w:p>
        </w:tc>
        <w:tc>
          <w:tcPr>
            <w:tcW w:w="716" w:type="pct"/>
            <w:vAlign w:val="center"/>
          </w:tcPr>
          <w:p>
            <w:pPr>
              <w:adjustRightInd w:val="0"/>
              <w:snapToGrid w:val="0"/>
              <w:spacing w:line="560" w:lineRule="exact"/>
              <w:jc w:val="center"/>
              <w:rPr>
                <w:rFonts w:ascii="仿宋_GB2312" w:hAnsi="仿宋" w:eastAsia="仿宋_GB2312"/>
                <w:sz w:val="24"/>
                <w:szCs w:val="24"/>
              </w:rPr>
            </w:pPr>
          </w:p>
        </w:tc>
      </w:tr>
    </w:tbl>
    <w:p>
      <w:pPr>
        <w:spacing w:after="156" w:afterLines="50" w:line="560" w:lineRule="exact"/>
        <w:rPr>
          <w:rFonts w:ascii="仿宋" w:hAnsi="仿宋" w:eastAsia="仿宋_GB2312" w:cs="宋体"/>
          <w:color w:val="000000"/>
          <w:kern w:val="0"/>
          <w:sz w:val="30"/>
          <w:szCs w:val="30"/>
        </w:rPr>
      </w:pPr>
    </w:p>
    <w:p>
      <w:pPr>
        <w:spacing w:after="156" w:afterLines="50"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附表2：</w:t>
      </w:r>
      <w:r>
        <w:rPr>
          <w:rFonts w:ascii="仿宋" w:hAnsi="仿宋" w:eastAsia="仿宋_GB2312" w:cs="宋体"/>
          <w:color w:val="000000"/>
          <w:kern w:val="0"/>
          <w:sz w:val="30"/>
          <w:szCs w:val="30"/>
        </w:rPr>
        <w:t>前次募集资金投资项目实现效益情况对照表</w:t>
      </w:r>
    </w:p>
    <w:tbl>
      <w:tblPr>
        <w:tblStyle w:val="12"/>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476"/>
        <w:gridCol w:w="1103"/>
        <w:gridCol w:w="958"/>
        <w:gridCol w:w="816"/>
        <w:gridCol w:w="816"/>
        <w:gridCol w:w="816"/>
        <w:gridCol w:w="63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实际投资项目</w:t>
            </w:r>
          </w:p>
        </w:tc>
        <w:tc>
          <w:tcPr>
            <w:tcW w:w="627" w:type="pct"/>
            <w:vMerge w:val="restar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color w:val="000000"/>
                <w:kern w:val="0"/>
                <w:sz w:val="24"/>
                <w:szCs w:val="24"/>
              </w:rPr>
              <w:t>截止日投资项目累计产能利用率</w:t>
            </w:r>
          </w:p>
        </w:tc>
        <w:tc>
          <w:tcPr>
            <w:tcW w:w="545" w:type="pct"/>
            <w:vMerge w:val="restar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承诺效益</w:t>
            </w:r>
          </w:p>
        </w:tc>
        <w:tc>
          <w:tcPr>
            <w:tcW w:w="1392" w:type="pct"/>
            <w:gridSpan w:val="3"/>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最近三年实际效益</w:t>
            </w:r>
          </w:p>
        </w:tc>
        <w:tc>
          <w:tcPr>
            <w:tcW w:w="359" w:type="pct"/>
            <w:vMerge w:val="restar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截止日</w:t>
            </w:r>
          </w:p>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累计实现效益</w:t>
            </w:r>
          </w:p>
        </w:tc>
        <w:tc>
          <w:tcPr>
            <w:tcW w:w="374" w:type="pct"/>
            <w:vMerge w:val="restar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是否达到预计效益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序号</w:t>
            </w:r>
          </w:p>
        </w:tc>
        <w:tc>
          <w:tcPr>
            <w:tcW w:w="1408"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项目名称</w:t>
            </w:r>
          </w:p>
        </w:tc>
        <w:tc>
          <w:tcPr>
            <w:tcW w:w="627" w:type="pct"/>
            <w:vMerge w:val="continue"/>
            <w:vAlign w:val="center"/>
          </w:tcPr>
          <w:p>
            <w:pPr>
              <w:widowControl/>
              <w:adjustRightInd w:val="0"/>
              <w:snapToGrid w:val="0"/>
              <w:spacing w:line="560" w:lineRule="exact"/>
              <w:jc w:val="center"/>
              <w:rPr>
                <w:rFonts w:ascii="仿宋_GB2312" w:hAnsi="仿宋" w:eastAsia="仿宋_GB2312" w:cs="宋体"/>
                <w:color w:val="000000"/>
                <w:kern w:val="0"/>
                <w:sz w:val="24"/>
                <w:szCs w:val="24"/>
              </w:rPr>
            </w:pPr>
          </w:p>
        </w:tc>
        <w:tc>
          <w:tcPr>
            <w:tcW w:w="545" w:type="pct"/>
            <w:vMerge w:val="continue"/>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46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46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359" w:type="pct"/>
            <w:vMerge w:val="continue"/>
            <w:vAlign w:val="center"/>
          </w:tcPr>
          <w:p>
            <w:pPr>
              <w:adjustRightInd w:val="0"/>
              <w:snapToGrid w:val="0"/>
              <w:spacing w:line="560" w:lineRule="exact"/>
              <w:jc w:val="center"/>
              <w:rPr>
                <w:rFonts w:ascii="仿宋_GB2312" w:hAnsi="仿宋" w:eastAsia="仿宋_GB2312"/>
                <w:sz w:val="24"/>
                <w:szCs w:val="24"/>
              </w:rPr>
            </w:pPr>
          </w:p>
        </w:tc>
        <w:tc>
          <w:tcPr>
            <w:tcW w:w="374" w:type="pct"/>
            <w:vMerge w:val="continue"/>
            <w:vAlign w:val="center"/>
          </w:tcPr>
          <w:p>
            <w:pPr>
              <w:adjustRightInd w:val="0"/>
              <w:snapToGrid w:val="0"/>
              <w:spacing w:line="56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1408" w:type="pct"/>
            <w:vAlign w:val="center"/>
          </w:tcPr>
          <w:p>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545"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pPr>
              <w:adjustRightInd w:val="0"/>
              <w:snapToGrid w:val="0"/>
              <w:spacing w:line="56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1408" w:type="pct"/>
            <w:vAlign w:val="center"/>
          </w:tcPr>
          <w:p>
            <w:pPr>
              <w:adjustRightInd w:val="0"/>
              <w:snapToGrid w:val="0"/>
              <w:spacing w:line="560" w:lineRule="exact"/>
              <w:jc w:val="left"/>
              <w:rPr>
                <w:rFonts w:ascii="仿宋_GB2312" w:hAnsi="仿宋" w:eastAsia="仿宋_GB2312"/>
                <w:sz w:val="24"/>
                <w:szCs w:val="24"/>
              </w:rPr>
            </w:pPr>
          </w:p>
        </w:tc>
        <w:tc>
          <w:tcPr>
            <w:tcW w:w="627"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545"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pPr>
              <w:adjustRightInd w:val="0"/>
              <w:snapToGrid w:val="0"/>
              <w:spacing w:line="56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1408" w:type="pct"/>
            <w:vAlign w:val="center"/>
          </w:tcPr>
          <w:p>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545"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pPr>
              <w:adjustRightInd w:val="0"/>
              <w:snapToGrid w:val="0"/>
              <w:spacing w:line="560" w:lineRule="exact"/>
              <w:jc w:val="center"/>
              <w:rPr>
                <w:rFonts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p>
        </w:tc>
        <w:tc>
          <w:tcPr>
            <w:tcW w:w="1408" w:type="pct"/>
            <w:vAlign w:val="center"/>
          </w:tcPr>
          <w:p>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545"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pPr>
              <w:adjustRightInd w:val="0"/>
              <w:snapToGrid w:val="0"/>
              <w:spacing w:line="560" w:lineRule="exact"/>
              <w:jc w:val="center"/>
              <w:rPr>
                <w:rFonts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pPr>
              <w:adjustRightInd w:val="0"/>
              <w:snapToGrid w:val="0"/>
              <w:spacing w:line="560" w:lineRule="exact"/>
              <w:jc w:val="center"/>
              <w:rPr>
                <w:rFonts w:ascii="仿宋_GB2312" w:hAnsi="仿宋" w:eastAsia="仿宋_GB2312"/>
                <w:sz w:val="24"/>
                <w:szCs w:val="24"/>
              </w:rPr>
            </w:pPr>
          </w:p>
        </w:tc>
        <w:tc>
          <w:tcPr>
            <w:tcW w:w="1408" w:type="pct"/>
            <w:vAlign w:val="center"/>
          </w:tcPr>
          <w:p>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545"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464" w:type="pct"/>
            <w:vAlign w:val="center"/>
          </w:tcPr>
          <w:p>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pPr>
              <w:adjustRightInd w:val="0"/>
              <w:snapToGrid w:val="0"/>
              <w:spacing w:line="560" w:lineRule="exact"/>
              <w:jc w:val="center"/>
              <w:rPr>
                <w:rFonts w:ascii="仿宋_GB2312" w:hAnsi="仿宋" w:eastAsia="仿宋_GB2312" w:cs="宋体"/>
                <w:sz w:val="24"/>
                <w:szCs w:val="24"/>
              </w:rPr>
            </w:pPr>
          </w:p>
        </w:tc>
      </w:tr>
    </w:tbl>
    <w:p>
      <w:pPr>
        <w:spacing w:line="560" w:lineRule="exact"/>
        <w:ind w:firstLine="460" w:firstLineChars="192"/>
        <w:rPr>
          <w:rFonts w:ascii="楷体" w:hAnsi="楷体" w:eastAsia="楷体"/>
          <w:sz w:val="24"/>
          <w:szCs w:val="24"/>
        </w:rPr>
      </w:pPr>
      <w:r>
        <w:rPr>
          <w:rFonts w:hint="eastAsia" w:ascii="楷体" w:hAnsi="楷体" w:eastAsia="楷体"/>
          <w:sz w:val="24"/>
          <w:szCs w:val="24"/>
        </w:rPr>
        <w:t>注</w:t>
      </w:r>
      <w:r>
        <w:rPr>
          <w:rFonts w:ascii="楷体" w:hAnsi="楷体" w:eastAsia="楷体"/>
          <w:sz w:val="24"/>
          <w:szCs w:val="24"/>
        </w:rPr>
        <w:t>1</w:t>
      </w:r>
      <w:r>
        <w:rPr>
          <w:rFonts w:hint="eastAsia" w:ascii="楷体" w:hAnsi="楷体" w:eastAsia="楷体"/>
          <w:sz w:val="24"/>
          <w:szCs w:val="24"/>
        </w:rPr>
        <w:t xml:space="preserve">：投资项目承诺效益各年度不同的，应分年度披露。 </w:t>
      </w:r>
    </w:p>
    <w:p>
      <w:pPr>
        <w:spacing w:line="560" w:lineRule="exact"/>
        <w:ind w:firstLine="460" w:firstLineChars="192"/>
        <w:rPr>
          <w:rFonts w:ascii="楷体" w:hAnsi="楷体" w:eastAsia="楷体"/>
          <w:sz w:val="24"/>
          <w:szCs w:val="24"/>
        </w:rPr>
      </w:pPr>
      <w:r>
        <w:rPr>
          <w:rFonts w:hint="eastAsia" w:ascii="楷体" w:hAnsi="楷体" w:eastAsia="楷体"/>
          <w:sz w:val="24"/>
          <w:szCs w:val="24"/>
        </w:rPr>
        <w:t>注2：截止日投资项目累计产能利用率是指投资项目达到预计可使用状态截止日期间，投资项目的实际产量与设计产能之比。</w:t>
      </w:r>
    </w:p>
    <w:p>
      <w:pPr>
        <w:tabs>
          <w:tab w:val="left" w:pos="0"/>
        </w:tabs>
        <w:adjustRightInd w:val="0"/>
        <w:snapToGrid w:val="0"/>
        <w:spacing w:line="560" w:lineRule="exact"/>
        <w:ind w:firstLine="600" w:firstLineChars="200"/>
        <w:rPr>
          <w:rFonts w:ascii="仿宋" w:hAnsi="仿宋"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WinCharSetFFFF-H">
    <w:altName w:val="方正舒体"/>
    <w:panose1 w:val="00000000000000000000"/>
    <w:charset w:val="86"/>
    <w:family w:val="auto"/>
    <w:pitch w:val="default"/>
    <w:sig w:usb0="00000000" w:usb1="00000000" w:usb2="00000010" w:usb3="00000000" w:csb0="00040000" w:csb1="00000000"/>
  </w:font>
  <w:font w:name="宋体-WinCharSetFFFF-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ÂËÎ_GB2312">
    <w:altName w:val="Calibri"/>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70079"/>
    </w:sdtPr>
    <w:sdtContent>
      <w:p>
        <w:pPr>
          <w:pStyle w:val="7"/>
          <w:jc w:val="center"/>
        </w:pPr>
        <w:r>
          <w:fldChar w:fldCharType="begin"/>
        </w:r>
        <w:r>
          <w:instrText xml:space="preserve"> PAGE   \* MERGEFORMAT </w:instrText>
        </w:r>
        <w:r>
          <w:fldChar w:fldCharType="separate"/>
        </w:r>
        <w:r>
          <w:rPr>
            <w:lang w:val="zh-CN"/>
          </w:rPr>
          <w:t>16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32C08"/>
    <w:multiLevelType w:val="multilevel"/>
    <w:tmpl w:val="16432C08"/>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
    <w:nsid w:val="4F400E15"/>
    <w:multiLevelType w:val="multilevel"/>
    <w:tmpl w:val="4F400E15"/>
    <w:lvl w:ilvl="0" w:tentative="0">
      <w:start w:val="1"/>
      <w:numFmt w:val="bullet"/>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3">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4"/>
  </w:num>
  <w:num w:numId="3">
    <w:abstractNumId w:val="0"/>
  </w:num>
  <w:num w:numId="4">
    <w:abstractNumId w:val="1"/>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05DC5"/>
    <w:rsid w:val="00017440"/>
    <w:rsid w:val="000215DB"/>
    <w:rsid w:val="00032463"/>
    <w:rsid w:val="00035A07"/>
    <w:rsid w:val="000375FD"/>
    <w:rsid w:val="00046E72"/>
    <w:rsid w:val="00063BED"/>
    <w:rsid w:val="00095E4D"/>
    <w:rsid w:val="000A1BF3"/>
    <w:rsid w:val="000A1E26"/>
    <w:rsid w:val="000B07FC"/>
    <w:rsid w:val="000B6044"/>
    <w:rsid w:val="000E3C59"/>
    <w:rsid w:val="000F2D46"/>
    <w:rsid w:val="001039DF"/>
    <w:rsid w:val="001044AF"/>
    <w:rsid w:val="00110C8C"/>
    <w:rsid w:val="0011603A"/>
    <w:rsid w:val="00120CF5"/>
    <w:rsid w:val="00126188"/>
    <w:rsid w:val="001368F4"/>
    <w:rsid w:val="0015611A"/>
    <w:rsid w:val="00161214"/>
    <w:rsid w:val="00173E73"/>
    <w:rsid w:val="001E5089"/>
    <w:rsid w:val="001F7509"/>
    <w:rsid w:val="00212929"/>
    <w:rsid w:val="00232B9D"/>
    <w:rsid w:val="00264C7F"/>
    <w:rsid w:val="00266DA9"/>
    <w:rsid w:val="00281D44"/>
    <w:rsid w:val="00281D93"/>
    <w:rsid w:val="00290CF0"/>
    <w:rsid w:val="00291DB8"/>
    <w:rsid w:val="0029448F"/>
    <w:rsid w:val="002A0E5D"/>
    <w:rsid w:val="002A7749"/>
    <w:rsid w:val="002C37D3"/>
    <w:rsid w:val="002E10C1"/>
    <w:rsid w:val="00300216"/>
    <w:rsid w:val="00306D91"/>
    <w:rsid w:val="00311C77"/>
    <w:rsid w:val="00311F57"/>
    <w:rsid w:val="00312996"/>
    <w:rsid w:val="00313A26"/>
    <w:rsid w:val="00316886"/>
    <w:rsid w:val="00316A4F"/>
    <w:rsid w:val="00344208"/>
    <w:rsid w:val="003459AF"/>
    <w:rsid w:val="003878F3"/>
    <w:rsid w:val="003B7FFC"/>
    <w:rsid w:val="003D41F7"/>
    <w:rsid w:val="003E0DC1"/>
    <w:rsid w:val="003E4B0A"/>
    <w:rsid w:val="00412966"/>
    <w:rsid w:val="0041687B"/>
    <w:rsid w:val="00451489"/>
    <w:rsid w:val="00460BFE"/>
    <w:rsid w:val="00471FF8"/>
    <w:rsid w:val="00477264"/>
    <w:rsid w:val="00496A60"/>
    <w:rsid w:val="004A3205"/>
    <w:rsid w:val="004B493E"/>
    <w:rsid w:val="004B5DEB"/>
    <w:rsid w:val="004D54A4"/>
    <w:rsid w:val="004D5D81"/>
    <w:rsid w:val="004E5386"/>
    <w:rsid w:val="005372A1"/>
    <w:rsid w:val="00537441"/>
    <w:rsid w:val="00540399"/>
    <w:rsid w:val="005443A9"/>
    <w:rsid w:val="00547519"/>
    <w:rsid w:val="00563B90"/>
    <w:rsid w:val="00574E1C"/>
    <w:rsid w:val="00582DEF"/>
    <w:rsid w:val="00585F55"/>
    <w:rsid w:val="00594A53"/>
    <w:rsid w:val="005B346A"/>
    <w:rsid w:val="005C49B4"/>
    <w:rsid w:val="005E7A22"/>
    <w:rsid w:val="0060240F"/>
    <w:rsid w:val="00611BEF"/>
    <w:rsid w:val="00612137"/>
    <w:rsid w:val="0062097A"/>
    <w:rsid w:val="00631267"/>
    <w:rsid w:val="00632C04"/>
    <w:rsid w:val="0065652D"/>
    <w:rsid w:val="00670247"/>
    <w:rsid w:val="006754DD"/>
    <w:rsid w:val="00686E15"/>
    <w:rsid w:val="006A206E"/>
    <w:rsid w:val="006B45CE"/>
    <w:rsid w:val="006B618B"/>
    <w:rsid w:val="006C2CF7"/>
    <w:rsid w:val="006C718B"/>
    <w:rsid w:val="00702498"/>
    <w:rsid w:val="00711EF8"/>
    <w:rsid w:val="00715AE7"/>
    <w:rsid w:val="0071679B"/>
    <w:rsid w:val="007175CC"/>
    <w:rsid w:val="00735469"/>
    <w:rsid w:val="00740DE7"/>
    <w:rsid w:val="00744E73"/>
    <w:rsid w:val="00762F04"/>
    <w:rsid w:val="00763FBD"/>
    <w:rsid w:val="00766DA1"/>
    <w:rsid w:val="007677B7"/>
    <w:rsid w:val="0077027A"/>
    <w:rsid w:val="00773B2C"/>
    <w:rsid w:val="00774EE2"/>
    <w:rsid w:val="00781166"/>
    <w:rsid w:val="007856CD"/>
    <w:rsid w:val="0079689B"/>
    <w:rsid w:val="007974E9"/>
    <w:rsid w:val="007C3DFA"/>
    <w:rsid w:val="007C416B"/>
    <w:rsid w:val="0083212F"/>
    <w:rsid w:val="00841E95"/>
    <w:rsid w:val="00842D10"/>
    <w:rsid w:val="0084706B"/>
    <w:rsid w:val="008827E6"/>
    <w:rsid w:val="008872C2"/>
    <w:rsid w:val="00895F4B"/>
    <w:rsid w:val="008D0982"/>
    <w:rsid w:val="008D215B"/>
    <w:rsid w:val="008E2FF0"/>
    <w:rsid w:val="008E43E4"/>
    <w:rsid w:val="008F1D0F"/>
    <w:rsid w:val="008F2906"/>
    <w:rsid w:val="00906C2E"/>
    <w:rsid w:val="00912802"/>
    <w:rsid w:val="00922DB1"/>
    <w:rsid w:val="00940169"/>
    <w:rsid w:val="009564A0"/>
    <w:rsid w:val="00962528"/>
    <w:rsid w:val="0097579E"/>
    <w:rsid w:val="00982FA1"/>
    <w:rsid w:val="009A54B4"/>
    <w:rsid w:val="009B2C22"/>
    <w:rsid w:val="009D687C"/>
    <w:rsid w:val="009F0406"/>
    <w:rsid w:val="009F1258"/>
    <w:rsid w:val="00A21F48"/>
    <w:rsid w:val="00A26B81"/>
    <w:rsid w:val="00A317FA"/>
    <w:rsid w:val="00A54920"/>
    <w:rsid w:val="00A64991"/>
    <w:rsid w:val="00A849B7"/>
    <w:rsid w:val="00AA1DF6"/>
    <w:rsid w:val="00AB0AED"/>
    <w:rsid w:val="00AB23D6"/>
    <w:rsid w:val="00AC6182"/>
    <w:rsid w:val="00AD52D4"/>
    <w:rsid w:val="00AE3238"/>
    <w:rsid w:val="00AF43FD"/>
    <w:rsid w:val="00AF4934"/>
    <w:rsid w:val="00B3338B"/>
    <w:rsid w:val="00B40B95"/>
    <w:rsid w:val="00B5596B"/>
    <w:rsid w:val="00B64496"/>
    <w:rsid w:val="00B66649"/>
    <w:rsid w:val="00B93D18"/>
    <w:rsid w:val="00BA1AD2"/>
    <w:rsid w:val="00BB2F95"/>
    <w:rsid w:val="00BD405C"/>
    <w:rsid w:val="00BE0F5C"/>
    <w:rsid w:val="00BE7978"/>
    <w:rsid w:val="00BF2790"/>
    <w:rsid w:val="00BF2ECD"/>
    <w:rsid w:val="00BF380D"/>
    <w:rsid w:val="00C03525"/>
    <w:rsid w:val="00C114FE"/>
    <w:rsid w:val="00C21E04"/>
    <w:rsid w:val="00C33BED"/>
    <w:rsid w:val="00C349B5"/>
    <w:rsid w:val="00C375FE"/>
    <w:rsid w:val="00C43A4D"/>
    <w:rsid w:val="00C463FF"/>
    <w:rsid w:val="00C578DC"/>
    <w:rsid w:val="00C65765"/>
    <w:rsid w:val="00C664EA"/>
    <w:rsid w:val="00C720D9"/>
    <w:rsid w:val="00C777F3"/>
    <w:rsid w:val="00C80904"/>
    <w:rsid w:val="00C872AE"/>
    <w:rsid w:val="00C94957"/>
    <w:rsid w:val="00C9766D"/>
    <w:rsid w:val="00CC117A"/>
    <w:rsid w:val="00CC3276"/>
    <w:rsid w:val="00CD0630"/>
    <w:rsid w:val="00CF401F"/>
    <w:rsid w:val="00D0213B"/>
    <w:rsid w:val="00D04E83"/>
    <w:rsid w:val="00D119FF"/>
    <w:rsid w:val="00D14999"/>
    <w:rsid w:val="00D30A0B"/>
    <w:rsid w:val="00D34649"/>
    <w:rsid w:val="00D36E56"/>
    <w:rsid w:val="00D403F1"/>
    <w:rsid w:val="00D44EFA"/>
    <w:rsid w:val="00D529CE"/>
    <w:rsid w:val="00D81F8E"/>
    <w:rsid w:val="00D947BC"/>
    <w:rsid w:val="00DA6929"/>
    <w:rsid w:val="00DC5603"/>
    <w:rsid w:val="00DD5D73"/>
    <w:rsid w:val="00E0568B"/>
    <w:rsid w:val="00E54AEE"/>
    <w:rsid w:val="00E90AB8"/>
    <w:rsid w:val="00E9150F"/>
    <w:rsid w:val="00EA3381"/>
    <w:rsid w:val="00EA4A09"/>
    <w:rsid w:val="00EB23B4"/>
    <w:rsid w:val="00EB7CDE"/>
    <w:rsid w:val="00EC5616"/>
    <w:rsid w:val="00EC75C8"/>
    <w:rsid w:val="00EF25C2"/>
    <w:rsid w:val="00EF3717"/>
    <w:rsid w:val="00F60B8D"/>
    <w:rsid w:val="00F62284"/>
    <w:rsid w:val="00F66EB0"/>
    <w:rsid w:val="00F71163"/>
    <w:rsid w:val="00F811C5"/>
    <w:rsid w:val="00F85B8B"/>
    <w:rsid w:val="00FA36FE"/>
    <w:rsid w:val="00FA7369"/>
    <w:rsid w:val="00FB6249"/>
    <w:rsid w:val="00FD3D46"/>
    <w:rsid w:val="00FE51B7"/>
    <w:rsid w:val="00FF0C84"/>
    <w:rsid w:val="06354228"/>
    <w:rsid w:val="07545496"/>
    <w:rsid w:val="1A9966B3"/>
    <w:rsid w:val="393670ED"/>
    <w:rsid w:val="3AC5307C"/>
    <w:rsid w:val="3F675313"/>
    <w:rsid w:val="4D1B2411"/>
    <w:rsid w:val="528F374E"/>
    <w:rsid w:val="5ECA6A10"/>
    <w:rsid w:val="632D1060"/>
    <w:rsid w:val="679D6653"/>
    <w:rsid w:val="67A55E99"/>
    <w:rsid w:val="6E79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22"/>
    <w:unhideWhenUsed/>
    <w:qFormat/>
    <w:uiPriority w:val="9"/>
    <w:pPr>
      <w:keepNext/>
      <w:keepLines/>
      <w:spacing w:line="415" w:lineRule="auto"/>
      <w:jc w:val="center"/>
      <w:outlineLvl w:val="1"/>
    </w:pPr>
    <w:rPr>
      <w:rFonts w:ascii="黑体" w:hAnsi="黑体" w:eastAsia="黑体" w:cstheme="majorBidi"/>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Body Text Indent 2"/>
    <w:basedOn w:val="1"/>
    <w:link w:val="20"/>
    <w:qFormat/>
    <w:uiPriority w:val="0"/>
    <w:pPr>
      <w:spacing w:line="600" w:lineRule="exact"/>
      <w:ind w:firstLine="600" w:firstLineChars="200"/>
    </w:pPr>
    <w:rPr>
      <w:rFonts w:ascii="仿宋_GB2312" w:hAnsi="宋体" w:eastAsia="仿宋_GB2312"/>
      <w:sz w:val="30"/>
      <w:szCs w:val="30"/>
    </w:rPr>
  </w:style>
  <w:style w:type="paragraph" w:styleId="6">
    <w:name w:val="Balloon Text"/>
    <w:basedOn w:val="1"/>
    <w:link w:val="24"/>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4"/>
    <w:next w:val="4"/>
    <w:link w:val="26"/>
    <w:unhideWhenUsed/>
    <w:qFormat/>
    <w:uiPriority w:val="99"/>
    <w:rPr>
      <w:b/>
      <w:bCs/>
    </w:rPr>
  </w:style>
  <w:style w:type="character" w:styleId="14">
    <w:name w:val="Hyperlink"/>
    <w:basedOn w:val="13"/>
    <w:qFormat/>
    <w:uiPriority w:val="99"/>
    <w:rPr>
      <w:color w:val="0000FF"/>
      <w:u w:val="single"/>
    </w:rPr>
  </w:style>
  <w:style w:type="character" w:styleId="15">
    <w:name w:val="annotation reference"/>
    <w:basedOn w:val="13"/>
    <w:unhideWhenUsed/>
    <w:qFormat/>
    <w:uiPriority w:val="99"/>
    <w:rPr>
      <w:sz w:val="21"/>
      <w:szCs w:val="21"/>
    </w:rPr>
  </w:style>
  <w:style w:type="character" w:customStyle="1" w:styleId="16">
    <w:name w:val="页脚 字符"/>
    <w:basedOn w:val="13"/>
    <w:link w:val="7"/>
    <w:qFormat/>
    <w:uiPriority w:val="99"/>
    <w:rPr>
      <w:rFonts w:ascii="Calibri" w:hAnsi="Calibri" w:eastAsia="宋体"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页眉 字符"/>
    <w:basedOn w:val="13"/>
    <w:link w:val="8"/>
    <w:semiHidden/>
    <w:qFormat/>
    <w:uiPriority w:val="99"/>
    <w:rPr>
      <w:rFonts w:ascii="Calibri" w:hAnsi="Calibri" w:eastAsia="宋体" w:cs="Times New Roman"/>
      <w:sz w:val="18"/>
      <w:szCs w:val="18"/>
    </w:rPr>
  </w:style>
  <w:style w:type="character" w:customStyle="1" w:styleId="19">
    <w:name w:val="正文文本缩进 2 Char"/>
    <w:basedOn w:val="13"/>
    <w:semiHidden/>
    <w:qFormat/>
    <w:uiPriority w:val="99"/>
    <w:rPr>
      <w:rFonts w:ascii="Calibri" w:hAnsi="Calibri" w:eastAsia="宋体" w:cs="Times New Roman"/>
    </w:rPr>
  </w:style>
  <w:style w:type="character" w:customStyle="1" w:styleId="20">
    <w:name w:val="正文文本缩进 2 字符"/>
    <w:basedOn w:val="13"/>
    <w:link w:val="5"/>
    <w:qFormat/>
    <w:uiPriority w:val="0"/>
    <w:rPr>
      <w:rFonts w:ascii="仿宋_GB2312" w:hAnsi="宋体" w:eastAsia="仿宋_GB2312" w:cs="Times New Roman"/>
      <w:sz w:val="30"/>
      <w:szCs w:val="30"/>
    </w:rPr>
  </w:style>
  <w:style w:type="character" w:customStyle="1" w:styleId="21">
    <w:name w:val="标题 1 字符"/>
    <w:basedOn w:val="13"/>
    <w:link w:val="2"/>
    <w:qFormat/>
    <w:uiPriority w:val="9"/>
    <w:rPr>
      <w:rFonts w:ascii="Calibri" w:hAnsi="Calibri" w:eastAsia="黑体" w:cs="Times New Roman"/>
      <w:b/>
      <w:bCs/>
      <w:kern w:val="44"/>
      <w:sz w:val="36"/>
      <w:szCs w:val="44"/>
    </w:rPr>
  </w:style>
  <w:style w:type="character" w:customStyle="1" w:styleId="22">
    <w:name w:val="标题 2 字符"/>
    <w:basedOn w:val="13"/>
    <w:link w:val="3"/>
    <w:qFormat/>
    <w:uiPriority w:val="9"/>
    <w:rPr>
      <w:rFonts w:ascii="黑体" w:hAnsi="黑体" w:eastAsia="黑体" w:cstheme="majorBidi"/>
      <w:b/>
      <w:bCs/>
      <w:kern w:val="2"/>
      <w:sz w:val="30"/>
      <w:szCs w:val="32"/>
    </w:rPr>
  </w:style>
  <w:style w:type="paragraph" w:customStyle="1" w:styleId="2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字符"/>
    <w:basedOn w:val="13"/>
    <w:link w:val="6"/>
    <w:semiHidden/>
    <w:qFormat/>
    <w:uiPriority w:val="99"/>
    <w:rPr>
      <w:rFonts w:ascii="Calibri" w:hAnsi="Calibri" w:eastAsia="宋体" w:cs="Times New Roman"/>
      <w:sz w:val="18"/>
      <w:szCs w:val="18"/>
    </w:rPr>
  </w:style>
  <w:style w:type="character" w:customStyle="1" w:styleId="25">
    <w:name w:val="批注文字 字符"/>
    <w:basedOn w:val="13"/>
    <w:link w:val="4"/>
    <w:semiHidden/>
    <w:qFormat/>
    <w:uiPriority w:val="99"/>
    <w:rPr>
      <w:rFonts w:ascii="Calibri" w:hAnsi="Calibri" w:eastAsia="宋体" w:cs="Times New Roman"/>
    </w:rPr>
  </w:style>
  <w:style w:type="character" w:customStyle="1" w:styleId="26">
    <w:name w:val="批注主题 字符"/>
    <w:basedOn w:val="25"/>
    <w:link w:val="11"/>
    <w:semiHidden/>
    <w:qFormat/>
    <w:uiPriority w:val="99"/>
    <w:rPr>
      <w:rFonts w:ascii="Calibri" w:hAnsi="Calibri" w:eastAsia="宋体" w:cs="Times New Roman"/>
      <w:b/>
      <w:bCs/>
    </w:rPr>
  </w:style>
  <w:style w:type="paragraph" w:customStyle="1" w:styleId="27">
    <w:name w:val="Revision"/>
    <w:hidden/>
    <w:semiHidden/>
    <w:uiPriority w:val="99"/>
    <w:rPr>
      <w:rFonts w:ascii="Calibri" w:hAnsi="Calibri" w:eastAsia="宋体" w:cs="Times New Roman"/>
      <w:kern w:val="2"/>
      <w:sz w:val="21"/>
      <w:szCs w:val="22"/>
      <w:lang w:val="en-US" w:eastAsia="zh-CN" w:bidi="ar-SA"/>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AAF6-B706-4237-B604-5DC3189620A5}">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1898</Words>
  <Characters>10823</Characters>
  <Lines>90</Lines>
  <Paragraphs>25</Paragraphs>
  <TotalTime>2</TotalTime>
  <ScaleCrop>false</ScaleCrop>
  <LinksUpToDate>false</LinksUpToDate>
  <CharactersWithSpaces>12696</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2022-04-23T14:36:00Z</dcterms:created>
  <dc:creator>whzhou</dc:creator>
  <cp:lastModifiedBy>whzhou</cp:lastModifiedBy>
  <cp:lastPrinted>2022-02-25T01:36:00Z</cp:lastPrinted>
  <dcterms:modified xsi:type="dcterms:W3CDTF">2025-03-27T08:10:21Z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53196421AC5E48838C371EC7E911A086_13</vt:lpwstr>
  </property>
</Properties>
</file>