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cs="仿宋_GB2312"/>
          <w:szCs w:val="30"/>
        </w:rPr>
      </w:pPr>
    </w:p>
    <w:p>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上海证券交易所上市公司自律监管指南第</w:t>
      </w:r>
      <w:r>
        <w:rPr>
          <w:rFonts w:ascii="黑体" w:hAnsi="黑体" w:eastAsia="黑体"/>
          <w:b/>
          <w:bCs/>
          <w:sz w:val="44"/>
          <w:szCs w:val="44"/>
        </w:rPr>
        <w:t>1号——公告格式</w:t>
      </w:r>
      <w:r>
        <w:rPr>
          <w:rFonts w:hint="eastAsia" w:ascii="黑体" w:hAnsi="黑体" w:eastAsia="黑体"/>
          <w:b/>
          <w:bCs/>
          <w:sz w:val="44"/>
          <w:szCs w:val="44"/>
        </w:rPr>
        <w:t>（2</w:t>
      </w:r>
      <w:r>
        <w:rPr>
          <w:rFonts w:ascii="黑体" w:hAnsi="黑体" w:eastAsia="黑体"/>
          <w:b/>
          <w:bCs/>
          <w:sz w:val="44"/>
          <w:szCs w:val="44"/>
        </w:rPr>
        <w:t>02</w:t>
      </w:r>
      <w:r>
        <w:rPr>
          <w:rFonts w:hint="eastAsia" w:ascii="黑体" w:hAnsi="黑体" w:eastAsia="黑体"/>
          <w:b/>
          <w:bCs/>
          <w:sz w:val="44"/>
          <w:szCs w:val="44"/>
        </w:rPr>
        <w:t>5年</w:t>
      </w:r>
      <w:r>
        <w:rPr>
          <w:rFonts w:hint="eastAsia" w:ascii="黑体" w:hAnsi="黑体" w:eastAsia="黑体"/>
          <w:b/>
          <w:bCs/>
          <w:sz w:val="44"/>
          <w:szCs w:val="44"/>
          <w:lang w:val="en-US" w:eastAsia="zh-CN"/>
        </w:rPr>
        <w:t>4</w:t>
      </w:r>
      <w:r>
        <w:rPr>
          <w:rFonts w:hint="eastAsia" w:ascii="黑体" w:hAnsi="黑体" w:eastAsia="黑体"/>
          <w:b/>
          <w:bCs/>
          <w:sz w:val="44"/>
          <w:szCs w:val="44"/>
        </w:rPr>
        <w:t>月修订）</w:t>
      </w:r>
    </w:p>
    <w:p>
      <w:pPr>
        <w:spacing w:line="560" w:lineRule="exact"/>
        <w:jc w:val="center"/>
        <w:rPr>
          <w:rFonts w:ascii="黑体" w:hAnsi="黑体" w:eastAsia="黑体"/>
          <w:sz w:val="36"/>
          <w:szCs w:val="36"/>
        </w:rPr>
      </w:pP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w:t>
      </w:r>
      <w:bookmarkStart w:id="1" w:name="_GoBack"/>
      <w:bookmarkEnd w:id="1"/>
      <w:r>
        <w:rPr>
          <w:rFonts w:ascii="仿宋_GB2312" w:hAnsi="Calibri" w:cs="Times New Roman"/>
          <w:color w:val="000000"/>
          <w:szCs w:val="30"/>
        </w:rPr>
        <w:t>》《中华人民共和国证券法》《上市公司信息披露管理办法》等法律、行政法规、部门规章、规范性文件及《上海证券交易所股票上市规则》（以下简称《股票上市规则》）</w:t>
      </w:r>
      <w:r>
        <w:rPr>
          <w:rFonts w:hint="eastAsia" w:ascii="仿宋_GB2312" w:hAnsi="Calibri" w:cs="Times New Roman"/>
          <w:color w:val="000000"/>
          <w:szCs w:val="30"/>
        </w:rPr>
        <w:t>等</w:t>
      </w:r>
      <w:r>
        <w:rPr>
          <w:rFonts w:ascii="仿宋_GB2312" w:hAnsi="Calibri" w:cs="Times New Roman"/>
          <w:color w:val="000000"/>
          <w:szCs w:val="30"/>
        </w:rPr>
        <w:t>，制定本指南。</w:t>
      </w:r>
    </w:p>
    <w:p>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hint="eastAsia" w:ascii="仿宋_GB2312" w:hAnsi="Calibri" w:cs="Times New Roman"/>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上市公司及相关信息披露义务人未依规履行信息披露义务的，应当自行承担相应的法律责任。</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第五条</w:t>
      </w:r>
      <w:r>
        <w:rPr>
          <w:rFonts w:ascii="仿宋_GB2312" w:hAnsi="Calibri" w:cs="Times New Roman"/>
          <w:color w:val="000000"/>
          <w:szCs w:val="30"/>
        </w:rPr>
        <w:t xml:space="preserve"> 本指南自</w:t>
      </w:r>
      <w:r>
        <w:rPr>
          <w:rFonts w:hint="eastAsia" w:ascii="仿宋_GB2312" w:hAnsi="Calibri" w:cs="Times New Roman"/>
          <w:color w:val="000000"/>
          <w:szCs w:val="30"/>
        </w:rPr>
        <w:t>发布之日起</w:t>
      </w:r>
      <w:r>
        <w:rPr>
          <w:rFonts w:ascii="仿宋_GB2312" w:hAnsi="Calibri" w:cs="Times New Roman"/>
          <w:color w:val="000000"/>
          <w:szCs w:val="30"/>
        </w:rPr>
        <w:t>施行。</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w:t>
      </w:r>
    </w:p>
    <w:p>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xml:space="preserve">附件： </w:t>
      </w:r>
    </w:p>
    <w:p>
      <w:pPr>
        <w:spacing w:line="560" w:lineRule="exact"/>
        <w:rPr>
          <w:rFonts w:ascii="仿宋_GB2312"/>
        </w:rPr>
      </w:pPr>
      <w:bookmarkStart w:id="0" w:name="_Hlk101508311"/>
      <w:r>
        <w:rPr>
          <w:rFonts w:hint="eastAsia" w:ascii="仿宋_GB2312"/>
        </w:rPr>
        <w:t>第一号 上市公司购买、出售资产公告（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第二号 上市公司对外投资公告（</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第三号</w:t>
      </w:r>
      <w:r>
        <w:rPr>
          <w:rFonts w:ascii="仿宋_GB2312" w:hAnsi="宋体" w:cs="宋体"/>
        </w:rPr>
        <w:t xml:space="preserve"> 上市公司证券投资、委托理财、期货和衍生品交易公告（</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第四号 上市公司为他人提供担保公告（</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第五号</w:t>
      </w:r>
      <w:r>
        <w:rPr>
          <w:rFonts w:hint="eastAsia" w:ascii="仿宋_GB2312"/>
        </w:rPr>
        <w:t xml:space="preserve"> </w:t>
      </w:r>
      <w:r>
        <w:rPr>
          <w:rFonts w:hint="eastAsia" w:ascii="仿宋_GB2312" w:hAnsi="宋体" w:cs="宋体"/>
        </w:rPr>
        <w:t>上市公司提供财务资助公告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第六号 上市公司关联交易公告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第七号 上市公司日常关联交易公告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第八号 上市公司签订战略框架协议公告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hAnsi="宋体" w:cs="宋体"/>
        </w:rPr>
      </w:pPr>
      <w:r>
        <w:rPr>
          <w:rFonts w:hint="eastAsia" w:ascii="仿宋_GB2312"/>
        </w:rPr>
        <w:t>第九号 上市公司向特定对象发行股票结果暨股本变动公告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第十号 上市公司股改限售股上市流通公告</w:t>
      </w:r>
    </w:p>
    <w:p>
      <w:pPr>
        <w:spacing w:line="560" w:lineRule="exact"/>
        <w:rPr>
          <w:rFonts w:ascii="仿宋_GB2312"/>
        </w:rPr>
      </w:pPr>
      <w:r>
        <w:rPr>
          <w:rFonts w:hint="eastAsia" w:ascii="仿宋_GB2312"/>
        </w:rPr>
        <w:t>第十一号 上市公司非股改限售股上市流通公告（</w:t>
      </w:r>
      <w:r>
        <w:rPr>
          <w:rFonts w:ascii="仿宋_GB2312"/>
        </w:rPr>
        <w:t>2023年4月修订）</w:t>
      </w:r>
    </w:p>
    <w:p>
      <w:pPr>
        <w:spacing w:line="560" w:lineRule="exact"/>
        <w:rPr>
          <w:rFonts w:ascii="仿宋_GB2312"/>
        </w:rPr>
      </w:pPr>
      <w:r>
        <w:rPr>
          <w:rFonts w:hint="eastAsia" w:ascii="仿宋_GB2312"/>
        </w:rPr>
        <w:t>第十二号 上市公司换股实施结果、股份变动暨新增股份上市（合并方）公告（</w:t>
      </w:r>
      <w:r>
        <w:rPr>
          <w:rFonts w:hint="eastAsia" w:ascii="仿宋_GB2312"/>
          <w:lang w:eastAsia="zh-CN"/>
        </w:rPr>
        <w:t>2025年4月</w:t>
      </w:r>
      <w:r>
        <w:rPr>
          <w:rFonts w:ascii="仿宋_GB2312"/>
        </w:rPr>
        <w:t>修订）</w:t>
      </w:r>
    </w:p>
    <w:p>
      <w:pPr>
        <w:spacing w:line="560" w:lineRule="exact"/>
        <w:rPr>
          <w:rFonts w:ascii="仿宋_GB2312"/>
        </w:rPr>
      </w:pPr>
      <w:r>
        <w:rPr>
          <w:rFonts w:hint="eastAsia" w:ascii="仿宋_GB2312"/>
        </w:rPr>
        <w:t xml:space="preserve">第十三号 </w:t>
      </w:r>
      <w:r>
        <w:rPr>
          <w:rFonts w:hint="eastAsia" w:ascii="仿宋_GB2312" w:hAnsi="宋体" w:cs="宋体"/>
        </w:rPr>
        <w:t>上市公司</w:t>
      </w:r>
      <w:r>
        <w:rPr>
          <w:rFonts w:hint="eastAsia" w:ascii="仿宋_GB2312"/>
        </w:rPr>
        <w:t>募集资金相关公告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 xml:space="preserve">第十四号 </w:t>
      </w:r>
      <w:r>
        <w:rPr>
          <w:rFonts w:ascii="仿宋_GB2312"/>
        </w:rPr>
        <w:t>上市公司独立董事提名人和候选人声明公告</w:t>
      </w:r>
      <w:r>
        <w:rPr>
          <w:rFonts w:ascii="仿宋_GB2312" w:hAnsi="宋体" w:cs="宋体"/>
        </w:rPr>
        <w:t>（</w:t>
      </w:r>
      <w:r>
        <w:rPr>
          <w:rFonts w:hint="eastAsia" w:ascii="仿宋_GB2312" w:hAnsi="宋体" w:cs="宋体"/>
          <w:lang w:eastAsia="zh-CN"/>
        </w:rPr>
        <w:t>2025年4月</w:t>
      </w:r>
      <w:r>
        <w:rPr>
          <w:rFonts w:ascii="仿宋_GB2312" w:hAnsi="宋体" w:cs="宋体"/>
        </w:rPr>
        <w:t>修订）</w:t>
      </w:r>
    </w:p>
    <w:p>
      <w:pPr>
        <w:spacing w:line="560" w:lineRule="exact"/>
        <w:rPr>
          <w:rFonts w:ascii="仿宋_GB2312"/>
        </w:rPr>
      </w:pPr>
      <w:r>
        <w:rPr>
          <w:rFonts w:hint="eastAsia" w:ascii="仿宋_GB2312"/>
        </w:rPr>
        <w:t>第十五号 上市公司董事会决议公告（</w:t>
      </w:r>
      <w:r>
        <w:rPr>
          <w:rFonts w:hint="eastAsia" w:ascii="仿宋_GB2312"/>
          <w:lang w:eastAsia="zh-CN"/>
        </w:rPr>
        <w:t>2025年4月</w:t>
      </w:r>
      <w:r>
        <w:rPr>
          <w:rFonts w:ascii="仿宋_GB2312"/>
        </w:rPr>
        <w:t>修订）</w:t>
      </w:r>
    </w:p>
    <w:p>
      <w:pPr>
        <w:spacing w:line="560" w:lineRule="exact"/>
        <w:rPr>
          <w:rFonts w:ascii="仿宋_GB2312"/>
        </w:rPr>
      </w:pPr>
      <w:r>
        <w:rPr>
          <w:rFonts w:hint="eastAsia" w:ascii="仿宋_GB2312"/>
        </w:rPr>
        <w:t>第十六号 上市公司监事会决议公告</w:t>
      </w:r>
    </w:p>
    <w:p>
      <w:pPr>
        <w:spacing w:line="560" w:lineRule="exact"/>
        <w:rPr>
          <w:rFonts w:ascii="仿宋_GB2312"/>
        </w:rPr>
      </w:pPr>
      <w:r>
        <w:rPr>
          <w:rFonts w:hint="eastAsia" w:ascii="仿宋_GB2312"/>
        </w:rPr>
        <w:t>第十七号 上市公司召开股东会通知公告（董事会召集）（</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第十八号 上市公司股东会决议公告（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第十九号 上市公司股东会延期公告（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第二十号 上市公司取消股东会公告（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第二十一号 上市公司股东会取消议案公告（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第二十二号 上市公司股东会增加临时提案公告（</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第二十三号</w:t>
      </w:r>
      <w:r>
        <w:rPr>
          <w:rFonts w:hint="eastAsia" w:ascii="仿宋_GB2312"/>
        </w:rPr>
        <w:t xml:space="preserve"> </w:t>
      </w:r>
      <w:r>
        <w:rPr>
          <w:rFonts w:hint="eastAsia" w:ascii="仿宋_GB2312" w:hAnsi="宋体" w:cs="宋体"/>
        </w:rPr>
        <w:t>上市公司公开征集提案权、投票权公告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第二十四号 上市公司审计委员会或股东自行召集股东会的公告（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第二十五号 上市公司股东会更正补充公告（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第二十六号 上市公司股票交易异常波动、严重异常波动公告（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第二十七号 上市公司澄清公告（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第二十八号 上市公司业绩预告</w:t>
      </w:r>
      <w:r>
        <w:rPr>
          <w:rFonts w:hint="eastAsia" w:ascii="仿宋_GB2312" w:hAnsi="宋体" w:cs="宋体"/>
        </w:rPr>
        <w:t>（</w:t>
      </w:r>
      <w:r>
        <w:rPr>
          <w:rFonts w:hint="eastAsia" w:ascii="仿宋_GB2312"/>
        </w:rPr>
        <w:t>快报</w:t>
      </w:r>
      <w:r>
        <w:rPr>
          <w:rFonts w:hint="eastAsia" w:ascii="仿宋_GB2312" w:hAnsi="宋体" w:cs="宋体"/>
        </w:rPr>
        <w:t>）及更正公告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第二十九号 上市公司</w:t>
      </w:r>
      <w:r>
        <w:rPr>
          <w:rFonts w:hint="eastAsia" w:ascii="仿宋_GB2312" w:hAnsi="宋体" w:cs="宋体"/>
        </w:rPr>
        <w:t>重大</w:t>
      </w:r>
      <w:r>
        <w:rPr>
          <w:rFonts w:hint="eastAsia" w:ascii="仿宋_GB2312"/>
        </w:rPr>
        <w:t>诉讼</w:t>
      </w:r>
      <w:r>
        <w:rPr>
          <w:rFonts w:hint="eastAsia" w:ascii="仿宋_GB2312" w:hAnsi="宋体" w:cs="宋体"/>
        </w:rPr>
        <w:t>（</w:t>
      </w:r>
      <w:r>
        <w:rPr>
          <w:rFonts w:hint="eastAsia" w:ascii="仿宋_GB2312"/>
        </w:rPr>
        <w:t>仲裁</w:t>
      </w:r>
      <w:r>
        <w:rPr>
          <w:rFonts w:hint="eastAsia" w:ascii="仿宋_GB2312" w:hAnsi="宋体" w:cs="宋体"/>
        </w:rPr>
        <w:t>）</w:t>
      </w:r>
      <w:r>
        <w:rPr>
          <w:rFonts w:hint="eastAsia" w:ascii="仿宋_GB2312"/>
        </w:rPr>
        <w:t>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hAnsi="宋体" w:cs="宋体"/>
        </w:rPr>
        <w:t>第三十号</w:t>
      </w:r>
      <w:r>
        <w:rPr>
          <w:rFonts w:hint="eastAsia" w:ascii="仿宋_GB2312"/>
        </w:rPr>
        <w:t xml:space="preserve"> </w:t>
      </w:r>
      <w:r>
        <w:rPr>
          <w:rFonts w:hint="eastAsia" w:ascii="仿宋_GB2312" w:hAnsi="宋体" w:cs="宋体"/>
        </w:rPr>
        <w:t>上市公司变更公司全称、证券简称（实施）公告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hAnsi="宋体" w:cs="宋体"/>
        </w:rPr>
        <w:t>第三十一号</w:t>
      </w:r>
      <w:r>
        <w:rPr>
          <w:rFonts w:hint="eastAsia" w:ascii="仿宋_GB2312"/>
        </w:rPr>
        <w:t xml:space="preserve">  </w:t>
      </w:r>
      <w:r>
        <w:rPr>
          <w:rFonts w:hint="eastAsia" w:ascii="仿宋_GB2312" w:hAnsi="宋体" w:cs="宋体"/>
        </w:rPr>
        <w:t>上市公司股份质押（冻结、标记、解质、解冻、解除标记）公告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第三十二号 上市公司获得各类补助的公告（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 xml:space="preserve">第三十三号 </w:t>
      </w:r>
      <w:r>
        <w:rPr>
          <w:rFonts w:hint="eastAsia" w:ascii="仿宋_GB2312" w:hAnsi="宋体" w:cs="宋体"/>
        </w:rPr>
        <w:t>会计差错更正、会计政策或会计估计变更公告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第三十四号 上市公司续聘</w:t>
      </w:r>
      <w:r>
        <w:rPr>
          <w:rFonts w:hint="eastAsia" w:ascii="仿宋_GB2312" w:hAnsi="宋体" w:cs="宋体"/>
        </w:rPr>
        <w:t>、</w:t>
      </w:r>
      <w:r>
        <w:rPr>
          <w:rFonts w:hint="eastAsia" w:ascii="仿宋_GB2312"/>
        </w:rPr>
        <w:t>变更会计师事务所公告（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第三十五号 上市公司利润分配、公积金转增股本方案公告（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第三十六号 上市公司权益分派实施（结果）公告（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第三十七号 上市公司投资者说明会预告公告</w:t>
      </w:r>
    </w:p>
    <w:p>
      <w:pPr>
        <w:spacing w:line="560" w:lineRule="exact"/>
        <w:rPr>
          <w:rFonts w:ascii="仿宋_GB2312"/>
        </w:rPr>
      </w:pPr>
      <w:r>
        <w:rPr>
          <w:rFonts w:hint="eastAsia" w:ascii="仿宋_GB2312"/>
        </w:rPr>
        <w:t>第三十八号 上市公司回购股份方案、进展公告（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第三十九号 上市公司回购股份实施结果暨股份变动公告（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第四十号 上市公司通知债权人公告（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第四十一号 上市公司</w:t>
      </w:r>
      <w:r>
        <w:rPr>
          <w:rFonts w:hint="eastAsia" w:ascii="仿宋_GB2312" w:hAnsi="宋体" w:cs="宋体"/>
        </w:rPr>
        <w:t>可转换公司债券</w:t>
      </w:r>
      <w:r>
        <w:rPr>
          <w:rFonts w:hint="eastAsia" w:ascii="仿宋_GB2312"/>
        </w:rPr>
        <w:t>相关公告（</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第四十二号</w:t>
      </w:r>
      <w:r>
        <w:rPr>
          <w:rFonts w:hint="eastAsia" w:ascii="仿宋_GB2312"/>
        </w:rPr>
        <w:t xml:space="preserve"> </w:t>
      </w:r>
      <w:r>
        <w:rPr>
          <w:rFonts w:hint="eastAsia" w:ascii="仿宋_GB2312" w:hAnsi="宋体" w:cs="宋体"/>
        </w:rPr>
        <w:t>上市公司股权激励相关公告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第四十三号 上市公司现金选择权</w:t>
      </w:r>
      <w:r>
        <w:rPr>
          <w:rFonts w:hint="eastAsia" w:ascii="仿宋_GB2312" w:hAnsi="宋体" w:cs="宋体"/>
        </w:rPr>
        <w:t>实施</w:t>
      </w:r>
      <w:r>
        <w:rPr>
          <w:rFonts w:hint="eastAsia" w:ascii="仿宋_GB2312"/>
        </w:rPr>
        <w:t>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第四十四号 上市公司要约收购申报公告（</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第四十五号 上市公司股东公开征集股份受让方公告</w:t>
      </w:r>
    </w:p>
    <w:p>
      <w:pPr>
        <w:spacing w:line="560" w:lineRule="exact"/>
        <w:rPr>
          <w:rFonts w:ascii="仿宋_GB2312"/>
        </w:rPr>
      </w:pPr>
      <w:r>
        <w:rPr>
          <w:rFonts w:hint="eastAsia" w:ascii="仿宋_GB2312"/>
        </w:rPr>
        <w:t>第四十六号 权益变动相关提示性公告（</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第四十七号</w:t>
      </w:r>
      <w:r>
        <w:rPr>
          <w:rFonts w:hint="eastAsia" w:ascii="仿宋_GB2312"/>
        </w:rPr>
        <w:t xml:space="preserve"> </w:t>
      </w:r>
      <w:r>
        <w:rPr>
          <w:rFonts w:hint="eastAsia" w:ascii="仿宋_GB2312" w:hAnsi="宋体" w:cs="宋体"/>
        </w:rPr>
        <w:t>上市公司股东及董事、高管增持股份情况、计划、进展、结果公告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hAnsi="宋体" w:cs="宋体"/>
        </w:rPr>
      </w:pPr>
      <w:r>
        <w:rPr>
          <w:rFonts w:hint="eastAsia" w:ascii="仿宋_GB2312" w:hAnsi="宋体" w:cs="宋体"/>
        </w:rPr>
        <w:t>第四十八号</w:t>
      </w:r>
      <w:r>
        <w:rPr>
          <w:rFonts w:hint="eastAsia" w:ascii="仿宋_GB2312"/>
        </w:rPr>
        <w:t xml:space="preserve"> </w:t>
      </w:r>
      <w:r>
        <w:rPr>
          <w:rFonts w:hint="eastAsia" w:ascii="仿宋_GB2312" w:hAnsi="宋体" w:cs="宋体"/>
        </w:rPr>
        <w:t>上市公司股东及董事、高管集中竞价减持股份计划、进展、结果公告</w:t>
      </w:r>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第四十九号 上市公司停牌公告</w:t>
      </w:r>
    </w:p>
    <w:p>
      <w:pPr>
        <w:spacing w:line="560" w:lineRule="exact"/>
        <w:rPr>
          <w:rFonts w:ascii="仿宋_GB2312" w:hAnsi="宋体" w:cs="宋体"/>
        </w:rPr>
      </w:pPr>
      <w:r>
        <w:rPr>
          <w:rFonts w:hint="eastAsia" w:ascii="仿宋_GB2312" w:hAnsi="宋体" w:cs="宋体"/>
        </w:rPr>
        <w:t>第五十号</w:t>
      </w:r>
      <w:r>
        <w:rPr>
          <w:rFonts w:hint="eastAsia" w:ascii="仿宋_GB2312"/>
        </w:rPr>
        <w:t xml:space="preserve"> </w:t>
      </w:r>
      <w:r>
        <w:rPr>
          <w:rFonts w:hint="eastAsia" w:ascii="仿宋_GB2312" w:hAnsi="宋体" w:cs="宋体"/>
        </w:rPr>
        <w:t>上市公司股票风险警示及终止上市相关事项公告（2024年5月修订）</w:t>
      </w:r>
    </w:p>
    <w:p>
      <w:pPr>
        <w:spacing w:line="560" w:lineRule="exact"/>
        <w:rPr>
          <w:rFonts w:ascii="仿宋_GB2312"/>
        </w:rPr>
      </w:pPr>
      <w:r>
        <w:rPr>
          <w:rFonts w:hint="eastAsia" w:ascii="仿宋_GB2312" w:hAnsi="宋体" w:cs="宋体"/>
        </w:rPr>
        <w:t>第五十一号</w:t>
      </w:r>
      <w:r>
        <w:rPr>
          <w:rFonts w:hint="eastAsia" w:ascii="仿宋_GB2312"/>
        </w:rPr>
        <w:t xml:space="preserve"> </w:t>
      </w:r>
      <w:r>
        <w:rPr>
          <w:rFonts w:hint="eastAsia" w:ascii="仿宋_GB2312" w:hAnsi="宋体" w:cs="宋体"/>
        </w:rPr>
        <w:t>上市公司破产重整等事项公告</w:t>
      </w:r>
    </w:p>
    <w:p>
      <w:pPr>
        <w:spacing w:line="560" w:lineRule="exact"/>
        <w:rPr>
          <w:rFonts w:ascii="仿宋_GB2312"/>
        </w:rPr>
      </w:pPr>
      <w:r>
        <w:rPr>
          <w:rFonts w:hint="eastAsia" w:ascii="仿宋_GB2312"/>
        </w:rPr>
        <w:t>第五十二号 上市公司季度报告</w:t>
      </w:r>
      <w:bookmarkEnd w:id="0"/>
      <w:r>
        <w:rPr>
          <w:rFonts w:hint="eastAsia" w:ascii="仿宋_GB2312"/>
        </w:rPr>
        <w:t>（</w:t>
      </w:r>
      <w:r>
        <w:rPr>
          <w:rFonts w:hint="eastAsia" w:ascii="仿宋_GB2312"/>
          <w:lang w:eastAsia="zh-CN"/>
        </w:rPr>
        <w:t>2025年4月</w:t>
      </w:r>
      <w:r>
        <w:rPr>
          <w:rFonts w:hint="eastAsia" w:ascii="仿宋_GB2312"/>
        </w:rPr>
        <w:t>修订）</w:t>
      </w:r>
    </w:p>
    <w:p>
      <w:pPr>
        <w:spacing w:line="560" w:lineRule="exact"/>
        <w:rPr>
          <w:rFonts w:ascii="仿宋_GB2312"/>
        </w:rPr>
      </w:pPr>
      <w:r>
        <w:rPr>
          <w:rFonts w:hint="eastAsia" w:ascii="仿宋_GB2312"/>
        </w:rPr>
        <w:t>第五十三号 上市公司估值提升计划公告</w:t>
      </w:r>
    </w:p>
    <w:p>
      <w:pPr>
        <w:spacing w:line="560" w:lineRule="exact"/>
        <w:rPr>
          <w:rFonts w:ascii="仿宋_GB2312"/>
        </w:rPr>
      </w:pPr>
      <w:r>
        <w:rPr>
          <w:rFonts w:hint="eastAsia" w:ascii="仿宋_GB2312"/>
        </w:rPr>
        <w:t>第五十四号 上市公司董事、高级管理人员离任公告</w:t>
      </w:r>
    </w:p>
    <w:p>
      <w:pPr>
        <w:widowControl/>
        <w:shd w:val="clear" w:color="auto" w:fill="FFFFFF"/>
        <w:spacing w:line="560" w:lineRule="exact"/>
        <w:jc w:val="left"/>
        <w:rPr>
          <w:rFonts w:ascii="仿宋_GB2312" w:hAnsi="Calibri" w:cs="Times New Roman"/>
          <w:color w:val="000000"/>
          <w:szCs w:val="30"/>
        </w:rPr>
      </w:pPr>
      <w:r>
        <w:rPr>
          <w:rFonts w:hint="eastAsia" w:ascii="仿宋_GB2312" w:hAnsi="Calibri" w:cs="Times New Roman"/>
          <w:color w:val="000000"/>
          <w:szCs w:val="30"/>
        </w:rPr>
        <w:t>第五十五号 上市公司股东协议转让股份、过户完成公告</w:t>
      </w:r>
    </w:p>
    <w:p>
      <w:pPr>
        <w:widowControl/>
        <w:shd w:val="clear" w:color="auto" w:fill="FFFFFF"/>
        <w:spacing w:line="560" w:lineRule="exact"/>
        <w:jc w:val="left"/>
        <w:rPr>
          <w:rFonts w:ascii="仿宋_GB2312" w:hAnsi="Calibri" w:cs="Times New Roman"/>
          <w:color w:val="00000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309715"/>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7D3358"/>
    <w:rsid w:val="00027622"/>
    <w:rsid w:val="00055844"/>
    <w:rsid w:val="000604B3"/>
    <w:rsid w:val="00060BB1"/>
    <w:rsid w:val="00077906"/>
    <w:rsid w:val="0009441C"/>
    <w:rsid w:val="000A0117"/>
    <w:rsid w:val="000C0853"/>
    <w:rsid w:val="00106616"/>
    <w:rsid w:val="00142051"/>
    <w:rsid w:val="001462D2"/>
    <w:rsid w:val="001966D9"/>
    <w:rsid w:val="001A1C15"/>
    <w:rsid w:val="001D40F3"/>
    <w:rsid w:val="00231F55"/>
    <w:rsid w:val="00246303"/>
    <w:rsid w:val="00270369"/>
    <w:rsid w:val="00273C35"/>
    <w:rsid w:val="002913FB"/>
    <w:rsid w:val="002A5A81"/>
    <w:rsid w:val="002B5A8E"/>
    <w:rsid w:val="002F2AA2"/>
    <w:rsid w:val="002F3724"/>
    <w:rsid w:val="002F6EB7"/>
    <w:rsid w:val="00307C86"/>
    <w:rsid w:val="00346994"/>
    <w:rsid w:val="00361339"/>
    <w:rsid w:val="00373627"/>
    <w:rsid w:val="003A3C0A"/>
    <w:rsid w:val="00407C10"/>
    <w:rsid w:val="0042019B"/>
    <w:rsid w:val="004628C1"/>
    <w:rsid w:val="004769E9"/>
    <w:rsid w:val="004C435C"/>
    <w:rsid w:val="00546789"/>
    <w:rsid w:val="0055534E"/>
    <w:rsid w:val="00570497"/>
    <w:rsid w:val="005B41EC"/>
    <w:rsid w:val="005D50F8"/>
    <w:rsid w:val="005D5DC9"/>
    <w:rsid w:val="005F44DF"/>
    <w:rsid w:val="00693943"/>
    <w:rsid w:val="006A42CC"/>
    <w:rsid w:val="007016D4"/>
    <w:rsid w:val="00720590"/>
    <w:rsid w:val="00740568"/>
    <w:rsid w:val="007420FC"/>
    <w:rsid w:val="007508F9"/>
    <w:rsid w:val="00795E33"/>
    <w:rsid w:val="00797451"/>
    <w:rsid w:val="007A0E18"/>
    <w:rsid w:val="007B1237"/>
    <w:rsid w:val="007C3766"/>
    <w:rsid w:val="007D2E0C"/>
    <w:rsid w:val="007D3358"/>
    <w:rsid w:val="0083067C"/>
    <w:rsid w:val="00852062"/>
    <w:rsid w:val="00860E88"/>
    <w:rsid w:val="00866CD9"/>
    <w:rsid w:val="00873EC9"/>
    <w:rsid w:val="008864B6"/>
    <w:rsid w:val="00891711"/>
    <w:rsid w:val="00964317"/>
    <w:rsid w:val="00967FBE"/>
    <w:rsid w:val="009C5AC4"/>
    <w:rsid w:val="009D6A9C"/>
    <w:rsid w:val="00A07C6A"/>
    <w:rsid w:val="00A75458"/>
    <w:rsid w:val="00A82576"/>
    <w:rsid w:val="00A85526"/>
    <w:rsid w:val="00AB63C2"/>
    <w:rsid w:val="00B01686"/>
    <w:rsid w:val="00B03384"/>
    <w:rsid w:val="00B1409E"/>
    <w:rsid w:val="00B46A99"/>
    <w:rsid w:val="00B60F34"/>
    <w:rsid w:val="00B77FE6"/>
    <w:rsid w:val="00BB15D3"/>
    <w:rsid w:val="00BB419C"/>
    <w:rsid w:val="00BB4A5F"/>
    <w:rsid w:val="00BD2A3C"/>
    <w:rsid w:val="00BD612B"/>
    <w:rsid w:val="00C113E0"/>
    <w:rsid w:val="00C64E8E"/>
    <w:rsid w:val="00C65033"/>
    <w:rsid w:val="00C667AA"/>
    <w:rsid w:val="00CB1EB0"/>
    <w:rsid w:val="00CF2CE2"/>
    <w:rsid w:val="00D15CA7"/>
    <w:rsid w:val="00D24E3B"/>
    <w:rsid w:val="00D31491"/>
    <w:rsid w:val="00D45D35"/>
    <w:rsid w:val="00D76967"/>
    <w:rsid w:val="00D83D31"/>
    <w:rsid w:val="00D96760"/>
    <w:rsid w:val="00DE4D37"/>
    <w:rsid w:val="00DF0D42"/>
    <w:rsid w:val="00E06681"/>
    <w:rsid w:val="00E16310"/>
    <w:rsid w:val="00E26688"/>
    <w:rsid w:val="00E475B9"/>
    <w:rsid w:val="00E919C6"/>
    <w:rsid w:val="00EA6841"/>
    <w:rsid w:val="00F063CE"/>
    <w:rsid w:val="00F24A39"/>
    <w:rsid w:val="00F41102"/>
    <w:rsid w:val="00F5411F"/>
    <w:rsid w:val="00F56FAD"/>
    <w:rsid w:val="00F85160"/>
    <w:rsid w:val="00FA5A6E"/>
    <w:rsid w:val="00FF03E8"/>
    <w:rsid w:val="03D461A4"/>
    <w:rsid w:val="04190023"/>
    <w:rsid w:val="041B0A5C"/>
    <w:rsid w:val="0AED2404"/>
    <w:rsid w:val="10AD196B"/>
    <w:rsid w:val="137B2B33"/>
    <w:rsid w:val="1727449E"/>
    <w:rsid w:val="17DD5758"/>
    <w:rsid w:val="19CB627C"/>
    <w:rsid w:val="1C8447C6"/>
    <w:rsid w:val="1E4E40B2"/>
    <w:rsid w:val="22C1179B"/>
    <w:rsid w:val="26094E03"/>
    <w:rsid w:val="283231CF"/>
    <w:rsid w:val="32B76217"/>
    <w:rsid w:val="35A83917"/>
    <w:rsid w:val="4CC63C27"/>
    <w:rsid w:val="55FD4C0F"/>
    <w:rsid w:val="57D91A30"/>
    <w:rsid w:val="598073C4"/>
    <w:rsid w:val="5A7B41DE"/>
    <w:rsid w:val="5ADC1C9D"/>
    <w:rsid w:val="65B6666E"/>
    <w:rsid w:val="6B5B6B3F"/>
    <w:rsid w:val="6BB73662"/>
    <w:rsid w:val="6FEC4289"/>
    <w:rsid w:val="795F0A6C"/>
    <w:rsid w:val="796336E5"/>
    <w:rsid w:val="7EF46899"/>
    <w:rsid w:val="7FBD0C15"/>
    <w:rsid w:val="BBFD5065"/>
    <w:rsid w:val="BFB335AD"/>
    <w:rsid w:val="BFB36E49"/>
    <w:rsid w:val="CDBF94B1"/>
    <w:rsid w:val="D7697889"/>
    <w:rsid w:val="EE7E4FB2"/>
    <w:rsid w:val="F5D384F4"/>
    <w:rsid w:val="F7BD55D7"/>
    <w:rsid w:val="FFAFD888"/>
    <w:rsid w:val="FFBE9E22"/>
    <w:rsid w:val="FFFA1E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kern w:val="2"/>
      <w:sz w:val="18"/>
      <w:szCs w:val="18"/>
    </w:rPr>
  </w:style>
  <w:style w:type="character" w:customStyle="1" w:styleId="13">
    <w:name w:val="页脚 Char"/>
    <w:basedOn w:val="8"/>
    <w:link w:val="4"/>
    <w:qFormat/>
    <w:uiPriority w:val="99"/>
    <w:rPr>
      <w:kern w:val="2"/>
      <w:sz w:val="18"/>
      <w:szCs w:val="18"/>
    </w:rPr>
  </w:style>
  <w:style w:type="paragraph" w:customStyle="1" w:styleId="14">
    <w:name w:val="修订1"/>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347</Words>
  <Characters>1979</Characters>
  <Lines>16</Lines>
  <Paragraphs>4</Paragraphs>
  <TotalTime>51</TotalTime>
  <ScaleCrop>false</ScaleCrop>
  <LinksUpToDate>false</LinksUpToDate>
  <CharactersWithSpaces>2322</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2024-01-02T10:47:00Z</dcterms:created>
  <dc:creator>whzhou</dc:creator>
  <cp:lastModifiedBy>whzhou</cp:lastModifiedBy>
  <dcterms:modified xsi:type="dcterms:W3CDTF">2025-04-07T00:44:58Z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193053BFEDE54B77BB83E6230F3D0BAE_13</vt:lpwstr>
  </property>
</Properties>
</file>