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r>
        <w:rPr>
          <w:rFonts w:hint="eastAsia" w:ascii="黑体" w:hAnsi="黑体" w:eastAsia="黑体"/>
          <w:b/>
          <w:bCs/>
          <w:sz w:val="36"/>
          <w:szCs w:val="36"/>
        </w:rPr>
        <w:t>第四十七号 上市公司股东及董事、高管增持股份情况、计划、进展、结果公告</w:t>
      </w:r>
    </w:p>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本所《上市公司自律监管指引</w:t>
      </w:r>
      <w:bookmarkStart w:id="7" w:name="_GoBack"/>
      <w:bookmarkEnd w:id="7"/>
      <w:r>
        <w:rPr>
          <w:rFonts w:hint="eastAsia" w:ascii="仿宋_GB2312" w:eastAsia="仿宋_GB2312"/>
          <w:color w:val="000000"/>
          <w:sz w:val="30"/>
          <w:szCs w:val="30"/>
        </w:rPr>
        <w:t>第</w:t>
      </w:r>
      <w:r>
        <w:rPr>
          <w:rFonts w:ascii="仿宋_GB2312" w:eastAsia="仿宋_GB2312"/>
          <w:color w:val="000000"/>
          <w:sz w:val="30"/>
          <w:szCs w:val="30"/>
        </w:rPr>
        <w:t>8</w:t>
      </w:r>
      <w:r>
        <w:rPr>
          <w:rFonts w:hint="eastAsia" w:ascii="仿宋_GB2312" w:eastAsia="仿宋_GB2312"/>
          <w:color w:val="000000"/>
          <w:sz w:val="30"/>
          <w:szCs w:val="30"/>
        </w:rPr>
        <w:t>号——股份变动管理》规定的大股东在未披露股份增持计划的情况下，首次披露其股份增持情况并且拟继续增持的，或者在增持前拟提前披露增持计划的，适用本公告格式进行披露。</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上市公司其他股东及董事、高级管理人员（以下简称高管）披露拟通过证券交易所集中竞价交易增持股份计划的，参照适用本公告格式。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A+H股上市公司的</w:t>
      </w:r>
      <w:r>
        <w:rPr>
          <w:rFonts w:hint="eastAsia" w:ascii="仿宋_GB2312" w:eastAsia="仿宋_GB2312"/>
          <w:color w:val="000000"/>
          <w:sz w:val="30"/>
          <w:szCs w:val="30"/>
        </w:rPr>
        <w:t>相关股东或董事、高管仅增持</w:t>
      </w:r>
      <w:r>
        <w:rPr>
          <w:rFonts w:ascii="仿宋_GB2312" w:eastAsia="仿宋_GB2312"/>
          <w:color w:val="000000"/>
          <w:sz w:val="30"/>
          <w:szCs w:val="30"/>
        </w:rPr>
        <w:t>H股股份的，不适用本</w:t>
      </w:r>
      <w:r>
        <w:rPr>
          <w:rFonts w:hint="eastAsia" w:ascii="仿宋_GB2312" w:eastAsia="仿宋_GB2312"/>
          <w:color w:val="000000"/>
          <w:sz w:val="30"/>
          <w:szCs w:val="30"/>
        </w:rPr>
        <w:t>公告格式</w:t>
      </w:r>
      <w:r>
        <w:rPr>
          <w:rFonts w:ascii="仿宋_GB2312" w:eastAsia="仿宋_GB2312"/>
          <w:color w:val="000000"/>
          <w:sz w:val="30"/>
          <w:szCs w:val="30"/>
        </w:rPr>
        <w:t>，但应当遵守A股和H股市场同步信息披露的相关规定。</w:t>
      </w:r>
    </w:p>
    <w:p>
      <w:pPr>
        <w:autoSpaceDE w:val="0"/>
        <w:autoSpaceDN w:val="0"/>
        <w:adjustRightInd w:val="0"/>
        <w:spacing w:line="540" w:lineRule="exact"/>
        <w:jc w:val="center"/>
        <w:rPr>
          <w:rFonts w:ascii="仿宋_GB2312" w:hAnsi="宋体" w:eastAsia="仿宋_GB2312"/>
          <w:color w:val="000000"/>
          <w:sz w:val="28"/>
          <w:szCs w:val="28"/>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股份有限公司股东及董事、高管增持股份</w:t>
      </w: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情况</w:t>
      </w:r>
      <w:r>
        <w:rPr>
          <w:rFonts w:ascii="仿宋_GB2312" w:hAnsi="宋体" w:eastAsia="仿宋_GB2312"/>
          <w:color w:val="000000"/>
          <w:sz w:val="30"/>
          <w:szCs w:val="30"/>
        </w:rPr>
        <w:t>/</w:t>
      </w:r>
      <w:r>
        <w:rPr>
          <w:rFonts w:hint="eastAsia" w:ascii="仿宋_GB2312" w:hAnsi="宋体" w:eastAsia="仿宋_GB2312"/>
          <w:color w:val="000000"/>
          <w:sz w:val="30"/>
          <w:szCs w:val="30"/>
        </w:rPr>
        <w:t>计划</w:t>
      </w:r>
      <w:r>
        <w:rPr>
          <w:rFonts w:ascii="仿宋_GB2312" w:hAnsi="宋体" w:eastAsia="仿宋_GB2312"/>
          <w:color w:val="000000"/>
          <w:sz w:val="30"/>
          <w:szCs w:val="30"/>
        </w:rPr>
        <w:t>/进展/结果公告</w:t>
      </w:r>
    </w:p>
    <w:p>
      <w:pPr>
        <w:snapToGrid w:val="0"/>
        <w:spacing w:line="540" w:lineRule="exact"/>
        <w:jc w:val="center"/>
        <w:rPr>
          <w:rFonts w:ascii="仿宋_GB2312" w:hAnsi="宋体" w:eastAsia="仿宋_GB2312"/>
          <w:color w:val="000000"/>
          <w:sz w:val="28"/>
          <w:szCs w:val="28"/>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本公司董事会、全体董事及相关股东保证本公告内容不存在任何虚假记载、误导性陈述或者重大遗漏，并对其内容的真实性、准确性和完整性承担法律责任。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首次增持的时间及方式、增持的数量及比例</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增持计划的数量或金额规模、增持方式、实施期限等基本情况</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hAnsiTheme="minorEastAsia"/>
          <w:color w:val="000000" w:themeColor="text1"/>
          <w:kern w:val="0"/>
          <w:sz w:val="30"/>
          <w:szCs w:val="30"/>
        </w:rPr>
        <w:t>相关增持计划的其他实施条件（如有）</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增持计划的进展</w:t>
      </w:r>
      <w:r>
        <w:rPr>
          <w:rFonts w:ascii="仿宋_GB2312" w:eastAsia="仿宋_GB2312"/>
          <w:color w:val="000000"/>
          <w:sz w:val="30"/>
          <w:szCs w:val="30"/>
        </w:rPr>
        <w:t>/结果</w:t>
      </w:r>
      <w:r>
        <w:rPr>
          <w:rFonts w:hint="eastAsia" w:ascii="仿宋_GB2312" w:eastAsia="仿宋_GB2312"/>
          <w:color w:val="000000"/>
          <w:sz w:val="30"/>
          <w:szCs w:val="30"/>
        </w:rPr>
        <w:t>相关风险提示</w:t>
      </w:r>
    </w:p>
    <w:p>
      <w:pPr>
        <w:widowControl/>
        <w:spacing w:line="600" w:lineRule="exact"/>
        <w:jc w:val="left"/>
        <w:rPr>
          <w:rFonts w:ascii="黑体" w:hAnsi="黑体" w:eastAsia="黑体" w:cs="宋体"/>
          <w:b/>
          <w:color w:val="000000"/>
          <w:kern w:val="0"/>
          <w:sz w:val="32"/>
          <w:szCs w:val="32"/>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一、增持主体的基本情况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（一）增持主体的名称或姓名、与上市公司的关系</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（二）增持主体已持有股份的数量、占公司总股本的比例等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（三）增持主体在本次公告之前十二个月内已披露增持计划的，需要披露其完成情况</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（编制提醒：股东增持过程中严格遵守《上市公司收购管理办法》的相关规定，履行权益变动、收购相关的报告、公告义务）</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二、本次增持情况（如适用）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（一）本次增持的股东、时间、方式、增持的数量及比例；</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（二）增持完成前后持股数量及比例（存在一致行动人的持股数量及比例需要合并计算）；</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（三）增持主体是否提出后续增持计划。</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（编制提醒：相关股东在首次增持行为发生后无后续增持计划的，也应当及时告知上市公司，通过上市公司进行披露）</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三、增持计划的主要内容（如适用）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（一）本次拟增持股份的目的。</w:t>
      </w:r>
      <w:bookmarkStart w:id="0" w:name="OLE_LINK15"/>
      <w:bookmarkStart w:id="1" w:name="OLE_LINK14"/>
      <w:r>
        <w:rPr>
          <w:rFonts w:hint="eastAsia" w:ascii="仿宋_GB2312" w:hAnsi="宋体" w:eastAsia="仿宋_GB2312"/>
          <w:color w:val="000000"/>
          <w:kern w:val="0"/>
          <w:sz w:val="30"/>
          <w:szCs w:val="30"/>
        </w:rPr>
        <w:t>增持目的需结合上市公司实际经营、未来发展趋势及股价变化等情况，符合客观实际。</w:t>
      </w:r>
      <w:bookmarkEnd w:id="0"/>
      <w:bookmarkEnd w:id="1"/>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（二）本次拟增持股份的种类和方式。相关增持主体需要明确增持股份种类为A股或B股，并且明确增持方式是集中竞价交易、大宗交易或者协议转让等。</w:t>
      </w:r>
    </w:p>
    <w:p>
      <w:pPr>
        <w:adjustRightInd w:val="0"/>
        <w:snapToGrid w:val="0"/>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hAnsi="宋体" w:eastAsia="仿宋_GB2312"/>
          <w:color w:val="000000"/>
          <w:kern w:val="0"/>
          <w:sz w:val="30"/>
          <w:szCs w:val="30"/>
        </w:rPr>
        <w:t>（三）本次拟增持股份的数量或金额。</w:t>
      </w:r>
      <w:bookmarkStart w:id="2" w:name="OLE_LINK21"/>
      <w:bookmarkStart w:id="3" w:name="OLE_LINK20"/>
      <w:r>
        <w:rPr>
          <w:rFonts w:hint="eastAsia" w:ascii="仿宋_GB2312" w:hAnsi="宋体" w:eastAsia="仿宋_GB2312"/>
          <w:color w:val="000000"/>
          <w:kern w:val="0"/>
          <w:sz w:val="30"/>
          <w:szCs w:val="30"/>
        </w:rPr>
        <w:t>增持数量或金额需要明确，如设置数量或金额区间的，区间范围需要审慎合理且具有可执行性，其上限和下限需要明确，上限不得超出下限的1倍，且下限不得为零；</w:t>
      </w:r>
      <w:r>
        <w:rPr>
          <w:rFonts w:hint="eastAsia" w:ascii="仿宋_GB2312" w:eastAsia="仿宋_GB2312" w:hAnsiTheme="minorEastAsia"/>
          <w:color w:val="000000" w:themeColor="text1"/>
          <w:kern w:val="0"/>
          <w:sz w:val="30"/>
          <w:szCs w:val="30"/>
        </w:rPr>
        <w:t>限定增持数量的，需要明确说明增持数量在发生股份发行、可转债转股等事项时的调整方式。</w:t>
      </w:r>
      <w:bookmarkEnd w:id="2"/>
      <w:bookmarkEnd w:id="3"/>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本次拟增持股份的价格（如有）。如设置固定价格、价格区间、定价原则或累计跌幅比例等实施前提的，需要根据公司股票近期价格波动及市场整体趋势予以审慎确定，确保实施增持计划有切实可行的价格窗口。如披露的增持价格上限明显偏离当时的市场价格，需要详细说明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（五）本次增持股份计划的实施期限。实施期限根据增持计划可行性、投资者预期等因素，限制在合理期限内</w:t>
      </w:r>
      <w:r>
        <w:rPr>
          <w:rFonts w:hint="eastAsia" w:ascii="仿宋_GB2312" w:eastAsia="仿宋_GB2312" w:hAnsiTheme="minorEastAsia"/>
          <w:color w:val="000000" w:themeColor="text1"/>
          <w:kern w:val="0"/>
          <w:sz w:val="30"/>
          <w:szCs w:val="30"/>
        </w:rPr>
        <w:t>。</w:t>
      </w:r>
      <w:r>
        <w:rPr>
          <w:rFonts w:hint="eastAsia" w:ascii="仿宋_GB2312" w:hAnsi="宋体" w:eastAsia="仿宋_GB2312"/>
          <w:color w:val="000000"/>
          <w:kern w:val="0"/>
          <w:sz w:val="30"/>
          <w:szCs w:val="30"/>
        </w:rPr>
        <w:t>如实施期限超过</w:t>
      </w:r>
      <w:r>
        <w:rPr>
          <w:rFonts w:ascii="仿宋_GB2312" w:hAnsi="宋体" w:eastAsia="仿宋_GB2312"/>
          <w:color w:val="000000"/>
          <w:kern w:val="0"/>
          <w:sz w:val="30"/>
          <w:szCs w:val="30"/>
        </w:rPr>
        <w:t>6个月的，</w:t>
      </w:r>
      <w:r>
        <w:rPr>
          <w:rFonts w:hint="eastAsia" w:ascii="仿宋_GB2312" w:hAnsi="宋体" w:eastAsia="仿宋_GB2312"/>
          <w:color w:val="000000"/>
          <w:kern w:val="0"/>
          <w:sz w:val="30"/>
          <w:szCs w:val="30"/>
        </w:rPr>
        <w:t>需要</w:t>
      </w:r>
      <w:r>
        <w:rPr>
          <w:rFonts w:ascii="仿宋_GB2312" w:hAnsi="宋体" w:eastAsia="仿宋_GB2312"/>
          <w:color w:val="000000"/>
          <w:kern w:val="0"/>
          <w:sz w:val="30"/>
          <w:szCs w:val="30"/>
        </w:rPr>
        <w:t>结合实际情况说明其理由。</w:t>
      </w:r>
      <w:r>
        <w:rPr>
          <w:rFonts w:hint="eastAsia" w:ascii="仿宋_GB2312" w:eastAsia="仿宋_GB2312" w:hAnsiTheme="minorEastAsia"/>
          <w:color w:val="000000" w:themeColor="text1"/>
          <w:kern w:val="0"/>
          <w:sz w:val="30"/>
          <w:szCs w:val="30"/>
        </w:rPr>
        <w:t>实施期限最长不得超过12个月</w:t>
      </w:r>
      <w:r>
        <w:rPr>
          <w:rFonts w:hint="eastAsia" w:ascii="仿宋_GB2312" w:hAnsi="宋体" w:eastAsia="仿宋_GB2312"/>
          <w:color w:val="000000"/>
          <w:kern w:val="0"/>
          <w:sz w:val="30"/>
          <w:szCs w:val="30"/>
        </w:rPr>
        <w:t>。</w:t>
      </w:r>
    </w:p>
    <w:p>
      <w:pPr>
        <w:autoSpaceDE w:val="0"/>
        <w:autoSpaceDN w:val="0"/>
        <w:adjustRightInd w:val="0"/>
        <w:snapToGrid w:val="0"/>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hAnsi="宋体" w:eastAsia="仿宋_GB2312"/>
          <w:color w:val="000000"/>
          <w:kern w:val="0"/>
          <w:sz w:val="30"/>
          <w:szCs w:val="30"/>
        </w:rPr>
        <w:t>（六）本次拟增持股份的资金安排。</w:t>
      </w:r>
      <w:r>
        <w:rPr>
          <w:rFonts w:hint="eastAsia" w:ascii="仿宋_GB2312" w:eastAsia="仿宋_GB2312" w:hAnsiTheme="minorEastAsia"/>
          <w:color w:val="000000" w:themeColor="text1"/>
          <w:kern w:val="0"/>
          <w:sz w:val="30"/>
          <w:szCs w:val="30"/>
        </w:rPr>
        <w:t>资金来源需要明确，可能采用非自有资金实施增持的，需要披露相关融资安排。拟通过资产管理计划实施增持的，需要披露资产管理计划的类型、金额及存续期限等。</w:t>
      </w:r>
    </w:p>
    <w:p>
      <w:pPr>
        <w:autoSpaceDE w:val="0"/>
        <w:autoSpaceDN w:val="0"/>
        <w:adjustRightInd w:val="0"/>
        <w:snapToGrid w:val="0"/>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hAnsi="宋体" w:eastAsia="仿宋_GB2312"/>
          <w:color w:val="000000"/>
          <w:kern w:val="0"/>
          <w:sz w:val="30"/>
          <w:szCs w:val="30"/>
        </w:rPr>
        <w:t>（七）</w:t>
      </w:r>
      <w:r>
        <w:rPr>
          <w:rFonts w:hint="eastAsia" w:ascii="仿宋_GB2312" w:eastAsia="仿宋_GB2312" w:hAnsiTheme="minorEastAsia"/>
          <w:color w:val="000000" w:themeColor="text1"/>
          <w:kern w:val="0"/>
          <w:sz w:val="30"/>
          <w:szCs w:val="30"/>
        </w:rPr>
        <w:t>相关增持计划的实施方式和其他条件（如有），例如是否需经行政许可等。增持计划设定了实施条件的，还需要对若设定的条件未成就时，增持计划是否予以实施进行说明。</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（八）增持主体需要承诺，在增持计划实施期间及法定期限内不减持所持有的公司股份。</w:t>
      </w:r>
    </w:p>
    <w:p>
      <w:pPr>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（九）</w:t>
      </w:r>
      <w:r>
        <w:rPr>
          <w:rFonts w:hint="eastAsia" w:ascii="仿宋_GB2312" w:eastAsia="仿宋_GB2312" w:hAnsiTheme="minorEastAsia"/>
          <w:color w:val="000000" w:themeColor="text1"/>
          <w:kern w:val="0"/>
          <w:sz w:val="30"/>
          <w:szCs w:val="30"/>
        </w:rPr>
        <w:t>相关股东增持前持股比例在30%至50%之间的，明确增持计划实施期限不超过12个月且首次增持与后续增持比例合计不超过2%。</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（十）</w:t>
      </w:r>
      <w:r>
        <w:rPr>
          <w:rFonts w:hint="eastAsia" w:ascii="仿宋_GB2312" w:eastAsia="仿宋_GB2312" w:hAnsiTheme="minorEastAsia"/>
          <w:color w:val="000000" w:themeColor="text1"/>
          <w:kern w:val="0"/>
          <w:sz w:val="30"/>
          <w:szCs w:val="30"/>
        </w:rPr>
        <w:t>增持计划可能面临的不确定性风险及拟采取的应对措施。</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（十一）本所要求的其他事项。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bookmarkStart w:id="4" w:name="OLE_LINK1"/>
      <w:bookmarkStart w:id="5" w:name="OLE_LINK2"/>
      <w:r>
        <w:rPr>
          <w:rFonts w:hint="eastAsia" w:ascii="黑体" w:hAnsi="黑体" w:eastAsia="黑体"/>
          <w:b/>
          <w:sz w:val="30"/>
          <w:szCs w:val="30"/>
        </w:rPr>
        <w:t>四、增持计划的实施进展（如适用）</w:t>
      </w:r>
    </w:p>
    <w:bookmarkEnd w:id="4"/>
    <w:bookmarkEnd w:id="5"/>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（一）原定增持计划期间过半，实际增持数量（金额）未过半或未到区间下限</w:t>
      </w:r>
      <w:r>
        <w:rPr>
          <w:rFonts w:ascii="仿宋_GB2312" w:hAnsi="宋体" w:eastAsia="仿宋_GB2312"/>
          <w:color w:val="000000"/>
          <w:kern w:val="0"/>
          <w:sz w:val="30"/>
          <w:szCs w:val="30"/>
        </w:rPr>
        <w:t>50%的，公告说明增持未过半的原因。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（二）原定增持计划期间过半，仍未实施增持计划的，公告说明未增持的原因，并于此后每月披露一次增持计划实施进展。</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（三）上市公司在增持计划实施期间发生派发红利、送红股、转增股本、增发新股或配股等股本除权、除息事项的，增持主体可以对增持计划进行相应调整并及时披露。</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五、增持计划的实施结果（如适用）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（一）增持计划实施完毕或增持期限届满后的两个交易日内，增持主体需要发布增持计划实施结果公告，披露增持数量、金额、比例及本次增持后的实际持股比例。</w:t>
      </w:r>
      <w:r>
        <w:rPr>
          <w:rFonts w:hint="eastAsia" w:ascii="仿宋_GB2312" w:eastAsia="仿宋_GB2312" w:hAnsiTheme="minorEastAsia"/>
          <w:color w:val="000000" w:themeColor="text1"/>
          <w:kern w:val="0"/>
          <w:sz w:val="30"/>
          <w:szCs w:val="30"/>
        </w:rPr>
        <w:t>增持期限届满仍未实施增持或者未达到计划最低增持额的原因（如有）。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相关股东增持前持股比例在</w:t>
      </w:r>
      <w:r>
        <w:rPr>
          <w:rFonts w:ascii="仿宋_GB2312" w:hAnsi="宋体" w:eastAsia="仿宋_GB2312"/>
          <w:color w:val="000000"/>
          <w:kern w:val="0"/>
          <w:sz w:val="30"/>
          <w:szCs w:val="30"/>
        </w:rPr>
        <w:t>30%以上的，</w:t>
      </w:r>
      <w:r>
        <w:rPr>
          <w:rFonts w:hint="eastAsia" w:ascii="仿宋_GB2312" w:hAnsi="宋体" w:eastAsia="仿宋_GB2312"/>
          <w:color w:val="000000"/>
          <w:kern w:val="0"/>
          <w:sz w:val="30"/>
          <w:szCs w:val="30"/>
        </w:rPr>
        <w:t>还需要</w:t>
      </w:r>
      <w:r>
        <w:rPr>
          <w:rFonts w:ascii="仿宋_GB2312" w:hAnsi="宋体" w:eastAsia="仿宋_GB2312"/>
          <w:color w:val="000000"/>
          <w:kern w:val="0"/>
          <w:sz w:val="30"/>
          <w:szCs w:val="30"/>
        </w:rPr>
        <w:t>聘请律师就本次增持行为是否符合《证券法》《上市公司收购管理办法》等有关规定发表专项核查意见</w:t>
      </w:r>
      <w:r>
        <w:rPr>
          <w:rFonts w:hint="eastAsia" w:ascii="仿宋_GB2312" w:hAnsi="宋体" w:eastAsia="仿宋_GB2312"/>
          <w:color w:val="000000"/>
          <w:kern w:val="0"/>
          <w:sz w:val="30"/>
          <w:szCs w:val="30"/>
        </w:rPr>
        <w:t>并披露</w:t>
      </w:r>
      <w:r>
        <w:rPr>
          <w:rFonts w:ascii="仿宋_GB2312" w:hAnsi="宋体" w:eastAsia="仿宋_GB2312"/>
          <w:color w:val="000000"/>
          <w:kern w:val="0"/>
          <w:sz w:val="30"/>
          <w:szCs w:val="30"/>
        </w:rPr>
        <w:t>。</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（二）相关股东拟提前终止增持计划的，或者增持期限届满仍未达到计划最低增持额的，及时披露公告并说明具体原因。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六、增持计划实施的不确定性风险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增持计划需要详细披露可能面临的不确定性风险及拟采取的应对措施。增持计划实施过程中出现下列风险情形之一的，及时公告披露：</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（一）公司股票价格持续超出增持计划披露的价格区间（如有），导致增持计划无法实施的风险；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（二）增持股份所需资金未能到位，导致增持计划无法实施的风险；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（三）采用非自有资金增持股份过程中，已增持股份可能被强行平仓的风险；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（四）其他风险。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特此公告。</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autoSpaceDE w:val="0"/>
        <w:autoSpaceDN w:val="0"/>
        <w:adjustRightInd w:val="0"/>
        <w:spacing w:line="560" w:lineRule="exact"/>
        <w:jc w:val="right"/>
        <w:rPr>
          <w:rFonts w:ascii="仿宋_GB2312" w:hAnsi="宋体" w:eastAsia="仿宋_GB2312" w:cs="宋体"/>
          <w:color w:val="000000"/>
          <w:kern w:val="0"/>
          <w:sz w:val="30"/>
          <w:szCs w:val="30"/>
        </w:rPr>
      </w:pPr>
    </w:p>
    <w:p>
      <w:pPr>
        <w:pStyle w:val="17"/>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bookmarkStart w:id="6" w:name="_Hlk62403057"/>
      <w:r>
        <w:rPr>
          <w:rFonts w:hint="eastAsia" w:ascii="仿宋_GB2312" w:hAnsi="宋体" w:eastAsia="仿宋_GB2312"/>
          <w:b/>
          <w:color w:val="000000"/>
          <w:sz w:val="30"/>
          <w:szCs w:val="30"/>
        </w:rPr>
        <w:t>上网公告文件</w:t>
      </w:r>
    </w:p>
    <w:bookmarkEnd w:id="6"/>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律师专项核查意见（如适用）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7C"/>
    <w:rsid w:val="0001193F"/>
    <w:rsid w:val="000175D7"/>
    <w:rsid w:val="00047783"/>
    <w:rsid w:val="0005659E"/>
    <w:rsid w:val="000648FC"/>
    <w:rsid w:val="00073B0D"/>
    <w:rsid w:val="000B79CA"/>
    <w:rsid w:val="000C2BDC"/>
    <w:rsid w:val="000C6704"/>
    <w:rsid w:val="000D21FE"/>
    <w:rsid w:val="000D3000"/>
    <w:rsid w:val="00102AFA"/>
    <w:rsid w:val="001039A6"/>
    <w:rsid w:val="00103E6F"/>
    <w:rsid w:val="001248DF"/>
    <w:rsid w:val="0012554E"/>
    <w:rsid w:val="0018152D"/>
    <w:rsid w:val="00193B01"/>
    <w:rsid w:val="00196DF7"/>
    <w:rsid w:val="00197F1D"/>
    <w:rsid w:val="001B0544"/>
    <w:rsid w:val="001C335D"/>
    <w:rsid w:val="001C437F"/>
    <w:rsid w:val="001C711E"/>
    <w:rsid w:val="001D36DF"/>
    <w:rsid w:val="00205321"/>
    <w:rsid w:val="00216348"/>
    <w:rsid w:val="002311F5"/>
    <w:rsid w:val="0023243F"/>
    <w:rsid w:val="002456D1"/>
    <w:rsid w:val="00257A8B"/>
    <w:rsid w:val="00283FCF"/>
    <w:rsid w:val="002B4D48"/>
    <w:rsid w:val="002D0359"/>
    <w:rsid w:val="002D3A24"/>
    <w:rsid w:val="002E5C68"/>
    <w:rsid w:val="002F1FCD"/>
    <w:rsid w:val="002F3B7F"/>
    <w:rsid w:val="003242ED"/>
    <w:rsid w:val="0035703E"/>
    <w:rsid w:val="0035799E"/>
    <w:rsid w:val="003866ED"/>
    <w:rsid w:val="003B737D"/>
    <w:rsid w:val="003E6AB4"/>
    <w:rsid w:val="003F166A"/>
    <w:rsid w:val="0041037B"/>
    <w:rsid w:val="004210ED"/>
    <w:rsid w:val="00422CE0"/>
    <w:rsid w:val="00423D2D"/>
    <w:rsid w:val="004273A0"/>
    <w:rsid w:val="004378FF"/>
    <w:rsid w:val="00451198"/>
    <w:rsid w:val="00460729"/>
    <w:rsid w:val="004656EA"/>
    <w:rsid w:val="004C11B2"/>
    <w:rsid w:val="004C7AB3"/>
    <w:rsid w:val="004D265F"/>
    <w:rsid w:val="004E069A"/>
    <w:rsid w:val="004E5163"/>
    <w:rsid w:val="00500498"/>
    <w:rsid w:val="00500B52"/>
    <w:rsid w:val="00515B9C"/>
    <w:rsid w:val="0052191B"/>
    <w:rsid w:val="00521DE3"/>
    <w:rsid w:val="0052578B"/>
    <w:rsid w:val="005264C2"/>
    <w:rsid w:val="00527413"/>
    <w:rsid w:val="005365AD"/>
    <w:rsid w:val="00553C71"/>
    <w:rsid w:val="00564897"/>
    <w:rsid w:val="00571A8A"/>
    <w:rsid w:val="00571B18"/>
    <w:rsid w:val="00571DC6"/>
    <w:rsid w:val="00581BF0"/>
    <w:rsid w:val="00583253"/>
    <w:rsid w:val="00593186"/>
    <w:rsid w:val="00594AE9"/>
    <w:rsid w:val="00595AE5"/>
    <w:rsid w:val="005A413E"/>
    <w:rsid w:val="005A5BAD"/>
    <w:rsid w:val="005B1140"/>
    <w:rsid w:val="005B1F64"/>
    <w:rsid w:val="005B1FB2"/>
    <w:rsid w:val="005B3A96"/>
    <w:rsid w:val="005B5D85"/>
    <w:rsid w:val="005D5F1C"/>
    <w:rsid w:val="005E7FC2"/>
    <w:rsid w:val="005F3451"/>
    <w:rsid w:val="005F3729"/>
    <w:rsid w:val="00623F97"/>
    <w:rsid w:val="006468AE"/>
    <w:rsid w:val="006474AB"/>
    <w:rsid w:val="0064785A"/>
    <w:rsid w:val="00661338"/>
    <w:rsid w:val="00663CEE"/>
    <w:rsid w:val="00665746"/>
    <w:rsid w:val="0067047B"/>
    <w:rsid w:val="00671CE3"/>
    <w:rsid w:val="006A0A21"/>
    <w:rsid w:val="006A0B56"/>
    <w:rsid w:val="006D7AF5"/>
    <w:rsid w:val="006E311C"/>
    <w:rsid w:val="006E7226"/>
    <w:rsid w:val="006E72C7"/>
    <w:rsid w:val="00725957"/>
    <w:rsid w:val="00725C60"/>
    <w:rsid w:val="0073023D"/>
    <w:rsid w:val="007302EF"/>
    <w:rsid w:val="0074695C"/>
    <w:rsid w:val="00750B50"/>
    <w:rsid w:val="00762617"/>
    <w:rsid w:val="00764495"/>
    <w:rsid w:val="00766176"/>
    <w:rsid w:val="00782D18"/>
    <w:rsid w:val="007C2572"/>
    <w:rsid w:val="007D4830"/>
    <w:rsid w:val="007D5790"/>
    <w:rsid w:val="007E3EA4"/>
    <w:rsid w:val="007F359A"/>
    <w:rsid w:val="0081016A"/>
    <w:rsid w:val="00810FDE"/>
    <w:rsid w:val="0083143A"/>
    <w:rsid w:val="00832958"/>
    <w:rsid w:val="00835439"/>
    <w:rsid w:val="008357CE"/>
    <w:rsid w:val="00842323"/>
    <w:rsid w:val="0086243A"/>
    <w:rsid w:val="00876EC0"/>
    <w:rsid w:val="0087749E"/>
    <w:rsid w:val="00891384"/>
    <w:rsid w:val="008B684D"/>
    <w:rsid w:val="008B7DC5"/>
    <w:rsid w:val="008D4932"/>
    <w:rsid w:val="008F6DE0"/>
    <w:rsid w:val="00904E61"/>
    <w:rsid w:val="0091421A"/>
    <w:rsid w:val="00920D41"/>
    <w:rsid w:val="00925360"/>
    <w:rsid w:val="0092722B"/>
    <w:rsid w:val="00953FE5"/>
    <w:rsid w:val="00954785"/>
    <w:rsid w:val="00960070"/>
    <w:rsid w:val="00967F70"/>
    <w:rsid w:val="009A2EF9"/>
    <w:rsid w:val="009A4CAE"/>
    <w:rsid w:val="009B54E4"/>
    <w:rsid w:val="009B723D"/>
    <w:rsid w:val="009C78B6"/>
    <w:rsid w:val="009C7CB0"/>
    <w:rsid w:val="009E06BA"/>
    <w:rsid w:val="009F577D"/>
    <w:rsid w:val="00A04860"/>
    <w:rsid w:val="00A44D98"/>
    <w:rsid w:val="00A45D92"/>
    <w:rsid w:val="00A54115"/>
    <w:rsid w:val="00A542FC"/>
    <w:rsid w:val="00A76699"/>
    <w:rsid w:val="00A858E3"/>
    <w:rsid w:val="00A9718F"/>
    <w:rsid w:val="00AB46AC"/>
    <w:rsid w:val="00AD77BC"/>
    <w:rsid w:val="00AE25C7"/>
    <w:rsid w:val="00B226A7"/>
    <w:rsid w:val="00B2593C"/>
    <w:rsid w:val="00B32B22"/>
    <w:rsid w:val="00B3410A"/>
    <w:rsid w:val="00B508C2"/>
    <w:rsid w:val="00B50D8B"/>
    <w:rsid w:val="00B528E5"/>
    <w:rsid w:val="00B55FA1"/>
    <w:rsid w:val="00B568CC"/>
    <w:rsid w:val="00B64A65"/>
    <w:rsid w:val="00B66958"/>
    <w:rsid w:val="00B878EE"/>
    <w:rsid w:val="00BA6D46"/>
    <w:rsid w:val="00BB4475"/>
    <w:rsid w:val="00BC524B"/>
    <w:rsid w:val="00BE67E0"/>
    <w:rsid w:val="00BF15E4"/>
    <w:rsid w:val="00BF6698"/>
    <w:rsid w:val="00C14AD2"/>
    <w:rsid w:val="00C17F6E"/>
    <w:rsid w:val="00C40413"/>
    <w:rsid w:val="00C60AC6"/>
    <w:rsid w:val="00C75D82"/>
    <w:rsid w:val="00C77A19"/>
    <w:rsid w:val="00CA3320"/>
    <w:rsid w:val="00CA762B"/>
    <w:rsid w:val="00CB14DF"/>
    <w:rsid w:val="00CC3CE8"/>
    <w:rsid w:val="00D0367C"/>
    <w:rsid w:val="00D03DDD"/>
    <w:rsid w:val="00D06088"/>
    <w:rsid w:val="00D163BD"/>
    <w:rsid w:val="00D22B86"/>
    <w:rsid w:val="00D366FB"/>
    <w:rsid w:val="00D46EFD"/>
    <w:rsid w:val="00D5296E"/>
    <w:rsid w:val="00D60FA7"/>
    <w:rsid w:val="00D63999"/>
    <w:rsid w:val="00D6552F"/>
    <w:rsid w:val="00D7002D"/>
    <w:rsid w:val="00D730DE"/>
    <w:rsid w:val="00D943CA"/>
    <w:rsid w:val="00DA784B"/>
    <w:rsid w:val="00DC213A"/>
    <w:rsid w:val="00DD5091"/>
    <w:rsid w:val="00DE71D9"/>
    <w:rsid w:val="00DF47CB"/>
    <w:rsid w:val="00DF71D7"/>
    <w:rsid w:val="00E00DC6"/>
    <w:rsid w:val="00E23A28"/>
    <w:rsid w:val="00E335DC"/>
    <w:rsid w:val="00E37DD4"/>
    <w:rsid w:val="00E713D9"/>
    <w:rsid w:val="00E81948"/>
    <w:rsid w:val="00E86B7F"/>
    <w:rsid w:val="00E94B97"/>
    <w:rsid w:val="00EA267C"/>
    <w:rsid w:val="00EC6FC1"/>
    <w:rsid w:val="00EF4C7B"/>
    <w:rsid w:val="00F1594E"/>
    <w:rsid w:val="00F278E2"/>
    <w:rsid w:val="00F4531A"/>
    <w:rsid w:val="00F473B8"/>
    <w:rsid w:val="00F54469"/>
    <w:rsid w:val="00F71719"/>
    <w:rsid w:val="00F767E4"/>
    <w:rsid w:val="00FA1646"/>
    <w:rsid w:val="00FB2026"/>
    <w:rsid w:val="00FB7BFB"/>
    <w:rsid w:val="00FC7678"/>
    <w:rsid w:val="00FE4B75"/>
    <w:rsid w:val="00FF63C2"/>
    <w:rsid w:val="06F56564"/>
    <w:rsid w:val="12A93EFA"/>
    <w:rsid w:val="1B67039A"/>
    <w:rsid w:val="4F37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sz w:val="18"/>
      <w:szCs w:val="18"/>
    </w:rPr>
  </w:style>
  <w:style w:type="paragraph" w:styleId="3">
    <w:name w:val="annotation text"/>
    <w:basedOn w:val="1"/>
    <w:link w:val="18"/>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脚 Char"/>
    <w:basedOn w:val="9"/>
    <w:link w:val="5"/>
    <w:uiPriority w:val="99"/>
    <w:rPr>
      <w:sz w:val="18"/>
      <w:szCs w:val="18"/>
    </w:rPr>
  </w:style>
  <w:style w:type="character" w:customStyle="1" w:styleId="12">
    <w:name w:val="列出段落 Char"/>
    <w:link w:val="13"/>
    <w:locked/>
    <w:uiPriority w:val="0"/>
    <w:rPr>
      <w:rFonts w:ascii="宋体" w:hAnsi="宋体" w:eastAsia="宋体" w:cs="Times New Roman"/>
      <w:kern w:val="0"/>
      <w:sz w:val="24"/>
      <w:szCs w:val="24"/>
    </w:rPr>
  </w:style>
  <w:style w:type="paragraph" w:customStyle="1" w:styleId="13">
    <w:name w:val="列出段落1"/>
    <w:basedOn w:val="1"/>
    <w:link w:val="12"/>
    <w:qFormat/>
    <w:uiPriority w:val="0"/>
    <w:pPr>
      <w:widowControl/>
      <w:spacing w:before="100" w:beforeAutospacing="1" w:after="100" w:afterAutospacing="1"/>
      <w:jc w:val="left"/>
    </w:pPr>
    <w:rPr>
      <w:rFonts w:ascii="宋体" w:hAnsi="宋体"/>
      <w:kern w:val="0"/>
      <w:sz w:val="24"/>
      <w:szCs w:val="24"/>
    </w:rPr>
  </w:style>
  <w:style w:type="character" w:customStyle="1" w:styleId="14">
    <w:name w:val="页脚 Char1"/>
    <w:basedOn w:val="9"/>
    <w:semiHidden/>
    <w:uiPriority w:val="99"/>
    <w:rPr>
      <w:rFonts w:ascii="Calibri" w:hAnsi="Calibri" w:eastAsia="宋体" w:cs="Times New Roman"/>
      <w:sz w:val="18"/>
      <w:szCs w:val="18"/>
    </w:rPr>
  </w:style>
  <w:style w:type="character" w:customStyle="1" w:styleId="15">
    <w:name w:val="批注框文本 Char"/>
    <w:basedOn w:val="9"/>
    <w:link w:val="4"/>
    <w:semiHidden/>
    <w:uiPriority w:val="99"/>
    <w:rPr>
      <w:rFonts w:ascii="Calibri" w:hAnsi="Calibri" w:eastAsia="宋体" w:cs="Times New Roman"/>
      <w:sz w:val="18"/>
      <w:szCs w:val="18"/>
    </w:rPr>
  </w:style>
  <w:style w:type="character" w:customStyle="1" w:styleId="16">
    <w:name w:val="页眉 Char"/>
    <w:basedOn w:val="9"/>
    <w:link w:val="6"/>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9"/>
    <w:link w:val="3"/>
    <w:uiPriority w:val="99"/>
    <w:rPr>
      <w:rFonts w:ascii="Calibri" w:hAnsi="Calibri" w:eastAsia="宋体" w:cs="Times New Roman"/>
    </w:rPr>
  </w:style>
  <w:style w:type="character" w:customStyle="1" w:styleId="19">
    <w:name w:val="批注主题 Char"/>
    <w:basedOn w:val="18"/>
    <w:link w:val="7"/>
    <w:semiHidden/>
    <w:uiPriority w:val="99"/>
    <w:rPr>
      <w:rFonts w:ascii="Calibri" w:hAnsi="Calibri" w:eastAsia="宋体" w:cs="Times New Roman"/>
      <w:b/>
      <w:bCs/>
    </w:rPr>
  </w:style>
  <w:style w:type="paragraph" w:customStyle="1" w:styleId="20">
    <w:name w:val="修订1"/>
    <w:hidden/>
    <w:semiHidden/>
    <w:uiPriority w:val="99"/>
    <w:rPr>
      <w:rFonts w:ascii="Calibri" w:hAnsi="Calibri" w:eastAsia="宋体" w:cs="Times New Roman"/>
      <w:kern w:val="2"/>
      <w:sz w:val="21"/>
      <w:szCs w:val="22"/>
      <w:lang w:val="en-US" w:eastAsia="zh-CN" w:bidi="ar-SA"/>
    </w:rPr>
  </w:style>
  <w:style w:type="character" w:customStyle="1" w:styleId="21">
    <w:name w:val="文档结构图 Char"/>
    <w:basedOn w:val="9"/>
    <w:link w:val="2"/>
    <w:semiHidden/>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6CA4C-3642-4673-9CB2-40708838CEBB}">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356</Words>
  <Characters>2035</Characters>
  <Lines>16</Lines>
  <Paragraphs>4</Paragraphs>
  <TotalTime>347</TotalTime>
  <ScaleCrop>false</ScaleCrop>
  <LinksUpToDate>false</LinksUpToDate>
  <CharactersWithSpaces>2387</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2021-01-21T11:49:00Z</dcterms:created>
  <dc:creator>whzhou</dc:creator>
  <cp:lastModifiedBy>whzhou</cp:lastModifiedBy>
  <dcterms:modified xsi:type="dcterms:W3CDTF">2025-02-12T05:57:58Z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EF6AB7C836CD415E8BB52EB2A571079E_13</vt:lpwstr>
  </property>
</Properties>
</file>