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3FAB5">
      <w:pPr>
        <w:spacing w:line="560" w:lineRule="exact"/>
        <w:jc w:val="center"/>
        <w:rPr>
          <w:rFonts w:ascii="黑体" w:hAnsi="黑体" w:eastAsia="黑体"/>
          <w:b/>
          <w:bCs/>
          <w:sz w:val="36"/>
          <w:szCs w:val="36"/>
        </w:rPr>
      </w:pPr>
      <w:bookmarkStart w:id="0" w:name="_Toc50034104"/>
      <w:bookmarkStart w:id="1" w:name="_Toc356840098"/>
      <w:r>
        <w:rPr>
          <w:rFonts w:hint="eastAsia" w:ascii="黑体" w:hAnsi="黑体" w:eastAsia="黑体"/>
          <w:b/>
          <w:bCs/>
          <w:sz w:val="36"/>
          <w:szCs w:val="36"/>
        </w:rPr>
        <w:t>第十五号 上市公司董事会决议公告</w:t>
      </w:r>
      <w:bookmarkEnd w:id="0"/>
      <w:bookmarkEnd w:id="1"/>
    </w:p>
    <w:p w14:paraId="1C11DD39">
      <w:pPr>
        <w:spacing w:line="560" w:lineRule="exact"/>
      </w:pPr>
    </w:p>
    <w:p w14:paraId="71706192">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10EF12C2">
      <w:pPr>
        <w:adjustRightInd w:val="0"/>
        <w:snapToGrid w:val="0"/>
        <w:spacing w:line="560" w:lineRule="exact"/>
        <w:jc w:val="left"/>
        <w:rPr>
          <w:rFonts w:ascii="仿宋" w:hAnsi="仿宋" w:eastAsia="仿宋_GB2312"/>
          <w:sz w:val="30"/>
          <w:szCs w:val="30"/>
        </w:rPr>
      </w:pPr>
    </w:p>
    <w:p w14:paraId="74D82433">
      <w:pPr>
        <w:adjustRightInd w:val="0"/>
        <w:snapToGrid w:val="0"/>
        <w:spacing w:before="156" w:beforeLines="50" w:line="560" w:lineRule="exact"/>
        <w:jc w:val="center"/>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XXXX股份有限公司董事会决议公告</w:t>
      </w:r>
    </w:p>
    <w:p w14:paraId="55266CF4">
      <w:pPr>
        <w:adjustRightInd w:val="0"/>
        <w:snapToGrid w:val="0"/>
        <w:spacing w:before="156" w:beforeLines="50" w:line="560" w:lineRule="exact"/>
        <w:ind w:firstLine="600" w:firstLineChars="200"/>
        <w:jc w:val="center"/>
        <w:rPr>
          <w:rFonts w:ascii="仿宋" w:hAnsi="仿宋" w:eastAsia="仿宋_GB2312"/>
          <w:color w:val="000000"/>
          <w:sz w:val="30"/>
          <w:szCs w:val="30"/>
        </w:rPr>
      </w:pPr>
    </w:p>
    <w:p w14:paraId="7C18959F">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6AB8B066">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63E5D706">
      <w:pPr>
        <w:autoSpaceDE w:val="0"/>
        <w:autoSpaceDN w:val="0"/>
        <w:adjustRightInd w:val="0"/>
        <w:snapToGrid w:val="0"/>
        <w:spacing w:line="560" w:lineRule="exact"/>
        <w:ind w:firstLine="601" w:firstLineChars="200"/>
        <w:rPr>
          <w:rFonts w:ascii="仿宋" w:hAnsi="仿宋" w:eastAsia="仿宋_GB2312" w:cs="宋体"/>
          <w:b/>
          <w:color w:val="000000"/>
          <w:kern w:val="0"/>
          <w:sz w:val="30"/>
          <w:szCs w:val="30"/>
        </w:rPr>
      </w:pPr>
    </w:p>
    <w:p w14:paraId="5C569FE4">
      <w:pPr>
        <w:tabs>
          <w:tab w:val="left" w:pos="0"/>
        </w:tabs>
        <w:autoSpaceDE w:val="0"/>
        <w:autoSpaceDN w:val="0"/>
        <w:adjustRightInd w:val="0"/>
        <w:snapToGrid w:val="0"/>
        <w:spacing w:line="560" w:lineRule="exact"/>
        <w:ind w:firstLine="601"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重要内容提示(如适用)：</w:t>
      </w:r>
    </w:p>
    <w:p w14:paraId="55B7AD2C">
      <w:pPr>
        <w:numPr>
          <w:ilvl w:val="0"/>
          <w:numId w:val="1"/>
        </w:numPr>
        <w:autoSpaceDE w:val="0"/>
        <w:autoSpaceDN w:val="0"/>
        <w:adjustRightInd w:val="0"/>
        <w:snapToGrid w:val="0"/>
        <w:spacing w:line="560" w:lineRule="exact"/>
        <w:ind w:left="0"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董事XXX、XXX因</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（具体和明确的理由）未能出席（亲自出席或委托出席）本次董事会。</w:t>
      </w:r>
    </w:p>
    <w:p w14:paraId="3FBE38B9">
      <w:pPr>
        <w:numPr>
          <w:ilvl w:val="0"/>
          <w:numId w:val="1"/>
        </w:numPr>
        <w:autoSpaceDE w:val="0"/>
        <w:autoSpaceDN w:val="0"/>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有董事对本次董事会第 X 项议案投反对/弃权票。</w:t>
      </w:r>
    </w:p>
    <w:p w14:paraId="3F2BA09F">
      <w:pPr>
        <w:numPr>
          <w:ilvl w:val="0"/>
          <w:numId w:val="1"/>
        </w:numPr>
        <w:autoSpaceDE w:val="0"/>
        <w:autoSpaceDN w:val="0"/>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本次董事会第 X 项议案未获通过。</w:t>
      </w:r>
    </w:p>
    <w:p w14:paraId="07236C5F">
      <w:pPr>
        <w:autoSpaceDE w:val="0"/>
        <w:autoSpaceDN w:val="0"/>
        <w:adjustRightInd w:val="0"/>
        <w:snapToGrid w:val="0"/>
        <w:spacing w:line="560" w:lineRule="exact"/>
        <w:ind w:firstLine="600" w:firstLineChars="200"/>
        <w:rPr>
          <w:rFonts w:ascii="仿宋" w:hAnsi="仿宋" w:eastAsia="仿宋_GB2312"/>
          <w:color w:val="000000"/>
          <w:sz w:val="30"/>
          <w:szCs w:val="30"/>
        </w:rPr>
      </w:pPr>
    </w:p>
    <w:p w14:paraId="263F14BA">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一、董事会会议召开情况</w:t>
      </w:r>
    </w:p>
    <w:p w14:paraId="2FB5CF66">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（一）说明本次董事会会议的召开是否符合有关法律、行政法规、部门规章、规范性文件和公司章程的规定。</w:t>
      </w:r>
    </w:p>
    <w:p w14:paraId="55AF8358">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（二）说明发出董事会会议通知和材料的时间和方式。</w:t>
      </w:r>
    </w:p>
    <w:p w14:paraId="0A395771">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（三）说明召开董事会会议的时间、地点和方式（即现场表决方式、通讯表决方式、现场结合通讯表决方式）。</w:t>
      </w:r>
    </w:p>
    <w:p w14:paraId="375C0F9A">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说明董事会会议应当出席的董事人数，实际出席会议的董事人数（其中：委托出席的董事人数，以通讯表决方式出席会议的人数），缺席会议的董事人数。董事缺席会议的，应当披露该董事的姓名和缺席会议的原因，是否是上市公司独立董事。董事委托他人出席会议的，应当披露该董事的姓名、不能亲自出席会议的原因和受托董事姓名，是否是上市公司独立董事。</w:t>
      </w:r>
    </w:p>
    <w:p w14:paraId="03289BF7">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（五）说明董事会会议的主持人和列席人员。</w:t>
      </w:r>
    </w:p>
    <w:p w14:paraId="763CEC4D">
      <w:pPr>
        <w:adjustRightInd w:val="0"/>
        <w:snapToGrid w:val="0"/>
        <w:spacing w:line="560" w:lineRule="exact"/>
        <w:ind w:firstLine="600" w:firstLineChars="200"/>
        <w:rPr>
          <w:rFonts w:ascii="仿宋" w:hAnsi="仿宋" w:eastAsia="仿宋_GB2312"/>
          <w:color w:val="000000"/>
          <w:sz w:val="30"/>
          <w:szCs w:val="30"/>
        </w:rPr>
      </w:pPr>
    </w:p>
    <w:p w14:paraId="70431008">
      <w:pPr>
        <w:autoSpaceDE w:val="0"/>
        <w:autoSpaceDN w:val="0"/>
        <w:adjustRightInd w:val="0"/>
        <w:snapToGrid w:val="0"/>
        <w:spacing w:line="560" w:lineRule="exact"/>
        <w:ind w:firstLine="602" w:firstLineChars="200"/>
        <w:rPr>
          <w:rFonts w:ascii="仿宋" w:hAnsi="仿宋" w:eastAsia="仿宋_GB2312"/>
          <w:color w:val="000000"/>
          <w:sz w:val="30"/>
          <w:szCs w:val="30"/>
        </w:rPr>
      </w:pPr>
      <w:r>
        <w:rPr>
          <w:rFonts w:hint="eastAsia" w:ascii="黑体" w:hAnsi="黑体" w:eastAsia="黑体" w:cs="Times New Roman"/>
          <w:b/>
          <w:sz w:val="30"/>
          <w:szCs w:val="30"/>
        </w:rPr>
        <w:t>二、董事会会议审议情况</w:t>
      </w:r>
    </w:p>
    <w:p w14:paraId="3A8E761B">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（一）说明每项议案的名称，获得的同意、反对和弃权的票数，议案是否获得通过。</w:t>
      </w:r>
    </w:p>
    <w:p w14:paraId="4624B4F8">
      <w:pPr>
        <w:adjustRightInd w:val="0"/>
        <w:snapToGrid w:val="0"/>
        <w:spacing w:line="560" w:lineRule="exact"/>
        <w:ind w:firstLine="600" w:firstLineChars="200"/>
        <w:rPr>
          <w:rFonts w:hint="eastAsia" w:ascii="仿宋" w:hAnsi="仿宋" w:eastAsia="仿宋_GB2312"/>
          <w:color w:val="000000"/>
          <w:sz w:val="30"/>
          <w:szCs w:val="30"/>
          <w:lang w:eastAsia="zh-CN"/>
        </w:rPr>
      </w:pPr>
      <w:r>
        <w:rPr>
          <w:rFonts w:hint="eastAsia" w:ascii="仿宋" w:hAnsi="仿宋" w:eastAsia="仿宋_GB2312"/>
          <w:color w:val="000000"/>
          <w:sz w:val="30"/>
          <w:szCs w:val="30"/>
        </w:rPr>
        <w:t>董事对所审议案投反对票或弃权票的，应当披露有关理由。独立董事对所审议案投反对票或弃权票的，应当在披露董事会决议时，同时披露独立董事的异议意见，说明具体理由及依据、议案所涉事项的合法合规性、可能存在的风险以及对上市公司和中小股东权益</w:t>
      </w:r>
      <w:r>
        <w:rPr>
          <w:rFonts w:hint="eastAsia" w:ascii="仿宋" w:hAnsi="仿宋" w:eastAsia="仿宋_GB2312"/>
          <w:color w:val="000000"/>
          <w:sz w:val="30"/>
          <w:szCs w:val="30"/>
          <w:lang w:eastAsia="zh-CN"/>
        </w:rPr>
        <w:t>的</w:t>
      </w:r>
      <w:r>
        <w:rPr>
          <w:rFonts w:hint="eastAsia" w:ascii="仿宋" w:hAnsi="仿宋" w:eastAsia="仿宋_GB2312"/>
          <w:color w:val="000000"/>
          <w:sz w:val="30"/>
          <w:szCs w:val="30"/>
        </w:rPr>
        <w:t>影响等。</w:t>
      </w:r>
      <w:bookmarkStart w:id="2" w:name="_GoBack"/>
      <w:bookmarkEnd w:id="2"/>
    </w:p>
    <w:p w14:paraId="20F38009">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（二）说明每项议案的具体内容。所审议案需按照中国证监会有关规定或本所制定的公告格式进行公告的，应当另行披露详细的相关重大事件公告，并在董事会决议公告中说明该重大事件公告的名称。</w:t>
      </w:r>
    </w:p>
    <w:p w14:paraId="1446597B">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（三）所审议案涉及关联交易、关联董事需回避表决的，应当说明关联董事的姓名以及回避表决情况。</w:t>
      </w:r>
    </w:p>
    <w:p w14:paraId="4B35393D">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所审议案需经审计委员会、全体独立董事过半数同意，提名委员会、薪酬与考核委员会提出建议，或中介机构发表意见的，应说明相关情况。董事会对提名委员会、薪酬与考核委员会的建议未采纳或未完全采纳的，应当披露未采纳的具体理由。</w:t>
      </w:r>
    </w:p>
    <w:p w14:paraId="0E9CF413">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（五）审议通过的议案需提交股东会审议的，应当在董事会决议公告中明确说明“本议案需提交股东会审议”。</w:t>
      </w:r>
    </w:p>
    <w:p w14:paraId="3B1698E6">
      <w:pPr>
        <w:adjustRightInd w:val="0"/>
        <w:snapToGrid w:val="0"/>
        <w:spacing w:line="560" w:lineRule="exact"/>
        <w:ind w:firstLine="600" w:firstLineChars="200"/>
        <w:rPr>
          <w:rFonts w:ascii="仿宋" w:hAnsi="仿宋" w:eastAsia="仿宋_GB2312"/>
          <w:color w:val="000000"/>
          <w:sz w:val="30"/>
          <w:szCs w:val="30"/>
        </w:rPr>
      </w:pPr>
    </w:p>
    <w:p w14:paraId="3DD879BF">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14:paraId="05CFEF2E">
      <w:pPr>
        <w:adjustRightInd w:val="0"/>
        <w:snapToGrid w:val="0"/>
        <w:spacing w:line="560" w:lineRule="exact"/>
        <w:ind w:firstLine="480" w:firstLineChars="200"/>
        <w:rPr>
          <w:rFonts w:ascii="楷体" w:hAnsi="楷体" w:eastAsia="楷体"/>
          <w:color w:val="000000"/>
          <w:sz w:val="24"/>
          <w:szCs w:val="24"/>
        </w:rPr>
      </w:pPr>
      <w:r>
        <w:rPr>
          <w:rFonts w:ascii="楷体" w:hAnsi="楷体" w:eastAsia="楷体"/>
          <w:color w:val="000000"/>
          <w:sz w:val="24"/>
          <w:szCs w:val="24"/>
        </w:rPr>
        <w:t>（编制提醒</w:t>
      </w:r>
      <w:r>
        <w:rPr>
          <w:rFonts w:hint="eastAsia" w:ascii="楷体" w:hAnsi="楷体" w:eastAsia="楷体"/>
          <w:color w:val="000000"/>
          <w:sz w:val="24"/>
          <w:szCs w:val="24"/>
        </w:rPr>
        <w:t>：董事会仅审议了一项议案</w:t>
      </w:r>
      <w:r>
        <w:rPr>
          <w:rFonts w:ascii="楷体" w:hAnsi="楷体" w:eastAsia="楷体"/>
          <w:color w:val="000000"/>
          <w:sz w:val="24"/>
          <w:szCs w:val="24"/>
        </w:rPr>
        <w:t>,</w:t>
      </w:r>
      <w:r>
        <w:rPr>
          <w:rFonts w:hint="eastAsia" w:ascii="楷体" w:hAnsi="楷体" w:eastAsia="楷体"/>
          <w:color w:val="000000"/>
          <w:sz w:val="24"/>
          <w:szCs w:val="24"/>
        </w:rPr>
        <w:t>且所审议案涉及事项已有具体对应的重大事件公告</w:t>
      </w:r>
      <w:r>
        <w:rPr>
          <w:rFonts w:ascii="楷体" w:hAnsi="楷体" w:eastAsia="楷体"/>
          <w:color w:val="000000"/>
          <w:sz w:val="24"/>
          <w:szCs w:val="24"/>
        </w:rPr>
        <w:t>,</w:t>
      </w:r>
      <w:r>
        <w:rPr>
          <w:rFonts w:hint="eastAsia" w:ascii="楷体" w:hAnsi="楷体" w:eastAsia="楷体"/>
          <w:color w:val="000000"/>
          <w:sz w:val="24"/>
          <w:szCs w:val="24"/>
        </w:rPr>
        <w:t>则公司无需另行提交董事会决议公告</w:t>
      </w:r>
      <w:r>
        <w:rPr>
          <w:rFonts w:ascii="楷体" w:hAnsi="楷体" w:eastAsia="楷体"/>
          <w:color w:val="000000"/>
          <w:sz w:val="24"/>
          <w:szCs w:val="24"/>
        </w:rPr>
        <w:t>,</w:t>
      </w:r>
      <w:r>
        <w:rPr>
          <w:rFonts w:hint="eastAsia" w:ascii="楷体" w:hAnsi="楷体" w:eastAsia="楷体"/>
          <w:color w:val="000000"/>
          <w:sz w:val="24"/>
          <w:szCs w:val="24"/>
        </w:rPr>
        <w:t>仅需在前述公告中参照本公告格式说明董事会审议情况。</w:t>
      </w:r>
      <w:r>
        <w:rPr>
          <w:rFonts w:ascii="楷体" w:hAnsi="楷体" w:eastAsia="楷体"/>
          <w:color w:val="000000"/>
          <w:sz w:val="24"/>
          <w:szCs w:val="24"/>
        </w:rPr>
        <w:t>）</w:t>
      </w:r>
    </w:p>
    <w:p w14:paraId="1E237CD6">
      <w:pPr>
        <w:adjustRightInd w:val="0"/>
        <w:snapToGrid w:val="0"/>
        <w:spacing w:line="560" w:lineRule="exact"/>
        <w:ind w:firstLine="480" w:firstLineChars="200"/>
        <w:rPr>
          <w:rFonts w:ascii="楷体" w:hAnsi="楷体" w:eastAsia="楷体"/>
          <w:color w:val="000000"/>
          <w:sz w:val="24"/>
          <w:szCs w:val="24"/>
        </w:rPr>
      </w:pPr>
    </w:p>
    <w:p w14:paraId="1DA619D0">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_GB2312" w:hAnsi="宋体" w:eastAsia="仿宋_GB2312" w:cs="宋体"/>
          <w:color w:val="000000"/>
          <w:kern w:val="0"/>
          <w:sz w:val="30"/>
          <w:szCs w:val="30"/>
        </w:rPr>
        <w:t>××××</w:t>
      </w:r>
      <w:r>
        <w:rPr>
          <w:rFonts w:hint="eastAsia" w:ascii="仿宋_GB2312" w:hAnsi="仿宋_GB2312" w:eastAsia="仿宋_GB2312" w:cs="仿宋_GB2312"/>
          <w:color w:val="000000"/>
          <w:sz w:val="30"/>
          <w:szCs w:val="30"/>
        </w:rPr>
        <w:t>股</w:t>
      </w:r>
      <w:r>
        <w:rPr>
          <w:rFonts w:hint="eastAsia" w:ascii="仿宋" w:hAnsi="仿宋" w:eastAsia="仿宋_GB2312"/>
          <w:color w:val="000000"/>
          <w:sz w:val="30"/>
          <w:szCs w:val="30"/>
        </w:rPr>
        <w:t>份有限公司董事会</w:t>
      </w:r>
    </w:p>
    <w:p w14:paraId="7CB4D5F3">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w:t>
      </w:r>
      <w:r>
        <w:rPr>
          <w:rFonts w:ascii="仿宋" w:hAnsi="仿宋" w:eastAsia="仿宋_GB2312"/>
          <w:color w:val="000000"/>
          <w:sz w:val="30"/>
          <w:szCs w:val="30"/>
        </w:rPr>
        <w:t xml:space="preserve">  </w:t>
      </w:r>
      <w:r>
        <w:rPr>
          <w:rFonts w:hint="eastAsia" w:ascii="仿宋" w:hAnsi="仿宋" w:eastAsia="仿宋_GB2312"/>
          <w:color w:val="000000"/>
          <w:sz w:val="30"/>
          <w:szCs w:val="30"/>
        </w:rPr>
        <w:t>月</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14:paraId="181243D0">
      <w:pPr>
        <w:adjustRightInd w:val="0"/>
        <w:snapToGrid w:val="0"/>
        <w:spacing w:line="560" w:lineRule="exact"/>
        <w:ind w:firstLine="600" w:firstLineChars="200"/>
        <w:jc w:val="right"/>
        <w:rPr>
          <w:rFonts w:ascii="仿宋" w:hAnsi="仿宋" w:eastAsia="仿宋_GB2312"/>
          <w:color w:val="000000"/>
          <w:sz w:val="30"/>
          <w:szCs w:val="30"/>
        </w:rPr>
      </w:pPr>
    </w:p>
    <w:p w14:paraId="62E0009A">
      <w:pPr>
        <w:adjustRightInd w:val="0"/>
        <w:snapToGrid w:val="0"/>
        <w:spacing w:line="560" w:lineRule="exact"/>
        <w:ind w:firstLine="600" w:firstLineChars="200"/>
        <w:jc w:val="right"/>
        <w:rPr>
          <w:rFonts w:ascii="仿宋" w:hAnsi="仿宋" w:eastAsia="仿宋_GB2312"/>
          <w:color w:val="000000"/>
          <w:sz w:val="30"/>
          <w:szCs w:val="30"/>
        </w:rPr>
      </w:pPr>
    </w:p>
    <w:p w14:paraId="26F97CAE">
      <w:pPr>
        <w:pStyle w:val="13"/>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43994918">
      <w:pPr>
        <w:numPr>
          <w:ilvl w:val="0"/>
          <w:numId w:val="3"/>
        </w:numPr>
        <w:tabs>
          <w:tab w:val="left" w:pos="930"/>
          <w:tab w:val="clear" w:pos="312"/>
        </w:tabs>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经与会董事签字确认的董事会决议</w:t>
      </w:r>
    </w:p>
    <w:p w14:paraId="52FADC6E">
      <w:pPr>
        <w:numPr>
          <w:ilvl w:val="0"/>
          <w:numId w:val="3"/>
        </w:numPr>
        <w:tabs>
          <w:tab w:val="left" w:pos="930"/>
          <w:tab w:val="clear" w:pos="312"/>
        </w:tabs>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董事会专门委员会审议、独立董事过半数同意的证明文件（如适用）</w:t>
      </w:r>
    </w:p>
    <w:p w14:paraId="2872987C">
      <w:pPr>
        <w:adjustRightInd w:val="0"/>
        <w:snapToGrid w:val="0"/>
        <w:spacing w:line="560" w:lineRule="exact"/>
        <w:ind w:firstLine="600" w:firstLineChars="200"/>
        <w:rPr>
          <w:rFonts w:ascii="仿宋" w:hAnsi="仿宋" w:eastAsia="仿宋_GB2312"/>
          <w:color w:val="000000"/>
          <w:sz w:val="30"/>
          <w:szCs w:val="30"/>
        </w:rPr>
      </w:pPr>
    </w:p>
    <w:p w14:paraId="6DC3F6C0">
      <w:pPr>
        <w:adjustRightInd w:val="0"/>
        <w:snapToGrid w:val="0"/>
        <w:spacing w:line="560" w:lineRule="exact"/>
        <w:ind w:firstLine="600" w:firstLineChars="200"/>
        <w:rPr>
          <w:rFonts w:ascii="仿宋_GB2312" w:hAnsi="宋体" w:eastAsia="仿宋_GB2312" w:cs="宋体"/>
          <w:kern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00500000000000000"/>
    <w:charset w:val="86"/>
    <w:family w:val="modern"/>
    <w:pitch w:val="default"/>
    <w:sig w:usb0="A00002BF" w:usb1="5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53A07A62">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E83D3"/>
    <w:multiLevelType w:val="singleLevel"/>
    <w:tmpl w:val="9E7E83D3"/>
    <w:lvl w:ilvl="0" w:tentative="0">
      <w:start w:val="1"/>
      <w:numFmt w:val="decimal"/>
      <w:lvlText w:val="%1."/>
      <w:lvlJc w:val="left"/>
      <w:pPr>
        <w:tabs>
          <w:tab w:val="left" w:pos="312"/>
        </w:tabs>
      </w:pPr>
    </w:lvl>
  </w:abstractNum>
  <w:abstractNum w:abstractNumId="1">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2">
    <w:nsid w:val="65AE7EB0"/>
    <w:multiLevelType w:val="multilevel"/>
    <w:tmpl w:val="65AE7EB0"/>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30"/>
        </w:tabs>
        <w:ind w:left="930" w:hanging="360"/>
      </w:pPr>
      <w:rPr>
        <w:rFonts w:cs="Times New Roman"/>
      </w:rPr>
    </w:lvl>
    <w:lvl w:ilvl="2" w:tentative="0">
      <w:start w:val="1"/>
      <w:numFmt w:val="decimal"/>
      <w:lvlText w:val="%3."/>
      <w:lvlJc w:val="left"/>
      <w:pPr>
        <w:tabs>
          <w:tab w:val="left" w:pos="1650"/>
        </w:tabs>
        <w:ind w:left="1650" w:hanging="360"/>
      </w:pPr>
      <w:rPr>
        <w:rFonts w:cs="Times New Roman"/>
      </w:rPr>
    </w:lvl>
    <w:lvl w:ilvl="3" w:tentative="0">
      <w:start w:val="1"/>
      <w:numFmt w:val="decimal"/>
      <w:lvlText w:val="%4."/>
      <w:lvlJc w:val="left"/>
      <w:pPr>
        <w:tabs>
          <w:tab w:val="left" w:pos="2370"/>
        </w:tabs>
        <w:ind w:left="2370" w:hanging="360"/>
      </w:pPr>
      <w:rPr>
        <w:rFonts w:cs="Times New Roman"/>
      </w:rPr>
    </w:lvl>
    <w:lvl w:ilvl="4" w:tentative="0">
      <w:start w:val="1"/>
      <w:numFmt w:val="decimal"/>
      <w:lvlText w:val="%5."/>
      <w:lvlJc w:val="left"/>
      <w:pPr>
        <w:tabs>
          <w:tab w:val="left" w:pos="3090"/>
        </w:tabs>
        <w:ind w:left="3090" w:hanging="360"/>
      </w:pPr>
      <w:rPr>
        <w:rFonts w:cs="Times New Roman"/>
      </w:rPr>
    </w:lvl>
    <w:lvl w:ilvl="5" w:tentative="0">
      <w:start w:val="1"/>
      <w:numFmt w:val="decimal"/>
      <w:lvlText w:val="%6."/>
      <w:lvlJc w:val="left"/>
      <w:pPr>
        <w:tabs>
          <w:tab w:val="left" w:pos="3810"/>
        </w:tabs>
        <w:ind w:left="3810" w:hanging="360"/>
      </w:pPr>
      <w:rPr>
        <w:rFonts w:cs="Times New Roman"/>
      </w:rPr>
    </w:lvl>
    <w:lvl w:ilvl="6" w:tentative="0">
      <w:start w:val="1"/>
      <w:numFmt w:val="decimal"/>
      <w:lvlText w:val="%7."/>
      <w:lvlJc w:val="left"/>
      <w:pPr>
        <w:tabs>
          <w:tab w:val="left" w:pos="4530"/>
        </w:tabs>
        <w:ind w:left="4530" w:hanging="360"/>
      </w:pPr>
      <w:rPr>
        <w:rFonts w:cs="Times New Roman"/>
      </w:rPr>
    </w:lvl>
    <w:lvl w:ilvl="7" w:tentative="0">
      <w:start w:val="1"/>
      <w:numFmt w:val="decimal"/>
      <w:lvlText w:val="%8."/>
      <w:lvlJc w:val="left"/>
      <w:pPr>
        <w:tabs>
          <w:tab w:val="left" w:pos="5250"/>
        </w:tabs>
        <w:ind w:left="5250" w:hanging="360"/>
      </w:pPr>
      <w:rPr>
        <w:rFonts w:cs="Times New Roman"/>
      </w:rPr>
    </w:lvl>
    <w:lvl w:ilvl="8" w:tentative="0">
      <w:start w:val="1"/>
      <w:numFmt w:val="decimal"/>
      <w:lvlText w:val="%9."/>
      <w:lvlJc w:val="left"/>
      <w:pPr>
        <w:tabs>
          <w:tab w:val="left" w:pos="5970"/>
        </w:tabs>
        <w:ind w:left="5970" w:hanging="360"/>
      </w:pPr>
      <w:rPr>
        <w:rFonts w:cs="Times New Roman"/>
      </w:rPr>
    </w:lvl>
  </w:abstractNum>
  <w:num w:numId="1">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27E2"/>
    <w:rsid w:val="0008555B"/>
    <w:rsid w:val="000B1A1F"/>
    <w:rsid w:val="000D459A"/>
    <w:rsid w:val="00123266"/>
    <w:rsid w:val="0014777F"/>
    <w:rsid w:val="00192BD0"/>
    <w:rsid w:val="001A727A"/>
    <w:rsid w:val="001D06CF"/>
    <w:rsid w:val="00207B64"/>
    <w:rsid w:val="00225FE6"/>
    <w:rsid w:val="00243128"/>
    <w:rsid w:val="00252550"/>
    <w:rsid w:val="002B6913"/>
    <w:rsid w:val="003571E3"/>
    <w:rsid w:val="00390D91"/>
    <w:rsid w:val="00391A1B"/>
    <w:rsid w:val="003E38F1"/>
    <w:rsid w:val="004A790E"/>
    <w:rsid w:val="004B5841"/>
    <w:rsid w:val="004D041E"/>
    <w:rsid w:val="004D0E8E"/>
    <w:rsid w:val="004E7C16"/>
    <w:rsid w:val="00522BE2"/>
    <w:rsid w:val="0052694E"/>
    <w:rsid w:val="005429C2"/>
    <w:rsid w:val="0055216A"/>
    <w:rsid w:val="005A2954"/>
    <w:rsid w:val="006150E2"/>
    <w:rsid w:val="006704CD"/>
    <w:rsid w:val="006E4DD1"/>
    <w:rsid w:val="00714B84"/>
    <w:rsid w:val="00726F44"/>
    <w:rsid w:val="00774170"/>
    <w:rsid w:val="00784666"/>
    <w:rsid w:val="007B073D"/>
    <w:rsid w:val="007B1916"/>
    <w:rsid w:val="007C3FFA"/>
    <w:rsid w:val="008320FC"/>
    <w:rsid w:val="008A06E7"/>
    <w:rsid w:val="0090186C"/>
    <w:rsid w:val="00915D39"/>
    <w:rsid w:val="00947C32"/>
    <w:rsid w:val="009B47DE"/>
    <w:rsid w:val="009D1A30"/>
    <w:rsid w:val="009E3152"/>
    <w:rsid w:val="00A27D2E"/>
    <w:rsid w:val="00A51C23"/>
    <w:rsid w:val="00A823F8"/>
    <w:rsid w:val="00AC3419"/>
    <w:rsid w:val="00AF1D52"/>
    <w:rsid w:val="00BB61B6"/>
    <w:rsid w:val="00BC233A"/>
    <w:rsid w:val="00BC6717"/>
    <w:rsid w:val="00BF55AE"/>
    <w:rsid w:val="00BF7BDB"/>
    <w:rsid w:val="00C176A6"/>
    <w:rsid w:val="00C47186"/>
    <w:rsid w:val="00CB3486"/>
    <w:rsid w:val="00CB5EB0"/>
    <w:rsid w:val="00CC6263"/>
    <w:rsid w:val="00D40293"/>
    <w:rsid w:val="00D45861"/>
    <w:rsid w:val="00D46F41"/>
    <w:rsid w:val="00D7038D"/>
    <w:rsid w:val="00D8189C"/>
    <w:rsid w:val="00DB744D"/>
    <w:rsid w:val="00DD62E6"/>
    <w:rsid w:val="00DE3385"/>
    <w:rsid w:val="00DF73E8"/>
    <w:rsid w:val="00E301F1"/>
    <w:rsid w:val="00E558AE"/>
    <w:rsid w:val="00E95F43"/>
    <w:rsid w:val="00EC496E"/>
    <w:rsid w:val="00EE084C"/>
    <w:rsid w:val="00EE6905"/>
    <w:rsid w:val="00EF008A"/>
    <w:rsid w:val="00F0268C"/>
    <w:rsid w:val="00F670DD"/>
    <w:rsid w:val="00FE6306"/>
    <w:rsid w:val="00FF7741"/>
    <w:rsid w:val="0D8E3248"/>
    <w:rsid w:val="0F5B1FBE"/>
    <w:rsid w:val="30235313"/>
    <w:rsid w:val="37F6649E"/>
    <w:rsid w:val="5150387B"/>
    <w:rsid w:val="521827E2"/>
    <w:rsid w:val="54CA7B2B"/>
    <w:rsid w:val="77D11EA6"/>
    <w:rsid w:val="7DFA3E2A"/>
    <w:rsid w:val="9F7D7758"/>
    <w:rsid w:val="D77F4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6"/>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批注框文本 字符"/>
    <w:basedOn w:val="9"/>
    <w:link w:val="3"/>
    <w:qFormat/>
    <w:uiPriority w:val="0"/>
    <w:rPr>
      <w:kern w:val="2"/>
      <w:sz w:val="18"/>
      <w:szCs w:val="18"/>
    </w:rPr>
  </w:style>
  <w:style w:type="character" w:customStyle="1" w:styleId="15">
    <w:name w:val="批注文字 字符"/>
    <w:basedOn w:val="9"/>
    <w:link w:val="2"/>
    <w:qFormat/>
    <w:uiPriority w:val="0"/>
    <w:rPr>
      <w:kern w:val="2"/>
      <w:sz w:val="21"/>
      <w:szCs w:val="22"/>
    </w:rPr>
  </w:style>
  <w:style w:type="character" w:customStyle="1" w:styleId="16">
    <w:name w:val="批注主题 字符"/>
    <w:basedOn w:val="15"/>
    <w:link w:val="7"/>
    <w:qFormat/>
    <w:uiPriority w:val="0"/>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Words>
  <Characters>1095</Characters>
  <Lines>9</Lines>
  <Paragraphs>2</Paragraphs>
  <TotalTime>2</TotalTime>
  <ScaleCrop>false</ScaleCrop>
  <LinksUpToDate>false</LinksUpToDate>
  <CharactersWithSpaces>1284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2023-08-02T09:49:00Z</dcterms:created>
  <dc:creator>whzhou</dc:creator>
  <cp:lastModifiedBy>xczhao</cp:lastModifiedBy>
  <dcterms:modified xsi:type="dcterms:W3CDTF">2025-03-13T10:49:35Z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75782A7EDD734487B38F2D70CA85C858_13</vt:lpwstr>
  </property>
</Properties>
</file>