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E1F63">
      <w:pPr>
        <w:pStyle w:val="32"/>
        <w:spacing w:line="540" w:lineRule="exact"/>
        <w:ind w:firstLine="0" w:firstLineChars="0"/>
        <w:jc w:val="left"/>
        <w:rPr>
          <w:rFonts w:hint="eastAsia" w:ascii="Times New Roman" w:hAnsi="Times New Roman" w:eastAsia="仿宋_GB2312" w:cs="黑体"/>
          <w:bCs/>
          <w:sz w:val="32"/>
          <w:szCs w:val="32"/>
          <w:lang w:eastAsia="zh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"/>
        </w:rPr>
        <w:t>附件</w:t>
      </w:r>
      <w:r>
        <w:rPr>
          <w:rFonts w:hint="eastAsia" w:ascii="Times New Roman" w:hAnsi="Times New Roman" w:eastAsia="仿宋_GB2312" w:cs="黑体"/>
          <w:bCs/>
          <w:sz w:val="32"/>
          <w:szCs w:val="32"/>
          <w:lang w:eastAsia="zh"/>
        </w:rPr>
        <w:t>2</w:t>
      </w:r>
    </w:p>
    <w:p w14:paraId="744DFB5C">
      <w:pPr>
        <w:spacing w:line="540" w:lineRule="exact"/>
        <w:rPr>
          <w:rFonts w:ascii="Times New Roman" w:hAnsi="Times New Roman" w:eastAsia="黑体"/>
          <w:sz w:val="32"/>
          <w:szCs w:val="32"/>
        </w:rPr>
      </w:pPr>
    </w:p>
    <w:p w14:paraId="1DBD8B74">
      <w:pPr>
        <w:spacing w:line="540" w:lineRule="exact"/>
        <w:jc w:val="center"/>
        <w:outlineLvl w:val="0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《上海证券交易所科创板股票上市规则</w:t>
      </w:r>
    </w:p>
    <w:p w14:paraId="09DCBB05">
      <w:pPr>
        <w:spacing w:line="540" w:lineRule="exact"/>
        <w:jc w:val="center"/>
        <w:outlineLvl w:val="0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（2025年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月修订）》修订说明</w:t>
      </w:r>
    </w:p>
    <w:p w14:paraId="6AB391E7">
      <w:pPr>
        <w:spacing w:line="540" w:lineRule="exact"/>
        <w:ind w:firstLine="600" w:firstLineChars="200"/>
        <w:rPr>
          <w:rFonts w:ascii="楷体_GB2312" w:eastAsia="楷体_GB2312"/>
          <w:sz w:val="30"/>
          <w:szCs w:val="30"/>
        </w:rPr>
      </w:pPr>
    </w:p>
    <w:p w14:paraId="53A17EFC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为深入落实《中华人民共和国公司法》（以下简称《公司法》）精神，推动科创板上市公司优化内部治理结构，促进公司规范运作，切实保护中小投资者合法权益，上海证券交易所</w:t>
      </w:r>
      <w:r>
        <w:rPr>
          <w:rFonts w:hint="eastAsia" w:ascii="Times New Roman" w:hAnsi="Times New Roman" w:eastAsia="仿宋_GB2312"/>
          <w:sz w:val="30"/>
          <w:szCs w:val="30"/>
        </w:rPr>
        <w:t>（以下简称本所）</w:t>
      </w:r>
      <w:r>
        <w:rPr>
          <w:rFonts w:ascii="Times New Roman" w:hAnsi="Times New Roman" w:eastAsia="仿宋_GB2312"/>
          <w:sz w:val="30"/>
          <w:szCs w:val="30"/>
        </w:rPr>
        <w:t>修订了《上海证券交易所科创板股票上市规则》（以下简称《科创板上市规则》），现将有关情况说明如下。</w:t>
      </w:r>
    </w:p>
    <w:p w14:paraId="5EB68E50">
      <w:pPr>
        <w:spacing w:line="540" w:lineRule="exact"/>
        <w:ind w:firstLine="600" w:firstLineChars="200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一、修订背景</w:t>
      </w:r>
    </w:p>
    <w:p w14:paraId="51E4CEF7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2023年12月29日，第十四届全国人民代表大会常务委员会第七次会议修订通过了《公司法》，将于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2024年7月1</w:t>
      </w:r>
      <w:r>
        <w:rPr>
          <w:rFonts w:ascii="Times New Roman" w:hAnsi="Times New Roman" w:eastAsia="仿宋_GB2312"/>
          <w:sz w:val="30"/>
          <w:szCs w:val="30"/>
        </w:rPr>
        <w:t>日起施行。此次修订是一次系统、全面的修订，对公司治理结构、股东权利保护、控股股东、实际控制人和董事、监事、高级管理人员责任进行了优化调整。为全面落实新《公司法》精神，证监会修订《上市公司章程指引》等规则，进一步完善上市公司治理结构及其运行制度。《科创板上市规则》作为</w:t>
      </w:r>
      <w:r>
        <w:rPr>
          <w:rFonts w:hint="eastAsia" w:ascii="Times New Roman" w:hAnsi="Times New Roman" w:eastAsia="仿宋_GB2312"/>
          <w:sz w:val="30"/>
          <w:szCs w:val="30"/>
        </w:rPr>
        <w:t>证券</w:t>
      </w:r>
      <w:r>
        <w:rPr>
          <w:rFonts w:ascii="Times New Roman" w:hAnsi="Times New Roman" w:eastAsia="仿宋_GB2312"/>
          <w:sz w:val="30"/>
          <w:szCs w:val="30"/>
        </w:rPr>
        <w:t>交易所履行信息披露自律监管的基础性规则，需要相应调整，与新《公司法》的有关要求在业务规则层面做好衔接。</w:t>
      </w:r>
    </w:p>
    <w:p w14:paraId="4D9D81C7">
      <w:pPr>
        <w:spacing w:line="540" w:lineRule="exact"/>
        <w:ind w:firstLine="600" w:firstLineChars="200"/>
        <w:outlineLvl w:val="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二、主要修订内容</w:t>
      </w:r>
    </w:p>
    <w:p w14:paraId="1049D005">
      <w:pPr>
        <w:spacing w:line="54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一是明确审计委员会的职责承接及运行安排。</w:t>
      </w:r>
      <w:r>
        <w:rPr>
          <w:rFonts w:ascii="Times New Roman" w:hAnsi="Times New Roman" w:eastAsia="仿宋_GB2312"/>
          <w:sz w:val="30"/>
          <w:szCs w:val="30"/>
        </w:rPr>
        <w:t>其一，明确审计委员会按照规定承接监事会职权。集中就审计委员会承接监事会的职责作出规定，在承担审核公司财务信息及其披露、监督及评估内外部审计工作和内部控制职责的同时，增加审计委员会承接《公司法》规定的监事会具体职责的条款，删除零散的监事会、监事相关条款。其二，明确审计委员会等专门委员会的运行机制与履职规范。对包含审计委员会在内的专门委员会的构成、职责及履职规范予以完善，规范董事会专门委员会决议签字、报送等要求。</w:t>
      </w:r>
    </w:p>
    <w:p w14:paraId="31DEA08E">
      <w:pPr>
        <w:suppressAutoHyphens/>
        <w:spacing w:line="540" w:lineRule="exact"/>
        <w:ind w:right="1" w:firstLine="600"/>
        <w:rPr>
          <w:rFonts w:ascii="Times New Roman" w:hAnsi="Times New Roman" w:eastAsia="仿宋_GB2312"/>
          <w:kern w:val="1"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二是强化董事、高级管理人员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及“双控人”的履</w:t>
      </w:r>
      <w:r>
        <w:rPr>
          <w:rFonts w:ascii="Times New Roman" w:hAnsi="Times New Roman" w:eastAsia="仿宋_GB2312"/>
          <w:b/>
          <w:sz w:val="30"/>
          <w:szCs w:val="30"/>
        </w:rPr>
        <w:t>职要求。</w:t>
      </w:r>
      <w:r>
        <w:rPr>
          <w:rFonts w:ascii="Times New Roman" w:hAnsi="Times New Roman" w:eastAsia="仿宋_GB2312"/>
          <w:sz w:val="30"/>
          <w:szCs w:val="30"/>
        </w:rPr>
        <w:t>其一，</w:t>
      </w:r>
      <w:r>
        <w:rPr>
          <w:rFonts w:ascii="Times New Roman" w:hAnsi="Times New Roman" w:eastAsia="仿宋_GB2312"/>
          <w:bCs/>
          <w:kern w:val="1"/>
          <w:sz w:val="30"/>
          <w:szCs w:val="30"/>
        </w:rPr>
        <w:t>完善董事、高级管理人员忠实、勤勉义务的相关规定。</w:t>
      </w:r>
      <w:r>
        <w:rPr>
          <w:rFonts w:ascii="Times New Roman" w:hAnsi="Times New Roman" w:eastAsia="仿宋_GB2312"/>
          <w:kern w:val="1"/>
          <w:sz w:val="30"/>
          <w:szCs w:val="30"/>
        </w:rPr>
        <w:t>细化董事、高级管理人员忠实、勤勉义务的内涵，完善董事、高级管理人员与公司订立合同或进行交易、谋取公司商业机会、与公司经营同类营业等事项具体要求。</w:t>
      </w:r>
      <w:r>
        <w:rPr>
          <w:rFonts w:ascii="Times New Roman" w:hAnsi="Times New Roman" w:eastAsia="仿宋_GB2312"/>
          <w:bCs/>
          <w:kern w:val="1"/>
          <w:sz w:val="30"/>
          <w:szCs w:val="30"/>
        </w:rPr>
        <w:t>其二，新增事实董事相关规定。</w:t>
      </w:r>
      <w:r>
        <w:rPr>
          <w:rFonts w:ascii="Times New Roman" w:hAnsi="Times New Roman" w:eastAsia="仿宋_GB2312"/>
          <w:kern w:val="1"/>
          <w:sz w:val="30"/>
          <w:szCs w:val="30"/>
        </w:rPr>
        <w:t>明确控股股东、实际控制人不担任公司董事但实际执行公司事务的，应当遵守关于董事忠实、勤勉义务的规定。</w:t>
      </w:r>
    </w:p>
    <w:p w14:paraId="0952B441">
      <w:pPr>
        <w:spacing w:line="540" w:lineRule="exact"/>
        <w:ind w:firstLine="602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bCs/>
          <w:kern w:val="1"/>
          <w:sz w:val="30"/>
          <w:szCs w:val="30"/>
        </w:rPr>
        <w:t>三是</w:t>
      </w:r>
      <w:r>
        <w:rPr>
          <w:rFonts w:ascii="Times New Roman" w:hAnsi="Times New Roman" w:eastAsia="仿宋_GB2312"/>
          <w:b/>
          <w:sz w:val="30"/>
          <w:szCs w:val="30"/>
        </w:rPr>
        <w:t>强化股东特别是中小股东的权利保障。</w:t>
      </w:r>
      <w:r>
        <w:rPr>
          <w:rFonts w:ascii="Times New Roman" w:hAnsi="Times New Roman" w:eastAsia="仿宋_GB2312"/>
          <w:sz w:val="30"/>
          <w:szCs w:val="30"/>
        </w:rPr>
        <w:t>其一，严格关联交易的监管要求。进一步落实独立董事改革要求，</w:t>
      </w:r>
      <w:r>
        <w:rPr>
          <w:rFonts w:ascii="Times New Roman" w:hAnsi="Times New Roman" w:eastAsia="仿宋_GB2312"/>
          <w:bCs/>
          <w:sz w:val="30"/>
          <w:szCs w:val="30"/>
        </w:rPr>
        <w:t>增加董事、高级管理人员等关键少数向董事会报送关联人名单的要求，</w:t>
      </w:r>
      <w:r>
        <w:rPr>
          <w:rFonts w:ascii="Times New Roman" w:hAnsi="Times New Roman" w:eastAsia="仿宋_GB2312"/>
          <w:sz w:val="30"/>
          <w:szCs w:val="30"/>
        </w:rPr>
        <w:t>明确关联交易需履行董事会审议程序的标准。其二，完善存在表决权差异安排公司的决策机制。</w:t>
      </w:r>
      <w:r>
        <w:rPr>
          <w:rFonts w:ascii="Times New Roman" w:hAnsi="Times New Roman" w:eastAsia="仿宋_GB2312"/>
          <w:bCs/>
          <w:sz w:val="30"/>
          <w:szCs w:val="30"/>
        </w:rPr>
        <w:t>进一步</w:t>
      </w:r>
      <w:r>
        <w:rPr>
          <w:rFonts w:ascii="Times New Roman" w:hAnsi="Times New Roman" w:eastAsia="仿宋_GB2312"/>
          <w:sz w:val="30"/>
          <w:szCs w:val="30"/>
        </w:rPr>
        <w:t>明确特别表决权</w:t>
      </w:r>
      <w:r>
        <w:rPr>
          <w:rFonts w:hint="eastAsia" w:ascii="仿宋_GB2312" w:hAnsi="仿宋_GB2312" w:eastAsia="仿宋_GB2312" w:cs="仿宋_GB2312"/>
          <w:sz w:val="30"/>
          <w:szCs w:val="30"/>
        </w:rPr>
        <w:t>股份“一股一票”</w:t>
      </w:r>
      <w:r>
        <w:rPr>
          <w:rFonts w:ascii="Times New Roman" w:hAnsi="Times New Roman" w:eastAsia="仿宋_GB2312"/>
          <w:sz w:val="30"/>
          <w:szCs w:val="30"/>
        </w:rPr>
        <w:t>的适用情形，以及须经类别股股东会会议审议通过的事项。</w:t>
      </w:r>
      <w:r>
        <w:rPr>
          <w:rFonts w:ascii="Times New Roman" w:hAnsi="Times New Roman" w:eastAsia="仿宋_GB2312"/>
          <w:bCs/>
          <w:sz w:val="30"/>
          <w:szCs w:val="30"/>
        </w:rPr>
        <w:t>其三，保障中小股东提案权。</w:t>
      </w:r>
      <w:r>
        <w:rPr>
          <w:rFonts w:ascii="Times New Roman" w:hAnsi="Times New Roman" w:eastAsia="仿宋_GB2312"/>
          <w:sz w:val="30"/>
          <w:szCs w:val="30"/>
        </w:rPr>
        <w:t>将临时提案股东持股比例由3%降低至1%，同时规定公司不得提高提出临时提案股东的持股比例。</w:t>
      </w:r>
    </w:p>
    <w:p w14:paraId="4E833F54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此外，本次修订还完善了定期报告、重大交易与关联交易、会计政策、会计估计变更及资产减值等事项的监管要求，并进行了部分文字表述调整。</w:t>
      </w:r>
    </w:p>
    <w:p w14:paraId="75A03736">
      <w:pPr>
        <w:overflowPunct/>
        <w:snapToGrid/>
        <w:spacing w:line="540" w:lineRule="exact"/>
        <w:ind w:firstLine="600" w:firstLineChars="200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三、公众意见及采纳情况</w:t>
      </w:r>
    </w:p>
    <w:p w14:paraId="10B01B7B">
      <w:pPr>
        <w:spacing w:line="560" w:lineRule="exact"/>
        <w:ind w:firstLine="600" w:firstLineChars="200"/>
      </w:pPr>
      <w:r>
        <w:rPr>
          <w:rFonts w:hint="eastAsia" w:ascii="仿宋_GB2312" w:hAnsi="仿宋" w:eastAsia="仿宋_GB2312" w:cs="Arial"/>
          <w:color w:val="000000"/>
          <w:sz w:val="30"/>
          <w:szCs w:val="30"/>
        </w:rPr>
        <w:t>自2024年12月27日公开征求意见以来，本所收到了个人投资者、上市公司、证券服务机构等主体反馈的各类意见、建议共46条。总的来看，市场主体对本次落实新《公司法》相关规则修订工作予以积极评价，同时对部分规则条款提出了完善意见。本所高度重视，逐项研究、评估，对于合理化意见建议，加以吸收采纳。少量未予采纳的意见中，有的与上位规则不一致，如建议调整审计委员会召开频次要求、调整董事辞职报告的生效时间等；有的各方还存在一定分歧，如修改其他风险警示情形、完善差异表决权监督等。后续，将进一步研究论证，待条件成熟时提出落实安排。此外，对于规则理解适用层面的意见建议，后续将加大规则宣传培训力度，帮助市场主体更好理解和适用规则。</w:t>
      </w:r>
    </w:p>
    <w:p w14:paraId="717F2FE0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特此说明。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Liberation Serif">
    <w:altName w:val="Times New Roman"/>
    <w:panose1 w:val="02020603050405020304"/>
    <w:charset w:val="01"/>
    <w:family w:val="roman"/>
    <w:pitch w:val="default"/>
    <w:sig w:usb0="00000000" w:usb1="00000000" w:usb2="00000000" w:usb3="00000000" w:csb0="6000009F" w:csb1="DFD7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lbany">
    <w:altName w:val="宋体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楷体_GB2312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BBB8">
    <w:pPr>
      <w:pStyle w:val="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  <w:lang w:val="zh-CN"/>
      </w:rPr>
      <w:fldChar w:fldCharType="end"/>
    </w:r>
  </w:p>
  <w:p w14:paraId="38359785">
    <w:pPr>
      <w:pStyle w:val="9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49E12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ZGNlY2U2YzgyZTA5MjA2OWI2MTBiMDAyMmZkMzgifQ=="/>
  </w:docVars>
  <w:rsids>
    <w:rsidRoot w:val="00B368EB"/>
    <w:rsid w:val="0001677C"/>
    <w:rsid w:val="000242E6"/>
    <w:rsid w:val="000264C6"/>
    <w:rsid w:val="00044ED1"/>
    <w:rsid w:val="00047181"/>
    <w:rsid w:val="000620A5"/>
    <w:rsid w:val="00064325"/>
    <w:rsid w:val="00084119"/>
    <w:rsid w:val="000955C8"/>
    <w:rsid w:val="000A5C88"/>
    <w:rsid w:val="000B49AE"/>
    <w:rsid w:val="000C06C7"/>
    <w:rsid w:val="000C2435"/>
    <w:rsid w:val="000C734C"/>
    <w:rsid w:val="000D451C"/>
    <w:rsid w:val="000F04FD"/>
    <w:rsid w:val="00111214"/>
    <w:rsid w:val="0011238E"/>
    <w:rsid w:val="00123B22"/>
    <w:rsid w:val="0013459D"/>
    <w:rsid w:val="0015489F"/>
    <w:rsid w:val="00160657"/>
    <w:rsid w:val="001610BF"/>
    <w:rsid w:val="001808D1"/>
    <w:rsid w:val="00181620"/>
    <w:rsid w:val="001A0BD6"/>
    <w:rsid w:val="001C1157"/>
    <w:rsid w:val="001D2393"/>
    <w:rsid w:val="001D2866"/>
    <w:rsid w:val="001D7DE4"/>
    <w:rsid w:val="001E34CF"/>
    <w:rsid w:val="001E465C"/>
    <w:rsid w:val="001F0A15"/>
    <w:rsid w:val="00241E5A"/>
    <w:rsid w:val="00263CCF"/>
    <w:rsid w:val="00267B97"/>
    <w:rsid w:val="00280213"/>
    <w:rsid w:val="00280D98"/>
    <w:rsid w:val="002839C4"/>
    <w:rsid w:val="00292711"/>
    <w:rsid w:val="002B7883"/>
    <w:rsid w:val="002D04CD"/>
    <w:rsid w:val="0030461C"/>
    <w:rsid w:val="00341DDC"/>
    <w:rsid w:val="00360567"/>
    <w:rsid w:val="003660E9"/>
    <w:rsid w:val="00373836"/>
    <w:rsid w:val="00374ED2"/>
    <w:rsid w:val="0037720B"/>
    <w:rsid w:val="003A0B4D"/>
    <w:rsid w:val="003A10CE"/>
    <w:rsid w:val="003A781E"/>
    <w:rsid w:val="003B3A80"/>
    <w:rsid w:val="003B5466"/>
    <w:rsid w:val="003F5124"/>
    <w:rsid w:val="004005AE"/>
    <w:rsid w:val="004174C2"/>
    <w:rsid w:val="004226F8"/>
    <w:rsid w:val="00444456"/>
    <w:rsid w:val="00447436"/>
    <w:rsid w:val="0047526D"/>
    <w:rsid w:val="00476555"/>
    <w:rsid w:val="00476ACB"/>
    <w:rsid w:val="004862E3"/>
    <w:rsid w:val="004965F1"/>
    <w:rsid w:val="004A4A82"/>
    <w:rsid w:val="004A7F5F"/>
    <w:rsid w:val="004C076C"/>
    <w:rsid w:val="004F1A60"/>
    <w:rsid w:val="004F3985"/>
    <w:rsid w:val="005051B0"/>
    <w:rsid w:val="00510390"/>
    <w:rsid w:val="005141AA"/>
    <w:rsid w:val="0052198A"/>
    <w:rsid w:val="00526BFD"/>
    <w:rsid w:val="00531916"/>
    <w:rsid w:val="00553621"/>
    <w:rsid w:val="005818A7"/>
    <w:rsid w:val="00582296"/>
    <w:rsid w:val="005A3862"/>
    <w:rsid w:val="005B13FA"/>
    <w:rsid w:val="005B44B8"/>
    <w:rsid w:val="005E657A"/>
    <w:rsid w:val="00601340"/>
    <w:rsid w:val="00621FE9"/>
    <w:rsid w:val="006241F9"/>
    <w:rsid w:val="00630AD6"/>
    <w:rsid w:val="0065087B"/>
    <w:rsid w:val="00661715"/>
    <w:rsid w:val="00690221"/>
    <w:rsid w:val="006A22E9"/>
    <w:rsid w:val="006B2829"/>
    <w:rsid w:val="006B2C49"/>
    <w:rsid w:val="006D0DA2"/>
    <w:rsid w:val="006D4BF6"/>
    <w:rsid w:val="006F63BC"/>
    <w:rsid w:val="00714F36"/>
    <w:rsid w:val="00743D38"/>
    <w:rsid w:val="00744BF0"/>
    <w:rsid w:val="00754837"/>
    <w:rsid w:val="00763FFE"/>
    <w:rsid w:val="00776519"/>
    <w:rsid w:val="0079079A"/>
    <w:rsid w:val="00801A70"/>
    <w:rsid w:val="008075A8"/>
    <w:rsid w:val="00820A4D"/>
    <w:rsid w:val="00824A66"/>
    <w:rsid w:val="008309A4"/>
    <w:rsid w:val="008344F6"/>
    <w:rsid w:val="00836CE2"/>
    <w:rsid w:val="00896F90"/>
    <w:rsid w:val="008B0C2C"/>
    <w:rsid w:val="008D5FD6"/>
    <w:rsid w:val="008F09FF"/>
    <w:rsid w:val="008F576C"/>
    <w:rsid w:val="00904B67"/>
    <w:rsid w:val="0091319D"/>
    <w:rsid w:val="00913A3E"/>
    <w:rsid w:val="00921E3C"/>
    <w:rsid w:val="00960548"/>
    <w:rsid w:val="0099680E"/>
    <w:rsid w:val="009A350A"/>
    <w:rsid w:val="009A5589"/>
    <w:rsid w:val="009B32A6"/>
    <w:rsid w:val="009B7A1E"/>
    <w:rsid w:val="009D59D0"/>
    <w:rsid w:val="009D6D19"/>
    <w:rsid w:val="00A01222"/>
    <w:rsid w:val="00A1260B"/>
    <w:rsid w:val="00A229B7"/>
    <w:rsid w:val="00A2304D"/>
    <w:rsid w:val="00A36A20"/>
    <w:rsid w:val="00A43DC3"/>
    <w:rsid w:val="00A57A36"/>
    <w:rsid w:val="00A936A3"/>
    <w:rsid w:val="00AB2697"/>
    <w:rsid w:val="00AC094C"/>
    <w:rsid w:val="00AC2BD6"/>
    <w:rsid w:val="00AE3430"/>
    <w:rsid w:val="00AF54F8"/>
    <w:rsid w:val="00AF70C7"/>
    <w:rsid w:val="00B22946"/>
    <w:rsid w:val="00B368EB"/>
    <w:rsid w:val="00B37C49"/>
    <w:rsid w:val="00B4314E"/>
    <w:rsid w:val="00B72E85"/>
    <w:rsid w:val="00B813DE"/>
    <w:rsid w:val="00B86118"/>
    <w:rsid w:val="00BA2A9D"/>
    <w:rsid w:val="00BA3E7F"/>
    <w:rsid w:val="00BA5688"/>
    <w:rsid w:val="00BF0E53"/>
    <w:rsid w:val="00BF14AB"/>
    <w:rsid w:val="00C01A61"/>
    <w:rsid w:val="00C1741E"/>
    <w:rsid w:val="00C2344B"/>
    <w:rsid w:val="00C302C0"/>
    <w:rsid w:val="00C4307A"/>
    <w:rsid w:val="00C62D0B"/>
    <w:rsid w:val="00C956B4"/>
    <w:rsid w:val="00C96C46"/>
    <w:rsid w:val="00CC2FDF"/>
    <w:rsid w:val="00CC555A"/>
    <w:rsid w:val="00CD1CAE"/>
    <w:rsid w:val="00CF6327"/>
    <w:rsid w:val="00D33647"/>
    <w:rsid w:val="00D37B24"/>
    <w:rsid w:val="00D54F3D"/>
    <w:rsid w:val="00D602D0"/>
    <w:rsid w:val="00D7608E"/>
    <w:rsid w:val="00D9484E"/>
    <w:rsid w:val="00DA37F1"/>
    <w:rsid w:val="00DA79CE"/>
    <w:rsid w:val="00DE14E6"/>
    <w:rsid w:val="00DF1C5D"/>
    <w:rsid w:val="00DF1F34"/>
    <w:rsid w:val="00E22108"/>
    <w:rsid w:val="00E25909"/>
    <w:rsid w:val="00E25959"/>
    <w:rsid w:val="00E34887"/>
    <w:rsid w:val="00E359DB"/>
    <w:rsid w:val="00E35DCC"/>
    <w:rsid w:val="00E376AF"/>
    <w:rsid w:val="00E6285A"/>
    <w:rsid w:val="00E62F36"/>
    <w:rsid w:val="00E66797"/>
    <w:rsid w:val="00E75467"/>
    <w:rsid w:val="00E75B35"/>
    <w:rsid w:val="00E806E4"/>
    <w:rsid w:val="00EA0E50"/>
    <w:rsid w:val="00ED1781"/>
    <w:rsid w:val="00ED2034"/>
    <w:rsid w:val="00ED4DE8"/>
    <w:rsid w:val="00EE389E"/>
    <w:rsid w:val="00F10E07"/>
    <w:rsid w:val="00F13783"/>
    <w:rsid w:val="00F318B8"/>
    <w:rsid w:val="00F345FF"/>
    <w:rsid w:val="00F55AC6"/>
    <w:rsid w:val="00FB3B5F"/>
    <w:rsid w:val="00FB3EBF"/>
    <w:rsid w:val="00FB5346"/>
    <w:rsid w:val="00FB6BD3"/>
    <w:rsid w:val="00FC25D3"/>
    <w:rsid w:val="00FC5B5A"/>
    <w:rsid w:val="00FD22D0"/>
    <w:rsid w:val="00FD68F3"/>
    <w:rsid w:val="00FF1536"/>
    <w:rsid w:val="04B63D31"/>
    <w:rsid w:val="07B8229C"/>
    <w:rsid w:val="09731A98"/>
    <w:rsid w:val="099D090C"/>
    <w:rsid w:val="09D83478"/>
    <w:rsid w:val="0A243623"/>
    <w:rsid w:val="0A8F57D5"/>
    <w:rsid w:val="0B577FC0"/>
    <w:rsid w:val="0D044068"/>
    <w:rsid w:val="13440730"/>
    <w:rsid w:val="13A8090D"/>
    <w:rsid w:val="14961D95"/>
    <w:rsid w:val="16B635DE"/>
    <w:rsid w:val="17290F25"/>
    <w:rsid w:val="17407C36"/>
    <w:rsid w:val="196F2449"/>
    <w:rsid w:val="1C256DA4"/>
    <w:rsid w:val="1C5D157F"/>
    <w:rsid w:val="1DD34339"/>
    <w:rsid w:val="1F12219C"/>
    <w:rsid w:val="1F5A6E76"/>
    <w:rsid w:val="21FB6CD6"/>
    <w:rsid w:val="223157D5"/>
    <w:rsid w:val="229E0238"/>
    <w:rsid w:val="26BF6F8A"/>
    <w:rsid w:val="274A1985"/>
    <w:rsid w:val="28233866"/>
    <w:rsid w:val="2887069C"/>
    <w:rsid w:val="29DE36B2"/>
    <w:rsid w:val="2A207E29"/>
    <w:rsid w:val="2A2158AB"/>
    <w:rsid w:val="2C0B2FAE"/>
    <w:rsid w:val="2CF67A06"/>
    <w:rsid w:val="2E1D2906"/>
    <w:rsid w:val="320904E6"/>
    <w:rsid w:val="342B2F70"/>
    <w:rsid w:val="342B5C97"/>
    <w:rsid w:val="37A30ED5"/>
    <w:rsid w:val="37A3132B"/>
    <w:rsid w:val="37B77A38"/>
    <w:rsid w:val="385F4E11"/>
    <w:rsid w:val="39DD068E"/>
    <w:rsid w:val="3B8A3BF7"/>
    <w:rsid w:val="3C6E1DB2"/>
    <w:rsid w:val="3CC83D85"/>
    <w:rsid w:val="3CE678C4"/>
    <w:rsid w:val="3E006CC6"/>
    <w:rsid w:val="41390199"/>
    <w:rsid w:val="418615CC"/>
    <w:rsid w:val="427113AE"/>
    <w:rsid w:val="42B46E87"/>
    <w:rsid w:val="46614287"/>
    <w:rsid w:val="472460C4"/>
    <w:rsid w:val="49A72646"/>
    <w:rsid w:val="4A4908DE"/>
    <w:rsid w:val="4AD20FE4"/>
    <w:rsid w:val="4CD51E73"/>
    <w:rsid w:val="4DF9529F"/>
    <w:rsid w:val="51943E17"/>
    <w:rsid w:val="55186629"/>
    <w:rsid w:val="55AE160D"/>
    <w:rsid w:val="55DF4EBB"/>
    <w:rsid w:val="5635D5E7"/>
    <w:rsid w:val="564BC4DA"/>
    <w:rsid w:val="579A430B"/>
    <w:rsid w:val="590D2372"/>
    <w:rsid w:val="59BD50C9"/>
    <w:rsid w:val="5DB201C7"/>
    <w:rsid w:val="5E237B8E"/>
    <w:rsid w:val="5E7A2D78"/>
    <w:rsid w:val="5ED73B27"/>
    <w:rsid w:val="62DA6118"/>
    <w:rsid w:val="642F5A54"/>
    <w:rsid w:val="687D22F9"/>
    <w:rsid w:val="68D76236"/>
    <w:rsid w:val="69EE6CD8"/>
    <w:rsid w:val="6C34284C"/>
    <w:rsid w:val="6DE42177"/>
    <w:rsid w:val="6E414A73"/>
    <w:rsid w:val="6E593BD6"/>
    <w:rsid w:val="6EBFA312"/>
    <w:rsid w:val="6F59461F"/>
    <w:rsid w:val="6FFEDA8E"/>
    <w:rsid w:val="70E8177B"/>
    <w:rsid w:val="72AD72C9"/>
    <w:rsid w:val="72CE2CB3"/>
    <w:rsid w:val="73DB038E"/>
    <w:rsid w:val="73EC5750"/>
    <w:rsid w:val="7444734A"/>
    <w:rsid w:val="782C610F"/>
    <w:rsid w:val="7A9ED4D7"/>
    <w:rsid w:val="7AC64756"/>
    <w:rsid w:val="7DE07113"/>
    <w:rsid w:val="7DFE66C3"/>
    <w:rsid w:val="7E3239CA"/>
    <w:rsid w:val="7E3B83EE"/>
    <w:rsid w:val="7F75C782"/>
    <w:rsid w:val="95DC8B5D"/>
    <w:rsid w:val="FE7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line="600" w:lineRule="exact"/>
      <w:jc w:val="center"/>
      <w:outlineLvl w:val="0"/>
    </w:pPr>
    <w:rPr>
      <w:rFonts w:eastAsia="仿宋_GB2312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9"/>
    <w:qFormat/>
    <w:uiPriority w:val="0"/>
    <w:pPr>
      <w:spacing w:line="560" w:lineRule="exact"/>
      <w:ind w:firstLine="874" w:firstLineChars="200"/>
      <w:jc w:val="left"/>
      <w:outlineLvl w:val="1"/>
    </w:pPr>
    <w:rPr>
      <w:rFonts w:ascii="宋体" w:hAnsi="宋体" w:eastAsia="黑体"/>
      <w:kern w:val="0"/>
      <w:sz w:val="32"/>
      <w:szCs w:val="36"/>
    </w:rPr>
  </w:style>
  <w:style w:type="paragraph" w:styleId="4">
    <w:name w:val="heading 3"/>
    <w:basedOn w:val="1"/>
    <w:next w:val="5"/>
    <w:link w:val="20"/>
    <w:qFormat/>
    <w:uiPriority w:val="0"/>
    <w:pPr>
      <w:keepNext/>
      <w:spacing w:before="140" w:after="120"/>
      <w:outlineLvl w:val="2"/>
    </w:pPr>
    <w:rPr>
      <w:rFonts w:ascii="Liberation Serif" w:hAnsi="Liberation Serif"/>
      <w:b/>
      <w:bCs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0"/>
    <w:pPr>
      <w:spacing w:after="283" w:line="360" w:lineRule="auto"/>
    </w:pPr>
  </w:style>
  <w:style w:type="paragraph" w:styleId="6">
    <w:name w:val="annotation text"/>
    <w:basedOn w:val="1"/>
    <w:link w:val="22"/>
    <w:unhideWhenUsed/>
    <w:qFormat/>
    <w:uiPriority w:val="99"/>
    <w:pPr>
      <w:jc w:val="left"/>
    </w:pPr>
    <w:rPr>
      <w:sz w:val="24"/>
    </w:rPr>
  </w:style>
  <w:style w:type="paragraph" w:styleId="7">
    <w:name w:val="Plain Text"/>
    <w:basedOn w:val="1"/>
    <w:link w:val="23"/>
    <w:qFormat/>
    <w:uiPriority w:val="0"/>
    <w:rPr>
      <w:rFonts w:hAnsi="Courier New"/>
      <w:kern w:val="0"/>
      <w:sz w:val="20"/>
      <w:szCs w:val="20"/>
    </w:rPr>
  </w:style>
  <w:style w:type="paragraph" w:styleId="8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7"/>
    <w:qFormat/>
    <w:uiPriority w:val="0"/>
    <w:pPr>
      <w:snapToGrid w:val="0"/>
      <w:jc w:val="left"/>
    </w:pPr>
    <w:rPr>
      <w:sz w:val="18"/>
    </w:rPr>
  </w:style>
  <w:style w:type="paragraph" w:styleId="12">
    <w:name w:val="HTML Preformatted"/>
    <w:basedOn w:val="1"/>
    <w:link w:val="2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Arial Unicode MS"/>
      <w:color w:val="333333"/>
      <w:sz w:val="20"/>
      <w:szCs w:val="20"/>
    </w:rPr>
  </w:style>
  <w:style w:type="paragraph" w:styleId="13">
    <w:name w:val="Normal (Web)"/>
    <w:basedOn w:val="1"/>
    <w:unhideWhenUsed/>
    <w:qFormat/>
    <w:uiPriority w:val="99"/>
    <w:rPr>
      <w:sz w:val="24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footnote reference"/>
    <w:qFormat/>
    <w:uiPriority w:val="0"/>
    <w:rPr>
      <w:vertAlign w:val="superscript"/>
    </w:rPr>
  </w:style>
  <w:style w:type="character" w:customStyle="1" w:styleId="18">
    <w:name w:val="标题 1 Char"/>
    <w:link w:val="2"/>
    <w:qFormat/>
    <w:uiPriority w:val="0"/>
    <w:rPr>
      <w:rFonts w:ascii="Calibri" w:hAnsi="Calibri" w:eastAsia="仿宋_GB2312"/>
      <w:b/>
      <w:bCs/>
      <w:kern w:val="44"/>
      <w:sz w:val="30"/>
      <w:szCs w:val="44"/>
    </w:rPr>
  </w:style>
  <w:style w:type="character" w:customStyle="1" w:styleId="19">
    <w:name w:val="标题 2 Char"/>
    <w:link w:val="3"/>
    <w:qFormat/>
    <w:uiPriority w:val="0"/>
    <w:rPr>
      <w:rFonts w:ascii="宋体" w:hAnsi="宋体" w:eastAsia="黑体" w:cs="Times New Roman"/>
      <w:sz w:val="32"/>
      <w:szCs w:val="36"/>
    </w:rPr>
  </w:style>
  <w:style w:type="character" w:customStyle="1" w:styleId="20">
    <w:name w:val="标题 3 Char"/>
    <w:link w:val="4"/>
    <w:qFormat/>
    <w:uiPriority w:val="0"/>
    <w:rPr>
      <w:rFonts w:ascii="Liberation Serif" w:hAnsi="Liberation Serif" w:cs="Arial"/>
      <w:b/>
      <w:bCs/>
      <w:kern w:val="2"/>
      <w:sz w:val="27"/>
      <w:szCs w:val="27"/>
    </w:rPr>
  </w:style>
  <w:style w:type="character" w:customStyle="1" w:styleId="21">
    <w:name w:val="正文文本 Char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2">
    <w:name w:val="批注文字 Char"/>
    <w:link w:val="6"/>
    <w:qFormat/>
    <w:uiPriority w:val="99"/>
    <w:rPr>
      <w:rFonts w:ascii="Calibri" w:hAnsi="Calibri"/>
      <w:kern w:val="2"/>
      <w:sz w:val="24"/>
      <w:szCs w:val="24"/>
    </w:rPr>
  </w:style>
  <w:style w:type="character" w:customStyle="1" w:styleId="23">
    <w:name w:val="纯文本 Char"/>
    <w:link w:val="7"/>
    <w:qFormat/>
    <w:uiPriority w:val="0"/>
    <w:rPr>
      <w:rFonts w:ascii="Calibri" w:hAnsi="Courier New"/>
    </w:rPr>
  </w:style>
  <w:style w:type="character" w:customStyle="1" w:styleId="24">
    <w:name w:val="批注框文本 Char"/>
    <w:link w:val="8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Char"/>
    <w:link w:val="9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页眉 Char"/>
    <w:link w:val="10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脚注文本 Char"/>
    <w:link w:val="11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28">
    <w:name w:val="HTML 预设格式 Char"/>
    <w:link w:val="12"/>
    <w:qFormat/>
    <w:uiPriority w:val="0"/>
    <w:rPr>
      <w:rFonts w:ascii="Arial Unicode MS" w:hAnsi="Arial Unicode MS" w:eastAsia="Arial Unicode MS" w:cs="Arial Unicode MS"/>
      <w:color w:val="333333"/>
      <w:kern w:val="2"/>
    </w:rPr>
  </w:style>
  <w:style w:type="character" w:customStyle="1" w:styleId="29">
    <w:name w:val="批注文字 字符"/>
    <w:qFormat/>
    <w:uiPriority w:val="99"/>
    <w:rPr>
      <w:rFonts w:ascii="Calibri" w:hAnsi="Calibri"/>
      <w:kern w:val="2"/>
      <w:sz w:val="24"/>
      <w:szCs w:val="24"/>
    </w:rPr>
  </w:style>
  <w:style w:type="paragraph" w:styleId="30">
    <w:name w:val="List Paragraph"/>
    <w:basedOn w:val="1"/>
    <w:qFormat/>
    <w:uiPriority w:val="99"/>
    <w:pPr>
      <w:suppressAutoHyphens/>
      <w:ind w:firstLine="420" w:firstLineChars="200"/>
    </w:pPr>
  </w:style>
  <w:style w:type="paragraph" w:customStyle="1" w:styleId="31">
    <w:name w:val="标题样式"/>
    <w:basedOn w:val="1"/>
    <w:next w:val="5"/>
    <w:qFormat/>
    <w:uiPriority w:val="0"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32">
    <w:name w:val="_Style 3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上海证券交易所</Company>
  <Pages>3</Pages>
  <Words>1430</Words>
  <Characters>1449</Characters>
  <Lines>10</Lines>
  <Paragraphs>2</Paragraphs>
  <TotalTime>1</TotalTime>
  <ScaleCrop>false</ScaleCrop>
  <LinksUpToDate>false</LinksUpToDate>
  <CharactersWithSpaces>1449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2025-02-14T18:11:00Z</dcterms:created>
  <dc:creator>sse</dc:creator>
  <cp:lastModifiedBy>whxu</cp:lastModifiedBy>
  <cp:lastPrinted>2023-07-21T02:17:00Z</cp:lastPrinted>
  <dcterms:modified xsi:type="dcterms:W3CDTF">2025-04-25T19:12:35Z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F5FBC71E9B732C85D89708689D0E9AE1_43</vt:lpwstr>
  </property>
</Properties>
</file>