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/>
          <w:b/>
          <w:bCs/>
          <w:sz w:val="36"/>
          <w:szCs w:val="36"/>
        </w:rPr>
      </w:pPr>
      <w:bookmarkStart w:id="0" w:name="_Toc340839624"/>
      <w:bookmarkStart w:id="1" w:name="_Toc330904139"/>
      <w:r>
        <w:rPr>
          <w:rFonts w:ascii="Times New Roman" w:hAnsi="Times New Roman" w:eastAsia="黑体"/>
          <w:b/>
          <w:bCs/>
          <w:sz w:val="36"/>
          <w:szCs w:val="36"/>
        </w:rPr>
        <w:t>第二十</w:t>
      </w:r>
      <w:r>
        <w:rPr>
          <w:rFonts w:hint="eastAsia" w:ascii="Times New Roman" w:hAnsi="Times New Roman" w:eastAsia="黑体"/>
          <w:b/>
          <w:bCs/>
          <w:sz w:val="36"/>
          <w:szCs w:val="36"/>
        </w:rPr>
        <w:t>九</w:t>
      </w:r>
      <w:r>
        <w:rPr>
          <w:rFonts w:ascii="Times New Roman" w:hAnsi="Times New Roman" w:eastAsia="黑体"/>
          <w:b/>
          <w:bCs/>
          <w:sz w:val="36"/>
          <w:szCs w:val="36"/>
        </w:rPr>
        <w:t>号 上市公司重大诉讼（仲裁）公告</w:t>
      </w:r>
      <w:bookmarkEnd w:id="0"/>
      <w:bookmarkEnd w:id="1"/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560" w:lineRule="exact"/>
        <w:rPr>
          <w:rFonts w:ascii="Times New Roman" w:hAnsi="Times New Roman" w:eastAsia="仿宋_GB2312"/>
          <w:b/>
          <w:sz w:val="30"/>
          <w:szCs w:val="30"/>
        </w:rPr>
      </w:pPr>
      <w:r>
        <w:rPr>
          <w:rFonts w:ascii="Times New Roman" w:hAnsi="Times New Roman" w:eastAsia="仿宋_GB2312"/>
          <w:b/>
          <w:sz w:val="30"/>
          <w:szCs w:val="30"/>
        </w:rPr>
        <w:t>适用情形：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>1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．</w:t>
      </w:r>
      <w:r>
        <w:rPr>
          <w:rFonts w:ascii="Times New Roman" w:hAnsi="Times New Roman" w:eastAsia="仿宋_GB2312"/>
          <w:color w:val="000000"/>
          <w:sz w:val="30"/>
          <w:szCs w:val="30"/>
        </w:rPr>
        <w:t>上市公司发生《股票上市规则》第七章第四节规定的情形，应当适用本公告格式披露公告。单个诉讼、仲裁涉案金额虽未达到披露要求，但连续12个月内发生的诉讼和仲裁涉案金额累计发生额达到上述标准金额的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，</w:t>
      </w:r>
      <w:r>
        <w:rPr>
          <w:rFonts w:ascii="Times New Roman" w:hAnsi="Times New Roman" w:eastAsia="仿宋_GB2312"/>
          <w:color w:val="000000"/>
          <w:sz w:val="30"/>
          <w:szCs w:val="30"/>
        </w:rPr>
        <w:t>可以仅将本次诉讼（仲裁）事</w:t>
      </w:r>
      <w:bookmarkStart w:id="2" w:name="_GoBack"/>
      <w:bookmarkEnd w:id="2"/>
      <w:r>
        <w:rPr>
          <w:rFonts w:ascii="Times New Roman" w:hAnsi="Times New Roman" w:eastAsia="仿宋_GB2312"/>
          <w:color w:val="000000"/>
          <w:sz w:val="30"/>
          <w:szCs w:val="30"/>
        </w:rPr>
        <w:t>项按照本所相关要求披露，并在公告中逐项简要说明前期累计未达到披露标准的诉讼（仲裁）事项。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>2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．</w:t>
      </w:r>
      <w:r>
        <w:rPr>
          <w:rFonts w:ascii="Times New Roman" w:hAnsi="Times New Roman" w:eastAsia="仿宋_GB2312"/>
          <w:color w:val="000000"/>
          <w:sz w:val="30"/>
          <w:szCs w:val="30"/>
        </w:rPr>
        <w:t>上市公司应当适用本公告格式及时披露重大诉讼、仲裁事项的重大进展情况及其对公司的影响，包括但不限于诉讼案件的一审和二审裁判结果、仲裁案件的裁决结果以及裁判、裁决执行情况、对公司的影响等。</w:t>
      </w:r>
    </w:p>
    <w:p>
      <w:pPr>
        <w:spacing w:line="560" w:lineRule="exact"/>
        <w:rPr>
          <w:rFonts w:ascii="Times New Roman" w:hAnsi="Times New Roman" w:eastAsia="仿宋_GB2312"/>
          <w:sz w:val="30"/>
          <w:szCs w:val="30"/>
        </w:rPr>
      </w:pPr>
    </w:p>
    <w:p>
      <w:pPr>
        <w:adjustRightInd w:val="0"/>
        <w:snapToGrid w:val="0"/>
        <w:spacing w:line="560" w:lineRule="exact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证券代码：             证券简称：            公告编号：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仿宋_GB2312"/>
          <w:color w:val="000000"/>
          <w:sz w:val="30"/>
          <w:szCs w:val="30"/>
        </w:rPr>
      </w:pPr>
    </w:p>
    <w:p>
      <w:pPr>
        <w:snapToGrid w:val="0"/>
        <w:spacing w:line="560" w:lineRule="exact"/>
        <w:jc w:val="center"/>
        <w:rPr>
          <w:rFonts w:ascii="仿宋_GB2312" w:hAnsi="Times New Roman" w:eastAsia="仿宋_GB2312"/>
          <w:color w:val="000000"/>
          <w:sz w:val="30"/>
          <w:szCs w:val="30"/>
        </w:rPr>
      </w:pPr>
      <w:r>
        <w:rPr>
          <w:rFonts w:hint="eastAsia" w:ascii="仿宋_GB2312" w:hAnsi="Times New Roman" w:eastAsia="仿宋_GB2312"/>
          <w:color w:val="000000"/>
          <w:sz w:val="30"/>
          <w:szCs w:val="30"/>
        </w:rPr>
        <w:t>XXXX股份有限公司重大诉讼（仲裁）公告</w:t>
      </w:r>
    </w:p>
    <w:p>
      <w:pPr>
        <w:snapToGrid w:val="0"/>
        <w:spacing w:line="560" w:lineRule="exact"/>
        <w:jc w:val="center"/>
        <w:rPr>
          <w:rFonts w:ascii="Times New Roman" w:hAnsi="Times New Roman" w:eastAsia="仿宋_GB2312"/>
          <w:color w:val="000000"/>
          <w:sz w:val="30"/>
          <w:szCs w:val="30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2"/>
          <w:right w:val="single" w:color="auto" w:sz="4" w:space="4"/>
        </w:pBdr>
        <w:adjustRightInd w:val="0"/>
        <w:spacing w:line="560" w:lineRule="exact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 xml:space="preserve">    本公司董事会及全体董事保证本公告内容不存在任何虚假记载、误导性陈述或者重大遗漏，并对其内容的真实性、准确性和完整性承担法律责任。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2"/>
          <w:right w:val="single" w:color="auto" w:sz="4" w:space="4"/>
        </w:pBdr>
        <w:adjustRightInd w:val="0"/>
        <w:spacing w:line="560" w:lineRule="exact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 xml:space="preserve">    如有董事对临时公告内容的真实性、准确性和完整性无法保证或存在异议的，公司应当在公告中作特别提示。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仿宋_GB2312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602" w:firstLineChars="200"/>
        <w:rPr>
          <w:rFonts w:ascii="Times New Roman" w:hAnsi="Times New Roman" w:eastAsia="仿宋_GB2312"/>
          <w:b/>
          <w:sz w:val="30"/>
          <w:szCs w:val="30"/>
        </w:rPr>
      </w:pPr>
      <w:r>
        <w:rPr>
          <w:rFonts w:ascii="Times New Roman" w:hAnsi="Times New Roman" w:eastAsia="仿宋_GB2312"/>
          <w:b/>
          <w:sz w:val="30"/>
          <w:szCs w:val="30"/>
        </w:rPr>
        <w:t>重要内容提示：</w:t>
      </w:r>
    </w:p>
    <w:p>
      <w:pPr>
        <w:pStyle w:val="11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>案件所处的诉讼（仲裁）阶段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>上市公司所处的当事人地位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>涉案的金额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>是否会对上市公司损益产生负面影响</w:t>
      </w:r>
    </w:p>
    <w:p>
      <w:pPr>
        <w:autoSpaceDE w:val="0"/>
        <w:autoSpaceDN w:val="0"/>
        <w:adjustRightInd w:val="0"/>
        <w:snapToGrid w:val="0"/>
        <w:spacing w:line="560" w:lineRule="exact"/>
        <w:ind w:firstLine="602" w:firstLineChars="200"/>
        <w:rPr>
          <w:rFonts w:ascii="Times New Roman" w:hAnsi="Times New Roman" w:eastAsia="黑体"/>
          <w:b/>
          <w:sz w:val="30"/>
          <w:szCs w:val="30"/>
        </w:rPr>
      </w:pPr>
    </w:p>
    <w:p>
      <w:pPr>
        <w:autoSpaceDE w:val="0"/>
        <w:autoSpaceDN w:val="0"/>
        <w:adjustRightInd w:val="0"/>
        <w:snapToGrid w:val="0"/>
        <w:spacing w:line="560" w:lineRule="exact"/>
        <w:ind w:firstLine="602" w:firstLineChars="200"/>
        <w:rPr>
          <w:rFonts w:ascii="Times New Roman" w:hAnsi="Times New Roman" w:eastAsia="黑体"/>
          <w:b/>
          <w:sz w:val="30"/>
          <w:szCs w:val="30"/>
        </w:rPr>
      </w:pPr>
      <w:r>
        <w:rPr>
          <w:rFonts w:ascii="Times New Roman" w:hAnsi="Times New Roman" w:eastAsia="黑体"/>
          <w:b/>
          <w:sz w:val="30"/>
          <w:szCs w:val="30"/>
        </w:rPr>
        <w:t>一、本次重大诉讼起诉或仲裁申请的基本情况（或者被起诉或被申请仲裁的基本情况）</w:t>
      </w:r>
    </w:p>
    <w:p>
      <w:pPr>
        <w:autoSpaceDE w:val="0"/>
        <w:autoSpaceDN w:val="0"/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/>
          <w:color w:val="000000"/>
          <w:kern w:val="0"/>
          <w:sz w:val="30"/>
          <w:szCs w:val="30"/>
        </w:rPr>
      </w:pPr>
      <w:r>
        <w:rPr>
          <w:rFonts w:ascii="Times New Roman" w:hAnsi="Times New Roman" w:eastAsia="仿宋_GB2312"/>
          <w:color w:val="000000"/>
          <w:kern w:val="0"/>
          <w:sz w:val="30"/>
          <w:szCs w:val="30"/>
        </w:rPr>
        <w:t>说明本次诉讼或仲裁起诉时间、受理时间，诉讼或仲裁机构名称及所在地，诉讼或仲裁各方当事人、代理人及其单位的姓名或名称。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/>
          <w:color w:val="000000"/>
          <w:kern w:val="0"/>
          <w:sz w:val="30"/>
          <w:szCs w:val="30"/>
        </w:rPr>
      </w:pPr>
      <w:r>
        <w:rPr>
          <w:rFonts w:ascii="Times New Roman" w:hAnsi="Times New Roman" w:eastAsia="仿宋_GB2312"/>
          <w:color w:val="000000"/>
          <w:kern w:val="0"/>
          <w:sz w:val="30"/>
          <w:szCs w:val="30"/>
        </w:rPr>
        <w:t>被起诉或被申请仲裁的，说明公司收到起诉状或申请书的时间，诉讼或仲裁机构名称及所在地，诉讼或仲裁各方当事人、代理人及其单位的姓名或名称。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/>
          <w:color w:val="000000"/>
          <w:sz w:val="30"/>
          <w:szCs w:val="30"/>
        </w:rPr>
      </w:pPr>
    </w:p>
    <w:p>
      <w:pPr>
        <w:autoSpaceDE w:val="0"/>
        <w:autoSpaceDN w:val="0"/>
        <w:adjustRightInd w:val="0"/>
        <w:spacing w:line="560" w:lineRule="exact"/>
        <w:ind w:firstLine="578" w:firstLineChars="192"/>
        <w:jc w:val="left"/>
        <w:rPr>
          <w:rFonts w:ascii="Times New Roman" w:hAnsi="Times New Roman" w:eastAsia="黑体"/>
          <w:b/>
          <w:color w:val="000000"/>
          <w:kern w:val="0"/>
          <w:sz w:val="30"/>
          <w:szCs w:val="30"/>
        </w:rPr>
      </w:pPr>
      <w:r>
        <w:rPr>
          <w:rFonts w:ascii="Times New Roman" w:hAnsi="Times New Roman" w:eastAsia="黑体"/>
          <w:b/>
          <w:color w:val="000000"/>
          <w:kern w:val="0"/>
          <w:sz w:val="30"/>
          <w:szCs w:val="30"/>
        </w:rPr>
        <w:t>二、诉讼或仲裁的案件事实、请求、答辩、反诉或反请求的内容及其理由</w:t>
      </w:r>
    </w:p>
    <w:p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>说明本案的基本情况，包括案件事实、诉讼或仲裁的请求内容、理由等，本方或对方的答辩、反诉或反请求内容及其理由（如有）。</w:t>
      </w:r>
    </w:p>
    <w:p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Times New Roman" w:hAnsi="Times New Roman" w:eastAsia="仿宋_GB2312"/>
          <w:color w:val="000000"/>
          <w:sz w:val="30"/>
          <w:szCs w:val="30"/>
        </w:rPr>
      </w:pPr>
    </w:p>
    <w:p>
      <w:pPr>
        <w:autoSpaceDE w:val="0"/>
        <w:autoSpaceDN w:val="0"/>
        <w:adjustRightInd w:val="0"/>
        <w:spacing w:line="560" w:lineRule="exact"/>
        <w:ind w:firstLine="578" w:firstLineChars="192"/>
        <w:jc w:val="left"/>
        <w:rPr>
          <w:rFonts w:ascii="Times New Roman" w:hAnsi="Times New Roman" w:eastAsia="黑体"/>
          <w:b/>
          <w:color w:val="000000"/>
          <w:kern w:val="0"/>
          <w:sz w:val="30"/>
          <w:szCs w:val="30"/>
        </w:rPr>
      </w:pPr>
      <w:r>
        <w:rPr>
          <w:rFonts w:ascii="Times New Roman" w:hAnsi="Times New Roman" w:eastAsia="黑体"/>
          <w:b/>
          <w:color w:val="000000"/>
          <w:kern w:val="0"/>
          <w:sz w:val="30"/>
          <w:szCs w:val="30"/>
        </w:rPr>
        <w:t>三、诉讼裁判情况或仲裁裁决情况（适用于裁判或裁决阶段）</w:t>
      </w:r>
    </w:p>
    <w:p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>说明诉讼裁判或仲裁裁决的日期、结果、是否已经生效以及各方当事人对结果的意见（如有）。</w:t>
      </w:r>
    </w:p>
    <w:p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Times New Roman" w:hAnsi="Times New Roman" w:eastAsia="仿宋_GB2312"/>
          <w:color w:val="000000"/>
          <w:sz w:val="30"/>
          <w:szCs w:val="30"/>
        </w:rPr>
      </w:pPr>
    </w:p>
    <w:p>
      <w:pPr>
        <w:autoSpaceDE w:val="0"/>
        <w:autoSpaceDN w:val="0"/>
        <w:adjustRightInd w:val="0"/>
        <w:spacing w:line="560" w:lineRule="exact"/>
        <w:ind w:firstLine="578" w:firstLineChars="192"/>
        <w:jc w:val="left"/>
        <w:rPr>
          <w:rFonts w:ascii="Times New Roman" w:hAnsi="Times New Roman" w:eastAsia="黑体"/>
          <w:color w:val="000000"/>
          <w:kern w:val="0"/>
          <w:sz w:val="30"/>
          <w:szCs w:val="30"/>
        </w:rPr>
      </w:pPr>
      <w:r>
        <w:rPr>
          <w:rFonts w:ascii="Times New Roman" w:hAnsi="Times New Roman" w:eastAsia="黑体"/>
          <w:b/>
          <w:color w:val="000000"/>
          <w:kern w:val="0"/>
          <w:sz w:val="30"/>
          <w:szCs w:val="30"/>
        </w:rPr>
        <w:t>四、案件执行情况（适用于执行阶段）</w:t>
      </w:r>
    </w:p>
    <w:p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>说明案件自愿执行或执行和解情况。</w:t>
      </w:r>
    </w:p>
    <w:p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>败诉方不履行的，说明申请强制执行的法院名称、时间及申请内容。</w:t>
      </w:r>
    </w:p>
    <w:p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>对执行有异议的，说明书面异议的内容、时间以及有关执行裁定内容。</w:t>
      </w:r>
    </w:p>
    <w:p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Times New Roman" w:hAnsi="Times New Roman" w:eastAsia="仿宋_GB2312"/>
          <w:color w:val="000000"/>
          <w:sz w:val="30"/>
          <w:szCs w:val="30"/>
        </w:rPr>
      </w:pPr>
    </w:p>
    <w:p>
      <w:pPr>
        <w:autoSpaceDE w:val="0"/>
        <w:autoSpaceDN w:val="0"/>
        <w:adjustRightInd w:val="0"/>
        <w:spacing w:line="560" w:lineRule="exact"/>
        <w:ind w:firstLine="578" w:firstLineChars="192"/>
        <w:jc w:val="left"/>
        <w:rPr>
          <w:rFonts w:ascii="Times New Roman" w:hAnsi="Times New Roman" w:eastAsia="黑体"/>
          <w:b/>
          <w:color w:val="000000"/>
          <w:kern w:val="0"/>
          <w:sz w:val="30"/>
          <w:szCs w:val="30"/>
        </w:rPr>
      </w:pPr>
      <w:r>
        <w:rPr>
          <w:rFonts w:ascii="Times New Roman" w:hAnsi="Times New Roman" w:eastAsia="黑体"/>
          <w:b/>
          <w:color w:val="000000"/>
          <w:kern w:val="0"/>
          <w:sz w:val="30"/>
          <w:szCs w:val="30"/>
        </w:rPr>
        <w:t>五、调解情况（如适用）</w:t>
      </w:r>
    </w:p>
    <w:p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>进行调解的理由，达成调解协议的时间及其内容，收到调解书的时间及其内容。</w:t>
      </w:r>
    </w:p>
    <w:p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Times New Roman" w:hAnsi="Times New Roman" w:eastAsia="仿宋_GB2312"/>
          <w:color w:val="000000"/>
          <w:sz w:val="30"/>
          <w:szCs w:val="30"/>
        </w:rPr>
      </w:pPr>
    </w:p>
    <w:p>
      <w:pPr>
        <w:autoSpaceDE w:val="0"/>
        <w:autoSpaceDN w:val="0"/>
        <w:adjustRightInd w:val="0"/>
        <w:spacing w:line="560" w:lineRule="exact"/>
        <w:ind w:firstLine="578" w:firstLineChars="192"/>
        <w:jc w:val="left"/>
        <w:rPr>
          <w:rFonts w:ascii="Times New Roman" w:hAnsi="Times New Roman" w:eastAsia="黑体"/>
          <w:b/>
          <w:color w:val="000000"/>
          <w:kern w:val="0"/>
          <w:sz w:val="30"/>
          <w:szCs w:val="30"/>
        </w:rPr>
      </w:pPr>
      <w:r>
        <w:rPr>
          <w:rFonts w:ascii="Times New Roman" w:hAnsi="Times New Roman" w:eastAsia="黑体"/>
          <w:b/>
          <w:color w:val="000000"/>
          <w:kern w:val="0"/>
          <w:sz w:val="30"/>
          <w:szCs w:val="30"/>
        </w:rPr>
        <w:t>六、二审情况（如适用）</w:t>
      </w:r>
    </w:p>
    <w:p>
      <w:pPr>
        <w:autoSpaceDE w:val="0"/>
        <w:autoSpaceDN w:val="0"/>
        <w:adjustRightInd w:val="0"/>
        <w:spacing w:line="560" w:lineRule="exact"/>
        <w:ind w:firstLine="576" w:firstLineChars="192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>说明上诉的时间、请求、理由、受理的法院等。</w:t>
      </w:r>
    </w:p>
    <w:p>
      <w:pPr>
        <w:autoSpaceDE w:val="0"/>
        <w:autoSpaceDN w:val="0"/>
        <w:adjustRightInd w:val="0"/>
        <w:spacing w:line="560" w:lineRule="exact"/>
        <w:ind w:firstLine="576" w:firstLineChars="192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>被上诉的，说明收到对方上诉状的时间、对方的请求、理由、受理的法院、本方的答辩（如有）等。</w:t>
      </w:r>
    </w:p>
    <w:p>
      <w:pPr>
        <w:autoSpaceDE w:val="0"/>
        <w:autoSpaceDN w:val="0"/>
        <w:adjustRightInd w:val="0"/>
        <w:spacing w:line="560" w:lineRule="exact"/>
        <w:ind w:firstLine="576" w:firstLineChars="192"/>
        <w:rPr>
          <w:rFonts w:ascii="Times New Roman" w:hAnsi="Times New Roman" w:eastAsia="仿宋_GB2312"/>
          <w:color w:val="000000"/>
          <w:sz w:val="30"/>
          <w:szCs w:val="30"/>
        </w:rPr>
      </w:pPr>
    </w:p>
    <w:p>
      <w:pPr>
        <w:autoSpaceDE w:val="0"/>
        <w:autoSpaceDN w:val="0"/>
        <w:adjustRightInd w:val="0"/>
        <w:spacing w:line="560" w:lineRule="exact"/>
        <w:ind w:firstLine="578" w:firstLineChars="192"/>
        <w:jc w:val="left"/>
        <w:rPr>
          <w:rFonts w:ascii="Times New Roman" w:hAnsi="Times New Roman" w:eastAsia="黑体"/>
          <w:b/>
          <w:color w:val="000000"/>
          <w:kern w:val="0"/>
          <w:sz w:val="30"/>
          <w:szCs w:val="30"/>
        </w:rPr>
      </w:pPr>
      <w:r>
        <w:rPr>
          <w:rFonts w:ascii="Times New Roman" w:hAnsi="Times New Roman" w:eastAsia="黑体"/>
          <w:b/>
          <w:color w:val="000000"/>
          <w:kern w:val="0"/>
          <w:sz w:val="30"/>
          <w:szCs w:val="30"/>
        </w:rPr>
        <w:t>七、再审情况（如适用）</w:t>
      </w:r>
    </w:p>
    <w:p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>说明申请再审的时间、请求、理由、受理的法院等。</w:t>
      </w:r>
    </w:p>
    <w:p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>被申请再审的，说明收到对方再审申请书的时间、对方的请求、理由、受理的法院、本方的答辩（如有）等。</w:t>
      </w:r>
    </w:p>
    <w:p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Times New Roman" w:hAnsi="Times New Roman" w:eastAsia="仿宋_GB2312"/>
          <w:color w:val="000000"/>
          <w:sz w:val="30"/>
          <w:szCs w:val="30"/>
        </w:rPr>
      </w:pPr>
    </w:p>
    <w:p>
      <w:pPr>
        <w:autoSpaceDE w:val="0"/>
        <w:autoSpaceDN w:val="0"/>
        <w:adjustRightInd w:val="0"/>
        <w:spacing w:line="560" w:lineRule="exact"/>
        <w:ind w:firstLine="578" w:firstLineChars="192"/>
        <w:jc w:val="left"/>
        <w:rPr>
          <w:rFonts w:ascii="Times New Roman" w:hAnsi="Times New Roman" w:eastAsia="黑体"/>
          <w:b/>
          <w:color w:val="000000"/>
          <w:kern w:val="0"/>
          <w:sz w:val="30"/>
          <w:szCs w:val="30"/>
        </w:rPr>
      </w:pPr>
      <w:r>
        <w:rPr>
          <w:rFonts w:ascii="Times New Roman" w:hAnsi="Times New Roman" w:eastAsia="黑体"/>
          <w:b/>
          <w:color w:val="000000"/>
          <w:kern w:val="0"/>
          <w:sz w:val="30"/>
          <w:szCs w:val="30"/>
        </w:rPr>
        <w:t>八、本次公告的诉讼、仲裁对公司本期利润或期后利润等的影响</w:t>
      </w:r>
    </w:p>
    <w:p>
      <w:pPr>
        <w:autoSpaceDE w:val="0"/>
        <w:autoSpaceDN w:val="0"/>
        <w:adjustRightInd w:val="0"/>
        <w:spacing w:line="560" w:lineRule="exact"/>
        <w:ind w:firstLine="578" w:firstLineChars="192"/>
        <w:jc w:val="left"/>
        <w:rPr>
          <w:rFonts w:ascii="Times New Roman" w:hAnsi="Times New Roman" w:eastAsia="黑体"/>
          <w:b/>
          <w:color w:val="000000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pacing w:line="560" w:lineRule="exact"/>
        <w:ind w:firstLine="578" w:firstLineChars="192"/>
        <w:jc w:val="left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ascii="Times New Roman" w:hAnsi="Times New Roman" w:eastAsia="黑体"/>
          <w:b/>
          <w:color w:val="000000"/>
          <w:kern w:val="0"/>
          <w:sz w:val="30"/>
          <w:szCs w:val="30"/>
        </w:rPr>
        <w:t>九、公司（包括控股子公司在内）是否还存在尚未披露的其他诉讼、仲裁事项</w:t>
      </w:r>
      <w:r>
        <w:rPr>
          <w:rFonts w:ascii="Times New Roman" w:hAnsi="Times New Roman" w:eastAsia="仿宋_GB2312"/>
          <w:color w:val="000000"/>
          <w:sz w:val="30"/>
          <w:szCs w:val="30"/>
        </w:rPr>
        <w:cr/>
      </w:r>
    </w:p>
    <w:p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Times New Roman" w:hAnsi="Times New Roman" w:eastAsia="仿宋_GB2312"/>
          <w:color w:val="000000"/>
          <w:kern w:val="0"/>
          <w:sz w:val="30"/>
          <w:szCs w:val="30"/>
        </w:rPr>
      </w:pPr>
      <w:r>
        <w:rPr>
          <w:rFonts w:ascii="Times New Roman" w:hAnsi="Times New Roman" w:eastAsia="仿宋_GB2312"/>
          <w:color w:val="000000"/>
          <w:kern w:val="0"/>
          <w:sz w:val="30"/>
          <w:szCs w:val="30"/>
        </w:rPr>
        <w:t>特此公告。</w:t>
      </w:r>
    </w:p>
    <w:p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Times New Roman" w:hAnsi="Times New Roman" w:eastAsia="仿宋_GB2312"/>
          <w:color w:val="000000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pacing w:line="560" w:lineRule="exact"/>
        <w:jc w:val="right"/>
        <w:rPr>
          <w:rFonts w:ascii="仿宋_GB2312" w:hAnsi="Times New Roman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hAnsi="Times New Roman" w:eastAsia="仿宋_GB2312"/>
          <w:color w:val="000000"/>
          <w:kern w:val="0"/>
          <w:sz w:val="30"/>
          <w:szCs w:val="30"/>
        </w:rPr>
        <w:t>××××股份有限公司董事会</w:t>
      </w:r>
    </w:p>
    <w:p>
      <w:pPr>
        <w:spacing w:line="560" w:lineRule="exact"/>
        <w:jc w:val="right"/>
        <w:rPr>
          <w:rFonts w:ascii="Times New Roman" w:hAnsi="Times New Roman" w:eastAsia="仿宋_GB2312"/>
          <w:color w:val="000000"/>
          <w:kern w:val="0"/>
          <w:sz w:val="30"/>
          <w:szCs w:val="30"/>
        </w:rPr>
      </w:pPr>
      <w:r>
        <w:rPr>
          <w:rFonts w:ascii="Times New Roman" w:hAnsi="Times New Roman" w:eastAsia="仿宋_GB2312"/>
          <w:color w:val="000000"/>
          <w:kern w:val="0"/>
          <w:sz w:val="30"/>
          <w:szCs w:val="30"/>
        </w:rPr>
        <w:t xml:space="preserve"> 年  月  日</w:t>
      </w:r>
    </w:p>
    <w:p>
      <w:pPr>
        <w:rPr>
          <w:rFonts w:ascii="Times New Roman" w:hAnsi="Times New Roman"/>
          <w:kern w:val="0"/>
        </w:rPr>
      </w:pPr>
    </w:p>
    <w:p>
      <w:pPr>
        <w:pStyle w:val="11"/>
        <w:numPr>
          <w:ilvl w:val="0"/>
          <w:numId w:val="2"/>
        </w:numPr>
        <w:autoSpaceDE w:val="0"/>
        <w:autoSpaceDN w:val="0"/>
        <w:adjustRightInd w:val="0"/>
        <w:snapToGrid w:val="0"/>
        <w:spacing w:line="560" w:lineRule="exact"/>
        <w:ind w:firstLineChars="0"/>
        <w:rPr>
          <w:rFonts w:ascii="Times New Roman" w:hAnsi="Times New Roman" w:eastAsia="仿宋_GB2312"/>
          <w:b/>
          <w:color w:val="000000"/>
          <w:sz w:val="30"/>
          <w:szCs w:val="30"/>
        </w:rPr>
      </w:pPr>
      <w:r>
        <w:rPr>
          <w:rFonts w:ascii="Times New Roman" w:hAnsi="Times New Roman" w:eastAsia="仿宋_GB2312"/>
          <w:b/>
          <w:color w:val="000000"/>
          <w:sz w:val="30"/>
          <w:szCs w:val="30"/>
        </w:rPr>
        <w:t>报备文件</w:t>
      </w:r>
    </w:p>
    <w:p>
      <w:pPr>
        <w:autoSpaceDE w:val="0"/>
        <w:autoSpaceDN w:val="0"/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>1.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诉讼或仲裁相关法律文书</w:t>
      </w:r>
    </w:p>
    <w:p>
      <w:pPr>
        <w:autoSpaceDE w:val="0"/>
        <w:autoSpaceDN w:val="0"/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hint="eastAsia" w:ascii="Times New Roman" w:hAnsi="Times New Roman" w:eastAsia="仿宋_GB2312"/>
          <w:color w:val="000000"/>
          <w:sz w:val="30"/>
          <w:szCs w:val="30"/>
        </w:rPr>
        <w:t>2</w:t>
      </w:r>
      <w:r>
        <w:rPr>
          <w:rFonts w:ascii="Times New Roman" w:hAnsi="Times New Roman" w:eastAsia="仿宋_GB2312"/>
          <w:color w:val="000000"/>
          <w:sz w:val="30"/>
          <w:szCs w:val="30"/>
        </w:rPr>
        <w:t>.调解协议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等其他材料（如有）</w:t>
      </w:r>
    </w:p>
    <w:p>
      <w:pPr>
        <w:autoSpaceDE w:val="0"/>
        <w:autoSpaceDN w:val="0"/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/>
          <w:color w:val="000000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5501252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E561F7"/>
    <w:multiLevelType w:val="multilevel"/>
    <w:tmpl w:val="52E561F7"/>
    <w:lvl w:ilvl="0" w:tentative="0">
      <w:start w:val="1"/>
      <w:numFmt w:val="bullet"/>
      <w:lvlText w:val=""/>
      <w:lvlJc w:val="left"/>
      <w:pPr>
        <w:ind w:left="1022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4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6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8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0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4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6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82" w:hanging="420"/>
      </w:pPr>
      <w:rPr>
        <w:rFonts w:hint="default" w:ascii="Wingdings" w:hAnsi="Wingdings"/>
      </w:rPr>
    </w:lvl>
  </w:abstractNum>
  <w:abstractNum w:abstractNumId="1">
    <w:nsid w:val="74646B16"/>
    <w:multiLevelType w:val="multilevel"/>
    <w:tmpl w:val="74646B16"/>
    <w:lvl w:ilvl="0" w:tentative="0">
      <w:start w:val="1"/>
      <w:numFmt w:val="bullet"/>
      <w:lvlText w:val=""/>
      <w:lvlJc w:val="left"/>
      <w:pPr>
        <w:ind w:left="10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ECD"/>
    <w:rsid w:val="00000558"/>
    <w:rsid w:val="00013753"/>
    <w:rsid w:val="00050D3D"/>
    <w:rsid w:val="00065E1E"/>
    <w:rsid w:val="00092C9E"/>
    <w:rsid w:val="000A1447"/>
    <w:rsid w:val="000C5603"/>
    <w:rsid w:val="000D1016"/>
    <w:rsid w:val="000E0E00"/>
    <w:rsid w:val="000F1DBC"/>
    <w:rsid w:val="00111786"/>
    <w:rsid w:val="00117CF8"/>
    <w:rsid w:val="00126188"/>
    <w:rsid w:val="0013027C"/>
    <w:rsid w:val="001368F4"/>
    <w:rsid w:val="00170AB9"/>
    <w:rsid w:val="001B3D91"/>
    <w:rsid w:val="00202605"/>
    <w:rsid w:val="00261A4A"/>
    <w:rsid w:val="00285A01"/>
    <w:rsid w:val="00292AB0"/>
    <w:rsid w:val="00313A26"/>
    <w:rsid w:val="003157CF"/>
    <w:rsid w:val="00333C5C"/>
    <w:rsid w:val="00364399"/>
    <w:rsid w:val="003933D6"/>
    <w:rsid w:val="003A5EBF"/>
    <w:rsid w:val="003C27D1"/>
    <w:rsid w:val="003E3248"/>
    <w:rsid w:val="00412966"/>
    <w:rsid w:val="00413D8B"/>
    <w:rsid w:val="004C29BB"/>
    <w:rsid w:val="00501CDA"/>
    <w:rsid w:val="00503EAC"/>
    <w:rsid w:val="005062D3"/>
    <w:rsid w:val="00511A24"/>
    <w:rsid w:val="00570CB1"/>
    <w:rsid w:val="00583ACF"/>
    <w:rsid w:val="00592E71"/>
    <w:rsid w:val="005D0FB3"/>
    <w:rsid w:val="005F19E0"/>
    <w:rsid w:val="00631267"/>
    <w:rsid w:val="00640F12"/>
    <w:rsid w:val="006445A8"/>
    <w:rsid w:val="00671F22"/>
    <w:rsid w:val="006754DD"/>
    <w:rsid w:val="00685663"/>
    <w:rsid w:val="006B2E3E"/>
    <w:rsid w:val="006B45CE"/>
    <w:rsid w:val="006B6E10"/>
    <w:rsid w:val="006E7296"/>
    <w:rsid w:val="006F29C0"/>
    <w:rsid w:val="006F29D7"/>
    <w:rsid w:val="006F5E1E"/>
    <w:rsid w:val="007338BC"/>
    <w:rsid w:val="00760629"/>
    <w:rsid w:val="0076233A"/>
    <w:rsid w:val="007956F6"/>
    <w:rsid w:val="007D0842"/>
    <w:rsid w:val="007F5949"/>
    <w:rsid w:val="00812243"/>
    <w:rsid w:val="0086542F"/>
    <w:rsid w:val="00865F29"/>
    <w:rsid w:val="00874313"/>
    <w:rsid w:val="00876A9F"/>
    <w:rsid w:val="00887343"/>
    <w:rsid w:val="008964A6"/>
    <w:rsid w:val="00896982"/>
    <w:rsid w:val="008E2FF0"/>
    <w:rsid w:val="00966BC8"/>
    <w:rsid w:val="00987F33"/>
    <w:rsid w:val="009A7868"/>
    <w:rsid w:val="00A245CA"/>
    <w:rsid w:val="00A24EC4"/>
    <w:rsid w:val="00A3130B"/>
    <w:rsid w:val="00A317FA"/>
    <w:rsid w:val="00A3270F"/>
    <w:rsid w:val="00A3706D"/>
    <w:rsid w:val="00A420F7"/>
    <w:rsid w:val="00A925B4"/>
    <w:rsid w:val="00AA1DF6"/>
    <w:rsid w:val="00AA4577"/>
    <w:rsid w:val="00AB25F9"/>
    <w:rsid w:val="00AC6182"/>
    <w:rsid w:val="00AD3E2C"/>
    <w:rsid w:val="00B32C8E"/>
    <w:rsid w:val="00B3338B"/>
    <w:rsid w:val="00BF22A8"/>
    <w:rsid w:val="00BF2ECD"/>
    <w:rsid w:val="00C41018"/>
    <w:rsid w:val="00C43ABA"/>
    <w:rsid w:val="00C578DC"/>
    <w:rsid w:val="00C63137"/>
    <w:rsid w:val="00C66EA6"/>
    <w:rsid w:val="00CD0630"/>
    <w:rsid w:val="00CD235E"/>
    <w:rsid w:val="00CE1CDF"/>
    <w:rsid w:val="00D14999"/>
    <w:rsid w:val="00D43119"/>
    <w:rsid w:val="00D60B59"/>
    <w:rsid w:val="00D63AF4"/>
    <w:rsid w:val="00D67E47"/>
    <w:rsid w:val="00D90BBC"/>
    <w:rsid w:val="00DD0C07"/>
    <w:rsid w:val="00DD5D73"/>
    <w:rsid w:val="00E31B71"/>
    <w:rsid w:val="00E7371E"/>
    <w:rsid w:val="00F0656D"/>
    <w:rsid w:val="00F274BF"/>
    <w:rsid w:val="00F34874"/>
    <w:rsid w:val="00F40FCD"/>
    <w:rsid w:val="00F5099B"/>
    <w:rsid w:val="00F62EC0"/>
    <w:rsid w:val="00F877B2"/>
    <w:rsid w:val="00FC6E09"/>
    <w:rsid w:val="045F50B9"/>
    <w:rsid w:val="4C07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页脚 字符"/>
    <w:basedOn w:val="8"/>
    <w:link w:val="4"/>
    <w:uiPriority w:val="99"/>
    <w:rPr>
      <w:rFonts w:ascii="Calibri" w:hAnsi="Calibri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8"/>
    <w:link w:val="5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批注框文本 字符"/>
    <w:basedOn w:val="8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4">
    <w:name w:val="Revision"/>
    <w:hidden/>
    <w:semiHidden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5">
    <w:name w:val="批注文字 字符"/>
    <w:basedOn w:val="8"/>
    <w:link w:val="2"/>
    <w:semiHidden/>
    <w:uiPriority w:val="99"/>
    <w:rPr>
      <w:rFonts w:ascii="Calibri" w:hAnsi="Calibri" w:eastAsia="宋体" w:cs="Times New Roman"/>
    </w:rPr>
  </w:style>
  <w:style w:type="character" w:customStyle="1" w:styleId="16">
    <w:name w:val="批注主题 字符"/>
    <w:basedOn w:val="15"/>
    <w:link w:val="6"/>
    <w:semiHidden/>
    <w:uiPriority w:val="99"/>
    <w:rPr>
      <w:rFonts w:ascii="Calibri" w:hAnsi="Calibri" w:eastAsia="宋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211</Words>
  <Characters>1203</Characters>
  <Lines>10</Lines>
  <Paragraphs>2</Paragraphs>
  <TotalTime>1092</TotalTime>
  <ScaleCrop>false</ScaleCrop>
  <LinksUpToDate>false</LinksUpToDate>
  <CharactersWithSpaces>1412</CharactersWithSpaces>
  <Application>WPS Office_12.8.0.16982_F1E327BC-269C-435d-A152-05C5408002CA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2021-01-22T11:49:00Z</dcterms:created>
  <dc:creator>whzhou</dc:creator>
  <cp:lastModifiedBy>whzhou</cp:lastModifiedBy>
  <dcterms:modified xsi:type="dcterms:W3CDTF">2025-02-12T05:42:16Z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2052-12.8.0.16982</vt:lpwstr>
  </property>
  <property fmtid="{D5CDD505-2E9C-101B-9397-08002B2CF9AE}" pid="3" name="ICV">
    <vt:lpwstr>E2E83247617E4696BC7144CFEF23DFD4_13</vt:lpwstr>
  </property>
</Properties>
</file>