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BADC4">
      <w:pPr>
        <w:spacing w:line="360" w:lineRule="auto"/>
        <w:ind w:firstLine="0" w:firstLineChars="0"/>
        <w:jc w:val="both"/>
        <w:rPr>
          <w:rFonts w:ascii="黑体" w:hAnsi="黑体" w:eastAsia="黑体" w:cs="仿宋"/>
          <w:bCs/>
          <w:sz w:val="32"/>
          <w:szCs w:val="32"/>
        </w:rPr>
      </w:pPr>
      <w:bookmarkStart w:id="100" w:name="_GoBack"/>
      <w:bookmarkEnd w:id="100"/>
      <w:r>
        <w:rPr>
          <w:rFonts w:hint="eastAsia" w:ascii="黑体" w:hAnsi="黑体" w:eastAsia="黑体" w:cs="仿宋"/>
          <w:b w:val="0"/>
          <w:bCs/>
          <w:sz w:val="32"/>
          <w:szCs w:val="32"/>
        </w:rPr>
        <w:t>附件</w:t>
      </w:r>
    </w:p>
    <w:p w14:paraId="4C6E289D">
      <w:pPr>
        <w:spacing w:line="360" w:lineRule="auto"/>
        <w:ind w:firstLine="0" w:firstLineChars="0"/>
        <w:jc w:val="both"/>
        <w:rPr>
          <w:rFonts w:ascii="黑体" w:hAnsi="黑体" w:eastAsia="黑体" w:cs="仿宋"/>
          <w:bCs/>
          <w:sz w:val="32"/>
          <w:szCs w:val="32"/>
        </w:rPr>
      </w:pPr>
    </w:p>
    <w:p w14:paraId="748B2AFC">
      <w:pPr>
        <w:spacing w:line="360" w:lineRule="auto"/>
        <w:ind w:firstLine="0" w:firstLineChars="0"/>
        <w:jc w:val="center"/>
        <w:rPr>
          <w:rFonts w:ascii="方正小标宋简体" w:hAnsi="仿宋" w:eastAsia="方正小标宋简体" w:cs="仿宋"/>
          <w:bCs/>
          <w:sz w:val="44"/>
          <w:szCs w:val="44"/>
        </w:rPr>
      </w:pPr>
    </w:p>
    <w:p w14:paraId="1EAAB876">
      <w:pPr>
        <w:spacing w:line="360" w:lineRule="auto"/>
        <w:ind w:firstLine="0" w:firstLineChars="0"/>
        <w:jc w:val="center"/>
        <w:rPr>
          <w:rFonts w:ascii="方正小标宋简体" w:hAnsi="仿宋" w:eastAsia="方正小标宋简体" w:cs="仿宋"/>
          <w:bCs/>
          <w:sz w:val="44"/>
          <w:szCs w:val="44"/>
        </w:rPr>
      </w:pPr>
    </w:p>
    <w:p w14:paraId="33D1321C">
      <w:pPr>
        <w:spacing w:line="360" w:lineRule="auto"/>
        <w:ind w:firstLine="0" w:firstLineChars="0"/>
        <w:jc w:val="center"/>
        <w:rPr>
          <w:rFonts w:ascii="方正小标宋简体" w:hAnsi="仿宋" w:eastAsia="方正小标宋简体" w:cs="仿宋"/>
          <w:bCs/>
          <w:sz w:val="44"/>
          <w:szCs w:val="44"/>
        </w:rPr>
      </w:pPr>
    </w:p>
    <w:p w14:paraId="28BE6422">
      <w:pPr>
        <w:spacing w:line="360" w:lineRule="auto"/>
        <w:ind w:firstLine="0" w:firstLineChars="0"/>
        <w:jc w:val="center"/>
        <w:rPr>
          <w:rFonts w:ascii="方正小标宋简体" w:hAnsi="仿宋" w:eastAsia="方正小标宋简体" w:cs="仿宋"/>
          <w:bCs/>
          <w:sz w:val="44"/>
          <w:szCs w:val="44"/>
        </w:rPr>
      </w:pPr>
    </w:p>
    <w:p w14:paraId="19EAE10B">
      <w:pPr>
        <w:spacing w:line="360" w:lineRule="auto"/>
        <w:ind w:firstLine="0" w:firstLineChars="0"/>
        <w:jc w:val="center"/>
        <w:rPr>
          <w:rFonts w:ascii="方正小标宋简体" w:hAnsi="仿宋" w:eastAsia="方正小标宋简体" w:cs="仿宋"/>
          <w:bCs/>
          <w:sz w:val="44"/>
          <w:szCs w:val="44"/>
        </w:rPr>
      </w:pPr>
      <w:r>
        <w:rPr>
          <w:rFonts w:hint="eastAsia" w:ascii="方正小标宋简体" w:hAnsi="仿宋" w:eastAsia="方正小标宋简体" w:cs="仿宋"/>
          <w:b w:val="0"/>
          <w:bCs/>
          <w:sz w:val="44"/>
          <w:szCs w:val="44"/>
        </w:rPr>
        <w:t>基础性审计程序操作指引</w:t>
      </w:r>
      <w:r>
        <w:rPr>
          <w:rFonts w:ascii="方正小标宋简体" w:hAnsi="仿宋" w:eastAsia="方正小标宋简体" w:cs="仿宋"/>
          <w:bCs/>
          <w:sz w:val="44"/>
          <w:szCs w:val="44"/>
        </w:rPr>
        <w:t>——</w:t>
      </w:r>
      <w:r>
        <w:rPr>
          <w:rFonts w:hint="eastAsia" w:ascii="方正小标宋简体" w:hAnsi="仿宋" w:eastAsia="方正小标宋简体" w:cs="仿宋"/>
          <w:b w:val="0"/>
          <w:bCs/>
          <w:sz w:val="44"/>
          <w:szCs w:val="44"/>
        </w:rPr>
        <w:t>函证</w:t>
      </w:r>
    </w:p>
    <w:p w14:paraId="50CF661E">
      <w:pPr>
        <w:spacing w:line="360" w:lineRule="auto"/>
        <w:jc w:val="center"/>
        <w:rPr>
          <w:rFonts w:ascii="方正小标宋简体" w:hAnsi="仿宋" w:eastAsia="方正小标宋简体" w:cs="仿宋"/>
          <w:bCs/>
          <w:sz w:val="44"/>
          <w:szCs w:val="44"/>
        </w:rPr>
        <w:sectPr>
          <w:footerReference r:id="rId5" w:type="default"/>
          <w:pgSz w:w="11906" w:h="16838"/>
          <w:pgMar w:top="1440" w:right="1701" w:bottom="1440" w:left="1701" w:header="851" w:footer="992" w:gutter="0"/>
          <w:pgNumType w:start="1"/>
          <w:cols w:space="425" w:num="1"/>
          <w:docGrid w:type="lines" w:linePitch="312" w:charSpace="0"/>
        </w:sectPr>
      </w:pPr>
    </w:p>
    <w:p w14:paraId="6ACFE1EA">
      <w:pPr>
        <w:spacing w:line="360" w:lineRule="auto"/>
        <w:ind w:firstLine="0" w:firstLineChars="0"/>
        <w:jc w:val="both"/>
        <w:rPr>
          <w:rFonts w:ascii="仿宋" w:hAnsi="仿宋" w:eastAsia="仿宋" w:cs="仿宋"/>
          <w:sz w:val="24"/>
        </w:rPr>
      </w:pPr>
    </w:p>
    <w:sdt>
      <w:sdtPr>
        <w:rPr>
          <w:rFonts w:ascii="宋体" w:hAnsi="宋体" w:eastAsia="宋体"/>
        </w:rPr>
        <w:id w:val="147467653"/>
        <w15:color w:val="DBDBDB"/>
        <w:docPartObj>
          <w:docPartGallery w:val="Table of Contents"/>
          <w:docPartUnique/>
        </w:docPartObj>
      </w:sdtPr>
      <w:sdtEndPr>
        <w:rPr>
          <w:rFonts w:ascii="宋体" w:hAnsi="宋体" w:eastAsia="宋体"/>
        </w:rPr>
      </w:sdtEndPr>
      <w:sdtContent>
        <w:p w14:paraId="126BA82D">
          <w:pPr>
            <w:jc w:val="center"/>
            <w:rPr>
              <w:rFonts w:ascii="宋体" w:hAnsi="宋体" w:eastAsia="宋体"/>
            </w:rPr>
          </w:pPr>
        </w:p>
        <w:p w14:paraId="0258F63E">
          <w:pPr>
            <w:jc w:val="center"/>
            <w:rPr>
              <w:rFonts w:ascii="方正小标宋简体" w:hAnsi="方正小标宋简体" w:eastAsia="方正小标宋简体" w:cs="方正小标宋简体"/>
              <w:sz w:val="30"/>
              <w:szCs w:val="30"/>
            </w:rPr>
          </w:pPr>
          <w:r>
            <w:rPr>
              <w:rFonts w:ascii="方正小标宋简体" w:hAnsi="方正小标宋简体" w:eastAsia="方正小标宋简体" w:cs="方正小标宋简体"/>
              <w:sz w:val="30"/>
              <w:szCs w:val="30"/>
            </w:rPr>
            <w:t>目</w:t>
          </w:r>
          <w:r>
            <w:rPr>
              <w:rFonts w:ascii="方正小标宋简体" w:hAnsi="方正小标宋简体" w:eastAsia="方正小标宋简体" w:cs="方正小标宋简体"/>
              <w:sz w:val="30"/>
              <w:szCs w:val="30"/>
            </w:rPr>
            <w:t xml:space="preserve">  </w:t>
          </w:r>
          <w:r>
            <w:rPr>
              <w:rFonts w:ascii="方正小标宋简体" w:hAnsi="方正小标宋简体" w:eastAsia="方正小标宋简体" w:cs="方正小标宋简体"/>
              <w:sz w:val="30"/>
              <w:szCs w:val="30"/>
            </w:rPr>
            <w:t>录</w:t>
          </w:r>
        </w:p>
        <w:p w14:paraId="2F6A7150">
          <w:pPr>
            <w:pStyle w:val="8"/>
            <w:tabs>
              <w:tab w:val="right" w:leader="dot" w:pos="8504"/>
            </w:tabs>
            <w:spacing w:before="156" w:beforeLines="50" w:line="400" w:lineRule="exact"/>
            <w:rPr>
              <w:rFonts w:asciiTheme="minorEastAsia" w:hAnsiTheme="minorEastAsia" w:cstheme="minorEastAsia"/>
              <w:sz w:val="24"/>
            </w:rPr>
          </w:pPr>
          <w:r>
            <w:rPr>
              <w:rFonts w:asciiTheme="majorEastAsia" w:hAnsiTheme="majorEastAsia" w:eastAsiaTheme="majorEastAsia" w:cstheme="majorEastAsia"/>
              <w:bCs/>
              <w:sz w:val="24"/>
            </w:rPr>
            <w:fldChar w:fldCharType="begin"/>
          </w:r>
          <w:r>
            <w:rPr>
              <w:rFonts w:asciiTheme="majorEastAsia" w:hAnsiTheme="majorEastAsia" w:eastAsiaTheme="majorEastAsia" w:cstheme="majorEastAsia"/>
              <w:bCs/>
              <w:sz w:val="24"/>
            </w:rPr>
            <w:instrText xml:space="preserve">TOC \o "1-2" \h \u </w:instrText>
          </w:r>
          <w:r>
            <w:rPr>
              <w:rFonts w:asciiTheme="majorEastAsia" w:hAnsiTheme="majorEastAsia" w:eastAsiaTheme="majorEastAsia" w:cstheme="majorEastAsia"/>
              <w:bCs/>
              <w:sz w:val="24"/>
            </w:rPr>
            <w:fldChar w:fldCharType="separate"/>
          </w:r>
          <w:r>
            <w:rPr>
              <w:rFonts w:hint="eastAsia" w:asciiTheme="minorEastAsia" w:hAnsiTheme="minorEastAsia" w:eastAsiaTheme="minorEastAsia" w:cstheme="minorEastAsia"/>
              <w:b/>
              <w:bCs/>
              <w:sz w:val="24"/>
            </w:rPr>
            <w:fldChar w:fldCharType="begin"/>
          </w:r>
          <w:r>
            <w:rPr>
              <w:rFonts w:asciiTheme="minorEastAsia" w:hAnsiTheme="minorEastAsia" w:eastAsiaTheme="minorEastAsia" w:cstheme="minorEastAsia"/>
              <w:b/>
              <w:bCs/>
              <w:sz w:val="24"/>
            </w:rPr>
            <w:instrText xml:space="preserve"> HYPERLINK \l _Toc7401 </w:instrText>
          </w:r>
          <w:r>
            <w:rPr>
              <w:rFonts w:hint="eastAsia" w:asciiTheme="minorEastAsia" w:hAnsiTheme="minorEastAsia" w:eastAsiaTheme="minorEastAsia" w:cstheme="minorEastAsia"/>
              <w:b/>
              <w:bCs/>
              <w:sz w:val="24"/>
            </w:rPr>
            <w:fldChar w:fldCharType="separate"/>
          </w:r>
          <w:r>
            <w:rPr>
              <w:rFonts w:hint="eastAsia" w:asciiTheme="minorEastAsia" w:hAnsiTheme="minorEastAsia" w:eastAsiaTheme="minorEastAsia" w:cstheme="minorEastAsia"/>
              <w:b/>
              <w:bCs/>
              <w:sz w:val="24"/>
              <w:szCs w:val="24"/>
            </w:rPr>
            <w:t>第一章</w:t>
          </w:r>
          <w:r>
            <w:rPr>
              <w:rFonts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b/>
              <w:bCs/>
              <w:sz w:val="24"/>
              <w:szCs w:val="24"/>
            </w:rPr>
            <w:t>总则</w:t>
          </w:r>
          <w:r>
            <w:rPr>
              <w:rFonts w:asciiTheme="minorEastAsia" w:hAnsiTheme="minorEastAsia" w:cstheme="minorEastAsia"/>
              <w:b/>
              <w:bCs/>
              <w:sz w:val="24"/>
            </w:rPr>
            <w:tab/>
          </w:r>
          <w:r>
            <w:rPr>
              <w:rFonts w:asciiTheme="minorEastAsia" w:hAnsiTheme="minorEastAsia" w:cstheme="minorEastAsia"/>
              <w:b/>
              <w:bCs/>
              <w:sz w:val="24"/>
            </w:rPr>
            <w:fldChar w:fldCharType="begin"/>
          </w:r>
          <w:r>
            <w:rPr>
              <w:rFonts w:asciiTheme="minorEastAsia" w:hAnsiTheme="minorEastAsia" w:cstheme="minorEastAsia"/>
              <w:b/>
              <w:bCs/>
              <w:sz w:val="24"/>
            </w:rPr>
            <w:instrText xml:space="preserve"> PAGEREF _Toc7401 \h </w:instrText>
          </w:r>
          <w:r>
            <w:rPr>
              <w:rFonts w:asciiTheme="minorEastAsia" w:hAnsiTheme="minorEastAsia" w:cstheme="minorEastAsia"/>
              <w:b/>
              <w:bCs/>
              <w:sz w:val="24"/>
            </w:rPr>
            <w:fldChar w:fldCharType="separate"/>
          </w:r>
          <w:r>
            <w:rPr>
              <w:rFonts w:asciiTheme="minorEastAsia" w:hAnsiTheme="minorEastAsia" w:cstheme="minorEastAsia"/>
              <w:b/>
              <w:bCs/>
              <w:sz w:val="24"/>
            </w:rPr>
            <w:t>1</w:t>
          </w:r>
          <w:r>
            <w:rPr>
              <w:rFonts w:asciiTheme="minorEastAsia" w:hAnsiTheme="minorEastAsia" w:cstheme="minorEastAsia"/>
              <w:b/>
              <w:bCs/>
              <w:sz w:val="24"/>
            </w:rPr>
            <w:fldChar w:fldCharType="end"/>
          </w:r>
          <w:r>
            <w:rPr>
              <w:rFonts w:hint="eastAsia" w:asciiTheme="minorEastAsia" w:hAnsiTheme="minorEastAsia" w:eastAsiaTheme="minorEastAsia" w:cstheme="minorEastAsia"/>
              <w:b/>
              <w:bCs/>
              <w:sz w:val="24"/>
            </w:rPr>
            <w:fldChar w:fldCharType="end"/>
          </w:r>
        </w:p>
        <w:p w14:paraId="3F89ACE8">
          <w:pPr>
            <w:pStyle w:val="10"/>
            <w:tabs>
              <w:tab w:val="right" w:leader="dot" w:pos="8504"/>
            </w:tabs>
            <w:spacing w:line="400" w:lineRule="exact"/>
            <w:rPr>
              <w:rFonts w:asciiTheme="minorEastAsia" w:hAnsiTheme="minorEastAsia" w:cstheme="minorEastAsia"/>
              <w:sz w:val="24"/>
            </w:rPr>
          </w:pPr>
          <w:r>
            <w:rPr>
              <w:rFonts w:hint="eastAsia" w:asciiTheme="minorEastAsia" w:hAnsiTheme="minorEastAsia" w:eastAsiaTheme="minorEastAsia" w:cstheme="minorEastAsia"/>
              <w:bCs/>
              <w:sz w:val="24"/>
            </w:rPr>
            <w:fldChar w:fldCharType="begin"/>
          </w:r>
          <w:r>
            <w:rPr>
              <w:rFonts w:asciiTheme="minorEastAsia" w:hAnsiTheme="minorEastAsia" w:eastAsiaTheme="minorEastAsia" w:cstheme="minorEastAsia"/>
              <w:bCs/>
              <w:sz w:val="24"/>
            </w:rPr>
            <w:instrText xml:space="preserve"> HYPERLINK \l _Toc28946 </w:instrText>
          </w:r>
          <w:r>
            <w:rPr>
              <w:rFonts w:hint="eastAsia" w:asciiTheme="minorEastAsia" w:hAnsiTheme="minorEastAsia" w:eastAsiaTheme="minorEastAsia" w:cstheme="minorEastAsia"/>
              <w:bCs/>
              <w:sz w:val="24"/>
            </w:rPr>
            <w:fldChar w:fldCharType="separate"/>
          </w:r>
          <w:r>
            <w:rPr>
              <w:rFonts w:hint="eastAsia" w:asciiTheme="minorEastAsia" w:hAnsiTheme="minorEastAsia" w:cstheme="minorEastAsia"/>
              <w:bCs/>
              <w:sz w:val="24"/>
            </w:rPr>
            <w:t>一、制定目的与依据</w:t>
          </w:r>
          <w:r>
            <w:rPr>
              <w:rFonts w:asciiTheme="minorEastAsia" w:hAnsiTheme="minorEastAsia" w:cstheme="minorEastAsia"/>
              <w:sz w:val="24"/>
            </w:rPr>
            <w:tab/>
          </w:r>
          <w:r>
            <w:rPr>
              <w:rFonts w:asciiTheme="minorEastAsia" w:hAnsiTheme="minorEastAsia" w:cstheme="minorEastAsia"/>
              <w:sz w:val="24"/>
            </w:rPr>
            <w:fldChar w:fldCharType="begin"/>
          </w:r>
          <w:r>
            <w:rPr>
              <w:rFonts w:asciiTheme="minorEastAsia" w:hAnsiTheme="minorEastAsia" w:cstheme="minorEastAsia"/>
              <w:sz w:val="24"/>
            </w:rPr>
            <w:instrText xml:space="preserve"> PAGEREF _Toc28946 \h </w:instrText>
          </w:r>
          <w:r>
            <w:rPr>
              <w:rFonts w:asciiTheme="minorEastAsia" w:hAnsiTheme="minorEastAsia" w:cstheme="minorEastAsia"/>
              <w:sz w:val="24"/>
            </w:rPr>
            <w:fldChar w:fldCharType="separate"/>
          </w:r>
          <w:r>
            <w:rPr>
              <w:rFonts w:asciiTheme="minorEastAsia" w:hAnsiTheme="minorEastAsia" w:cstheme="minorEastAsia"/>
              <w:sz w:val="24"/>
            </w:rPr>
            <w:t>1</w:t>
          </w:r>
          <w:r>
            <w:rPr>
              <w:rFonts w:asciiTheme="minorEastAsia" w:hAnsiTheme="minorEastAsia" w:cstheme="minorEastAsia"/>
              <w:sz w:val="24"/>
            </w:rPr>
            <w:fldChar w:fldCharType="end"/>
          </w:r>
          <w:r>
            <w:rPr>
              <w:rFonts w:hint="eastAsia" w:asciiTheme="minorEastAsia" w:hAnsiTheme="minorEastAsia" w:eastAsiaTheme="minorEastAsia" w:cstheme="minorEastAsia"/>
              <w:bCs/>
              <w:sz w:val="24"/>
            </w:rPr>
            <w:fldChar w:fldCharType="end"/>
          </w:r>
        </w:p>
        <w:p w14:paraId="234B393E">
          <w:pPr>
            <w:pStyle w:val="10"/>
            <w:tabs>
              <w:tab w:val="right" w:leader="dot" w:pos="8504"/>
            </w:tabs>
            <w:spacing w:line="400" w:lineRule="exact"/>
            <w:rPr>
              <w:rFonts w:asciiTheme="minorEastAsia" w:hAnsiTheme="minorEastAsia" w:cstheme="minorEastAsia"/>
              <w:sz w:val="24"/>
            </w:rPr>
          </w:pPr>
          <w:r>
            <w:rPr>
              <w:rFonts w:hint="eastAsia" w:asciiTheme="minorEastAsia" w:hAnsiTheme="minorEastAsia" w:eastAsiaTheme="minorEastAsia" w:cstheme="minorEastAsia"/>
              <w:bCs/>
              <w:sz w:val="24"/>
            </w:rPr>
            <w:fldChar w:fldCharType="begin"/>
          </w:r>
          <w:r>
            <w:rPr>
              <w:rFonts w:asciiTheme="minorEastAsia" w:hAnsiTheme="minorEastAsia" w:eastAsiaTheme="minorEastAsia" w:cstheme="minorEastAsia"/>
              <w:bCs/>
              <w:sz w:val="24"/>
            </w:rPr>
            <w:instrText xml:space="preserve"> HYPERLINK \l _Toc1199 </w:instrText>
          </w:r>
          <w:r>
            <w:rPr>
              <w:rFonts w:hint="eastAsia" w:asciiTheme="minorEastAsia" w:hAnsiTheme="minorEastAsia" w:eastAsiaTheme="minorEastAsia" w:cstheme="minorEastAsia"/>
              <w:bCs/>
              <w:sz w:val="24"/>
            </w:rPr>
            <w:fldChar w:fldCharType="separate"/>
          </w:r>
          <w:r>
            <w:rPr>
              <w:rFonts w:hint="eastAsia" w:asciiTheme="minorEastAsia" w:hAnsiTheme="minorEastAsia" w:cstheme="minorEastAsia"/>
              <w:bCs/>
              <w:sz w:val="24"/>
            </w:rPr>
            <w:t>二、总体要求</w:t>
          </w:r>
          <w:r>
            <w:rPr>
              <w:rFonts w:asciiTheme="minorEastAsia" w:hAnsiTheme="minorEastAsia" w:cstheme="minorEastAsia"/>
              <w:sz w:val="24"/>
            </w:rPr>
            <w:tab/>
          </w:r>
          <w:r>
            <w:rPr>
              <w:rFonts w:asciiTheme="minorEastAsia" w:hAnsiTheme="minorEastAsia" w:cstheme="minorEastAsia"/>
              <w:sz w:val="24"/>
            </w:rPr>
            <w:fldChar w:fldCharType="begin"/>
          </w:r>
          <w:r>
            <w:rPr>
              <w:rFonts w:asciiTheme="minorEastAsia" w:hAnsiTheme="minorEastAsia" w:cstheme="minorEastAsia"/>
              <w:sz w:val="24"/>
            </w:rPr>
            <w:instrText xml:space="preserve"> PAGEREF _Toc1199 \h </w:instrText>
          </w:r>
          <w:r>
            <w:rPr>
              <w:rFonts w:asciiTheme="minorEastAsia" w:hAnsiTheme="minorEastAsia" w:cstheme="minorEastAsia"/>
              <w:sz w:val="24"/>
            </w:rPr>
            <w:fldChar w:fldCharType="separate"/>
          </w:r>
          <w:r>
            <w:rPr>
              <w:rFonts w:asciiTheme="minorEastAsia" w:hAnsiTheme="minorEastAsia" w:cstheme="minorEastAsia"/>
              <w:sz w:val="24"/>
            </w:rPr>
            <w:t>1</w:t>
          </w:r>
          <w:r>
            <w:rPr>
              <w:rFonts w:asciiTheme="minorEastAsia" w:hAnsiTheme="minorEastAsia" w:cstheme="minorEastAsia"/>
              <w:sz w:val="24"/>
            </w:rPr>
            <w:fldChar w:fldCharType="end"/>
          </w:r>
          <w:r>
            <w:rPr>
              <w:rFonts w:hint="eastAsia" w:asciiTheme="minorEastAsia" w:hAnsiTheme="minorEastAsia" w:eastAsiaTheme="minorEastAsia" w:cstheme="minorEastAsia"/>
              <w:bCs/>
              <w:sz w:val="24"/>
            </w:rPr>
            <w:fldChar w:fldCharType="end"/>
          </w:r>
        </w:p>
        <w:p w14:paraId="680CB40D">
          <w:pPr>
            <w:pStyle w:val="10"/>
            <w:tabs>
              <w:tab w:val="right" w:leader="dot" w:pos="8504"/>
            </w:tabs>
            <w:spacing w:line="400" w:lineRule="exact"/>
            <w:rPr>
              <w:rFonts w:asciiTheme="minorEastAsia" w:hAnsiTheme="minorEastAsia" w:cstheme="minorEastAsia"/>
              <w:sz w:val="24"/>
            </w:rPr>
          </w:pPr>
          <w:r>
            <w:rPr>
              <w:rFonts w:hint="eastAsia" w:asciiTheme="minorEastAsia" w:hAnsiTheme="minorEastAsia" w:eastAsiaTheme="minorEastAsia" w:cstheme="minorEastAsia"/>
              <w:bCs/>
              <w:sz w:val="24"/>
            </w:rPr>
            <w:fldChar w:fldCharType="begin"/>
          </w:r>
          <w:r>
            <w:rPr>
              <w:rFonts w:asciiTheme="minorEastAsia" w:hAnsiTheme="minorEastAsia" w:eastAsiaTheme="minorEastAsia" w:cstheme="minorEastAsia"/>
              <w:bCs/>
              <w:sz w:val="24"/>
            </w:rPr>
            <w:instrText xml:space="preserve"> HYPERLINK \l _Toc17086 </w:instrText>
          </w:r>
          <w:r>
            <w:rPr>
              <w:rFonts w:hint="eastAsia" w:asciiTheme="minorEastAsia" w:hAnsiTheme="minorEastAsia" w:eastAsiaTheme="minorEastAsia" w:cstheme="minorEastAsia"/>
              <w:bCs/>
              <w:sz w:val="24"/>
            </w:rPr>
            <w:fldChar w:fldCharType="separate"/>
          </w:r>
          <w:r>
            <w:rPr>
              <w:rFonts w:hint="eastAsia" w:asciiTheme="minorEastAsia" w:hAnsiTheme="minorEastAsia" w:cstheme="minorEastAsia"/>
              <w:bCs/>
              <w:sz w:val="24"/>
            </w:rPr>
            <w:t>三、函证程序目标</w:t>
          </w:r>
          <w:r>
            <w:rPr>
              <w:rFonts w:asciiTheme="minorEastAsia" w:hAnsiTheme="minorEastAsia" w:cstheme="minorEastAsia"/>
              <w:sz w:val="24"/>
            </w:rPr>
            <w:tab/>
          </w:r>
          <w:r>
            <w:rPr>
              <w:rFonts w:asciiTheme="minorEastAsia" w:hAnsiTheme="minorEastAsia" w:cstheme="minorEastAsia"/>
              <w:sz w:val="24"/>
            </w:rPr>
            <w:fldChar w:fldCharType="begin"/>
          </w:r>
          <w:r>
            <w:rPr>
              <w:rFonts w:asciiTheme="minorEastAsia" w:hAnsiTheme="minorEastAsia" w:cstheme="minorEastAsia"/>
              <w:sz w:val="24"/>
            </w:rPr>
            <w:instrText xml:space="preserve"> PAGEREF _Toc17086 \h </w:instrText>
          </w:r>
          <w:r>
            <w:rPr>
              <w:rFonts w:asciiTheme="minorEastAsia" w:hAnsiTheme="minorEastAsia" w:cstheme="minorEastAsia"/>
              <w:sz w:val="24"/>
            </w:rPr>
            <w:fldChar w:fldCharType="separate"/>
          </w:r>
          <w:r>
            <w:rPr>
              <w:rFonts w:asciiTheme="minorEastAsia" w:hAnsiTheme="minorEastAsia" w:cstheme="minorEastAsia"/>
              <w:sz w:val="24"/>
            </w:rPr>
            <w:t>1</w:t>
          </w:r>
          <w:r>
            <w:rPr>
              <w:rFonts w:asciiTheme="minorEastAsia" w:hAnsiTheme="minorEastAsia" w:cstheme="minorEastAsia"/>
              <w:sz w:val="24"/>
            </w:rPr>
            <w:fldChar w:fldCharType="end"/>
          </w:r>
          <w:r>
            <w:rPr>
              <w:rFonts w:hint="eastAsia" w:asciiTheme="minorEastAsia" w:hAnsiTheme="minorEastAsia" w:eastAsiaTheme="minorEastAsia" w:cstheme="minorEastAsia"/>
              <w:bCs/>
              <w:sz w:val="24"/>
            </w:rPr>
            <w:fldChar w:fldCharType="end"/>
          </w:r>
        </w:p>
        <w:p w14:paraId="02817461">
          <w:pPr>
            <w:pStyle w:val="10"/>
            <w:tabs>
              <w:tab w:val="right" w:leader="dot" w:pos="8504"/>
            </w:tabs>
            <w:spacing w:line="400" w:lineRule="exact"/>
            <w:rPr>
              <w:rFonts w:asciiTheme="minorEastAsia" w:hAnsiTheme="minorEastAsia" w:cstheme="minorEastAsia"/>
              <w:sz w:val="24"/>
            </w:rPr>
          </w:pPr>
          <w:r>
            <w:rPr>
              <w:rFonts w:hint="eastAsia" w:asciiTheme="minorEastAsia" w:hAnsiTheme="minorEastAsia" w:eastAsiaTheme="minorEastAsia" w:cstheme="minorEastAsia"/>
              <w:bCs/>
              <w:sz w:val="24"/>
            </w:rPr>
            <w:fldChar w:fldCharType="begin"/>
          </w:r>
          <w:r>
            <w:rPr>
              <w:rFonts w:asciiTheme="minorEastAsia" w:hAnsiTheme="minorEastAsia" w:eastAsiaTheme="minorEastAsia" w:cstheme="minorEastAsia"/>
              <w:bCs/>
              <w:sz w:val="24"/>
            </w:rPr>
            <w:instrText xml:space="preserve"> HYPERLINK \l _Toc25165 </w:instrText>
          </w:r>
          <w:r>
            <w:rPr>
              <w:rFonts w:hint="eastAsia" w:asciiTheme="minorEastAsia" w:hAnsiTheme="minorEastAsia" w:eastAsiaTheme="minorEastAsia" w:cstheme="minorEastAsia"/>
              <w:bCs/>
              <w:sz w:val="24"/>
            </w:rPr>
            <w:fldChar w:fldCharType="separate"/>
          </w:r>
          <w:r>
            <w:rPr>
              <w:rFonts w:hint="eastAsia" w:asciiTheme="minorEastAsia" w:hAnsiTheme="minorEastAsia" w:cstheme="minorEastAsia"/>
              <w:bCs/>
              <w:sz w:val="24"/>
            </w:rPr>
            <w:t>四、职业道德要求</w:t>
          </w:r>
          <w:r>
            <w:rPr>
              <w:rFonts w:asciiTheme="minorEastAsia" w:hAnsiTheme="minorEastAsia" w:cstheme="minorEastAsia"/>
              <w:sz w:val="24"/>
            </w:rPr>
            <w:tab/>
          </w:r>
          <w:r>
            <w:rPr>
              <w:rFonts w:asciiTheme="minorEastAsia" w:hAnsiTheme="minorEastAsia" w:cstheme="minorEastAsia"/>
              <w:sz w:val="24"/>
            </w:rPr>
            <w:fldChar w:fldCharType="begin"/>
          </w:r>
          <w:r>
            <w:rPr>
              <w:rFonts w:asciiTheme="minorEastAsia" w:hAnsiTheme="minorEastAsia" w:cstheme="minorEastAsia"/>
              <w:sz w:val="24"/>
            </w:rPr>
            <w:instrText xml:space="preserve"> PAGEREF _Toc25165 \h </w:instrText>
          </w:r>
          <w:r>
            <w:rPr>
              <w:rFonts w:asciiTheme="minorEastAsia" w:hAnsiTheme="minorEastAsia" w:cstheme="minorEastAsia"/>
              <w:sz w:val="24"/>
            </w:rPr>
            <w:fldChar w:fldCharType="separate"/>
          </w:r>
          <w:r>
            <w:rPr>
              <w:rFonts w:asciiTheme="minorEastAsia" w:hAnsiTheme="minorEastAsia" w:cstheme="minorEastAsia"/>
              <w:sz w:val="24"/>
            </w:rPr>
            <w:t>1</w:t>
          </w:r>
          <w:r>
            <w:rPr>
              <w:rFonts w:asciiTheme="minorEastAsia" w:hAnsiTheme="minorEastAsia" w:cstheme="minorEastAsia"/>
              <w:sz w:val="24"/>
            </w:rPr>
            <w:fldChar w:fldCharType="end"/>
          </w:r>
          <w:r>
            <w:rPr>
              <w:rFonts w:hint="eastAsia" w:asciiTheme="minorEastAsia" w:hAnsiTheme="minorEastAsia" w:eastAsiaTheme="minorEastAsia" w:cstheme="minorEastAsia"/>
              <w:bCs/>
              <w:sz w:val="24"/>
            </w:rPr>
            <w:fldChar w:fldCharType="end"/>
          </w:r>
        </w:p>
        <w:p w14:paraId="17A3871D">
          <w:pPr>
            <w:pStyle w:val="10"/>
            <w:tabs>
              <w:tab w:val="right" w:leader="dot" w:pos="8504"/>
            </w:tabs>
            <w:spacing w:line="400" w:lineRule="exact"/>
            <w:rPr>
              <w:rFonts w:asciiTheme="minorEastAsia" w:hAnsiTheme="minorEastAsia" w:cstheme="minorEastAsia"/>
              <w:sz w:val="24"/>
            </w:rPr>
          </w:pPr>
          <w:r>
            <w:rPr>
              <w:rFonts w:hint="eastAsia" w:asciiTheme="minorEastAsia" w:hAnsiTheme="minorEastAsia" w:eastAsiaTheme="minorEastAsia" w:cstheme="minorEastAsia"/>
              <w:bCs/>
              <w:sz w:val="24"/>
            </w:rPr>
            <w:fldChar w:fldCharType="begin"/>
          </w:r>
          <w:r>
            <w:rPr>
              <w:rFonts w:asciiTheme="minorEastAsia" w:hAnsiTheme="minorEastAsia" w:eastAsiaTheme="minorEastAsia" w:cstheme="minorEastAsia"/>
              <w:bCs/>
              <w:sz w:val="24"/>
            </w:rPr>
            <w:instrText xml:space="preserve"> HYPERLINK \l _Toc26907 </w:instrText>
          </w:r>
          <w:r>
            <w:rPr>
              <w:rFonts w:hint="eastAsia" w:asciiTheme="minorEastAsia" w:hAnsiTheme="minorEastAsia" w:eastAsiaTheme="minorEastAsia" w:cstheme="minorEastAsia"/>
              <w:bCs/>
              <w:sz w:val="24"/>
            </w:rPr>
            <w:fldChar w:fldCharType="separate"/>
          </w:r>
          <w:r>
            <w:rPr>
              <w:rFonts w:hint="eastAsia" w:asciiTheme="minorEastAsia" w:hAnsiTheme="minorEastAsia" w:cstheme="minorEastAsia"/>
              <w:bCs/>
              <w:sz w:val="24"/>
            </w:rPr>
            <w:t>五、适用范围提示</w:t>
          </w:r>
          <w:r>
            <w:rPr>
              <w:rFonts w:asciiTheme="minorEastAsia" w:hAnsiTheme="minorEastAsia" w:cstheme="minorEastAsia"/>
              <w:sz w:val="24"/>
            </w:rPr>
            <w:tab/>
          </w:r>
          <w:r>
            <w:rPr>
              <w:rFonts w:asciiTheme="minorEastAsia" w:hAnsiTheme="minorEastAsia" w:cstheme="minorEastAsia"/>
              <w:sz w:val="24"/>
            </w:rPr>
            <w:fldChar w:fldCharType="begin"/>
          </w:r>
          <w:r>
            <w:rPr>
              <w:rFonts w:asciiTheme="minorEastAsia" w:hAnsiTheme="minorEastAsia" w:cstheme="minorEastAsia"/>
              <w:sz w:val="24"/>
            </w:rPr>
            <w:instrText xml:space="preserve"> PAGEREF _Toc26907 \h </w:instrText>
          </w:r>
          <w:r>
            <w:rPr>
              <w:rFonts w:asciiTheme="minorEastAsia" w:hAnsiTheme="minorEastAsia" w:cstheme="minorEastAsia"/>
              <w:sz w:val="24"/>
            </w:rPr>
            <w:fldChar w:fldCharType="separate"/>
          </w:r>
          <w:r>
            <w:rPr>
              <w:rFonts w:asciiTheme="minorEastAsia" w:hAnsiTheme="minorEastAsia" w:cstheme="minorEastAsia"/>
              <w:sz w:val="24"/>
            </w:rPr>
            <w:t>1</w:t>
          </w:r>
          <w:r>
            <w:rPr>
              <w:rFonts w:asciiTheme="minorEastAsia" w:hAnsiTheme="minorEastAsia" w:cstheme="minorEastAsia"/>
              <w:sz w:val="24"/>
            </w:rPr>
            <w:fldChar w:fldCharType="end"/>
          </w:r>
          <w:r>
            <w:rPr>
              <w:rFonts w:hint="eastAsia" w:asciiTheme="minorEastAsia" w:hAnsiTheme="minorEastAsia" w:eastAsiaTheme="minorEastAsia" w:cstheme="minorEastAsia"/>
              <w:bCs/>
              <w:sz w:val="24"/>
            </w:rPr>
            <w:fldChar w:fldCharType="end"/>
          </w:r>
        </w:p>
        <w:p w14:paraId="74973626">
          <w:pPr>
            <w:pStyle w:val="8"/>
            <w:tabs>
              <w:tab w:val="right" w:leader="dot" w:pos="8504"/>
            </w:tabs>
            <w:spacing w:line="400" w:lineRule="exact"/>
            <w:rPr>
              <w:rFonts w:asciiTheme="minorEastAsia" w:hAnsiTheme="minorEastAsia" w:cstheme="minorEastAsia"/>
              <w:sz w:val="24"/>
            </w:rPr>
          </w:pPr>
          <w:r>
            <w:rPr>
              <w:rFonts w:hint="eastAsia" w:asciiTheme="minorEastAsia" w:hAnsiTheme="minorEastAsia" w:eastAsiaTheme="minorEastAsia" w:cstheme="minorEastAsia"/>
              <w:b/>
              <w:bCs/>
              <w:sz w:val="24"/>
            </w:rPr>
            <w:fldChar w:fldCharType="begin"/>
          </w:r>
          <w:r>
            <w:rPr>
              <w:rFonts w:asciiTheme="minorEastAsia" w:hAnsiTheme="minorEastAsia" w:eastAsiaTheme="minorEastAsia" w:cstheme="minorEastAsia"/>
              <w:b/>
              <w:bCs/>
              <w:sz w:val="24"/>
            </w:rPr>
            <w:instrText xml:space="preserve"> HYPERLINK \l _Toc3124 </w:instrText>
          </w:r>
          <w:r>
            <w:rPr>
              <w:rFonts w:hint="eastAsia" w:asciiTheme="minorEastAsia" w:hAnsiTheme="minorEastAsia" w:eastAsiaTheme="minorEastAsia" w:cstheme="minorEastAsia"/>
              <w:b/>
              <w:bCs/>
              <w:sz w:val="24"/>
            </w:rPr>
            <w:fldChar w:fldCharType="separate"/>
          </w:r>
          <w:r>
            <w:rPr>
              <w:rFonts w:hint="eastAsia" w:asciiTheme="minorEastAsia" w:hAnsiTheme="minorEastAsia" w:eastAsiaTheme="minorEastAsia" w:cstheme="minorEastAsia"/>
              <w:b/>
              <w:bCs/>
              <w:sz w:val="24"/>
              <w:szCs w:val="24"/>
            </w:rPr>
            <w:t>第二章</w:t>
          </w:r>
          <w:r>
            <w:rPr>
              <w:rFonts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b/>
              <w:bCs/>
              <w:sz w:val="24"/>
              <w:szCs w:val="24"/>
            </w:rPr>
            <w:t>评估与函证相关的舞弊风险</w:t>
          </w:r>
          <w:r>
            <w:rPr>
              <w:rFonts w:asciiTheme="minorEastAsia" w:hAnsiTheme="minorEastAsia" w:cstheme="minorEastAsia"/>
              <w:b/>
              <w:bCs/>
              <w:sz w:val="24"/>
            </w:rPr>
            <w:tab/>
          </w:r>
          <w:r>
            <w:rPr>
              <w:rFonts w:asciiTheme="minorEastAsia" w:hAnsiTheme="minorEastAsia" w:cstheme="minorEastAsia"/>
              <w:b/>
              <w:bCs/>
              <w:sz w:val="24"/>
            </w:rPr>
            <w:fldChar w:fldCharType="begin"/>
          </w:r>
          <w:r>
            <w:rPr>
              <w:rFonts w:asciiTheme="minorEastAsia" w:hAnsiTheme="minorEastAsia" w:cstheme="minorEastAsia"/>
              <w:b/>
              <w:bCs/>
              <w:sz w:val="24"/>
            </w:rPr>
            <w:instrText xml:space="preserve"> PAGEREF _Toc3124 \h </w:instrText>
          </w:r>
          <w:r>
            <w:rPr>
              <w:rFonts w:asciiTheme="minorEastAsia" w:hAnsiTheme="minorEastAsia" w:cstheme="minorEastAsia"/>
              <w:b/>
              <w:bCs/>
              <w:sz w:val="24"/>
            </w:rPr>
            <w:fldChar w:fldCharType="separate"/>
          </w:r>
          <w:r>
            <w:rPr>
              <w:rFonts w:asciiTheme="minorEastAsia" w:hAnsiTheme="minorEastAsia" w:cstheme="minorEastAsia"/>
              <w:b/>
              <w:bCs/>
              <w:sz w:val="24"/>
            </w:rPr>
            <w:t>3</w:t>
          </w:r>
          <w:r>
            <w:rPr>
              <w:rFonts w:asciiTheme="minorEastAsia" w:hAnsiTheme="minorEastAsia" w:cstheme="minorEastAsia"/>
              <w:b/>
              <w:bCs/>
              <w:sz w:val="24"/>
            </w:rPr>
            <w:fldChar w:fldCharType="end"/>
          </w:r>
          <w:r>
            <w:rPr>
              <w:rFonts w:hint="eastAsia" w:asciiTheme="minorEastAsia" w:hAnsiTheme="minorEastAsia" w:eastAsiaTheme="minorEastAsia" w:cstheme="minorEastAsia"/>
              <w:b/>
              <w:bCs/>
              <w:sz w:val="24"/>
            </w:rPr>
            <w:fldChar w:fldCharType="end"/>
          </w:r>
        </w:p>
        <w:p w14:paraId="2DC03F18">
          <w:pPr>
            <w:pStyle w:val="10"/>
            <w:tabs>
              <w:tab w:val="right" w:leader="dot" w:pos="8504"/>
            </w:tabs>
            <w:spacing w:line="400" w:lineRule="exact"/>
            <w:rPr>
              <w:rFonts w:asciiTheme="minorEastAsia" w:hAnsiTheme="minorEastAsia" w:cstheme="minorEastAsia"/>
              <w:sz w:val="24"/>
            </w:rPr>
          </w:pPr>
          <w:r>
            <w:rPr>
              <w:rFonts w:hint="eastAsia" w:asciiTheme="minorEastAsia" w:hAnsiTheme="minorEastAsia" w:eastAsiaTheme="minorEastAsia" w:cstheme="minorEastAsia"/>
              <w:bCs/>
              <w:sz w:val="24"/>
            </w:rPr>
            <w:fldChar w:fldCharType="begin"/>
          </w:r>
          <w:r>
            <w:rPr>
              <w:rFonts w:asciiTheme="minorEastAsia" w:hAnsiTheme="minorEastAsia" w:eastAsiaTheme="minorEastAsia" w:cstheme="minorEastAsia"/>
              <w:bCs/>
              <w:sz w:val="24"/>
            </w:rPr>
            <w:instrText xml:space="preserve"> HYPERLINK \l _Toc1165 </w:instrText>
          </w:r>
          <w:r>
            <w:rPr>
              <w:rFonts w:hint="eastAsia" w:asciiTheme="minorEastAsia" w:hAnsiTheme="minorEastAsia" w:eastAsiaTheme="minorEastAsia" w:cstheme="minorEastAsia"/>
              <w:bCs/>
              <w:sz w:val="24"/>
            </w:rPr>
            <w:fldChar w:fldCharType="separate"/>
          </w:r>
          <w:r>
            <w:rPr>
              <w:rFonts w:hint="eastAsia" w:asciiTheme="minorEastAsia" w:hAnsiTheme="minorEastAsia" w:cstheme="minorEastAsia"/>
              <w:bCs/>
              <w:sz w:val="24"/>
            </w:rPr>
            <w:t>一、函证前对被审计单位可能存在的舞弊风险的评估程序</w:t>
          </w:r>
          <w:r>
            <w:rPr>
              <w:rFonts w:asciiTheme="minorEastAsia" w:hAnsiTheme="minorEastAsia" w:cstheme="minorEastAsia"/>
              <w:sz w:val="24"/>
            </w:rPr>
            <w:tab/>
          </w:r>
          <w:r>
            <w:rPr>
              <w:rFonts w:asciiTheme="minorEastAsia" w:hAnsiTheme="minorEastAsia" w:cstheme="minorEastAsia"/>
              <w:sz w:val="24"/>
            </w:rPr>
            <w:fldChar w:fldCharType="begin"/>
          </w:r>
          <w:r>
            <w:rPr>
              <w:rFonts w:asciiTheme="minorEastAsia" w:hAnsiTheme="minorEastAsia" w:cstheme="minorEastAsia"/>
              <w:sz w:val="24"/>
            </w:rPr>
            <w:instrText xml:space="preserve"> PAGEREF _Toc1165 \h </w:instrText>
          </w:r>
          <w:r>
            <w:rPr>
              <w:rFonts w:asciiTheme="minorEastAsia" w:hAnsiTheme="minorEastAsia" w:cstheme="minorEastAsia"/>
              <w:sz w:val="24"/>
            </w:rPr>
            <w:fldChar w:fldCharType="separate"/>
          </w:r>
          <w:r>
            <w:rPr>
              <w:rFonts w:asciiTheme="minorEastAsia" w:hAnsiTheme="minorEastAsia" w:cstheme="minorEastAsia"/>
              <w:sz w:val="24"/>
            </w:rPr>
            <w:t>3</w:t>
          </w:r>
          <w:r>
            <w:rPr>
              <w:rFonts w:asciiTheme="minorEastAsia" w:hAnsiTheme="minorEastAsia" w:cstheme="minorEastAsia"/>
              <w:sz w:val="24"/>
            </w:rPr>
            <w:fldChar w:fldCharType="end"/>
          </w:r>
          <w:r>
            <w:rPr>
              <w:rFonts w:hint="eastAsia" w:asciiTheme="minorEastAsia" w:hAnsiTheme="minorEastAsia" w:eastAsiaTheme="minorEastAsia" w:cstheme="minorEastAsia"/>
              <w:bCs/>
              <w:sz w:val="24"/>
            </w:rPr>
            <w:fldChar w:fldCharType="end"/>
          </w:r>
        </w:p>
        <w:p w14:paraId="756BA681">
          <w:pPr>
            <w:pStyle w:val="10"/>
            <w:tabs>
              <w:tab w:val="right" w:leader="dot" w:pos="8504"/>
            </w:tabs>
            <w:spacing w:line="400" w:lineRule="exact"/>
            <w:rPr>
              <w:rFonts w:asciiTheme="minorEastAsia" w:hAnsiTheme="minorEastAsia" w:cstheme="minorEastAsia"/>
              <w:sz w:val="24"/>
            </w:rPr>
          </w:pPr>
          <w:r>
            <w:rPr>
              <w:rFonts w:hint="eastAsia" w:asciiTheme="minorEastAsia" w:hAnsiTheme="minorEastAsia" w:eastAsiaTheme="minorEastAsia" w:cstheme="minorEastAsia"/>
              <w:bCs/>
              <w:sz w:val="24"/>
            </w:rPr>
            <w:fldChar w:fldCharType="begin"/>
          </w:r>
          <w:r>
            <w:rPr>
              <w:rFonts w:asciiTheme="minorEastAsia" w:hAnsiTheme="minorEastAsia" w:eastAsiaTheme="minorEastAsia" w:cstheme="minorEastAsia"/>
              <w:bCs/>
              <w:sz w:val="24"/>
            </w:rPr>
            <w:instrText xml:space="preserve"> HYPERLINK \l _Toc7687 </w:instrText>
          </w:r>
          <w:r>
            <w:rPr>
              <w:rFonts w:hint="eastAsia" w:asciiTheme="minorEastAsia" w:hAnsiTheme="minorEastAsia" w:eastAsiaTheme="minorEastAsia" w:cstheme="minorEastAsia"/>
              <w:bCs/>
              <w:sz w:val="24"/>
            </w:rPr>
            <w:fldChar w:fldCharType="separate"/>
          </w:r>
          <w:r>
            <w:rPr>
              <w:rFonts w:hint="eastAsia" w:asciiTheme="minorEastAsia" w:hAnsiTheme="minorEastAsia" w:cstheme="minorEastAsia"/>
              <w:bCs/>
              <w:sz w:val="24"/>
            </w:rPr>
            <w:t>二、执行函证时需关注的舞弊风险重要考虑因素</w:t>
          </w:r>
          <w:r>
            <w:rPr>
              <w:rFonts w:asciiTheme="minorEastAsia" w:hAnsiTheme="minorEastAsia" w:cstheme="minorEastAsia"/>
              <w:sz w:val="24"/>
            </w:rPr>
            <w:tab/>
          </w:r>
          <w:r>
            <w:rPr>
              <w:rFonts w:asciiTheme="minorEastAsia" w:hAnsiTheme="minorEastAsia" w:cstheme="minorEastAsia"/>
              <w:sz w:val="24"/>
            </w:rPr>
            <w:fldChar w:fldCharType="begin"/>
          </w:r>
          <w:r>
            <w:rPr>
              <w:rFonts w:asciiTheme="minorEastAsia" w:hAnsiTheme="minorEastAsia" w:cstheme="minorEastAsia"/>
              <w:sz w:val="24"/>
            </w:rPr>
            <w:instrText xml:space="preserve"> PAGEREF _Toc7687 \h </w:instrText>
          </w:r>
          <w:r>
            <w:rPr>
              <w:rFonts w:asciiTheme="minorEastAsia" w:hAnsiTheme="minorEastAsia" w:cstheme="minorEastAsia"/>
              <w:sz w:val="24"/>
            </w:rPr>
            <w:fldChar w:fldCharType="separate"/>
          </w:r>
          <w:r>
            <w:rPr>
              <w:rFonts w:asciiTheme="minorEastAsia" w:hAnsiTheme="minorEastAsia" w:cstheme="minorEastAsia"/>
              <w:sz w:val="24"/>
            </w:rPr>
            <w:t>4</w:t>
          </w:r>
          <w:r>
            <w:rPr>
              <w:rFonts w:asciiTheme="minorEastAsia" w:hAnsiTheme="minorEastAsia" w:cstheme="minorEastAsia"/>
              <w:sz w:val="24"/>
            </w:rPr>
            <w:fldChar w:fldCharType="end"/>
          </w:r>
          <w:r>
            <w:rPr>
              <w:rFonts w:hint="eastAsia" w:asciiTheme="minorEastAsia" w:hAnsiTheme="minorEastAsia" w:eastAsiaTheme="minorEastAsia" w:cstheme="minorEastAsia"/>
              <w:bCs/>
              <w:sz w:val="24"/>
            </w:rPr>
            <w:fldChar w:fldCharType="end"/>
          </w:r>
        </w:p>
        <w:p w14:paraId="6DE0650A">
          <w:pPr>
            <w:pStyle w:val="8"/>
            <w:tabs>
              <w:tab w:val="right" w:leader="dot" w:pos="8504"/>
            </w:tabs>
            <w:spacing w:line="400" w:lineRule="exact"/>
            <w:rPr>
              <w:rFonts w:asciiTheme="minorEastAsia" w:hAnsiTheme="minorEastAsia" w:cstheme="minorEastAsia"/>
              <w:sz w:val="24"/>
            </w:rPr>
          </w:pPr>
          <w:r>
            <w:rPr>
              <w:rFonts w:hint="eastAsia" w:asciiTheme="minorEastAsia" w:hAnsiTheme="minorEastAsia" w:eastAsiaTheme="minorEastAsia" w:cstheme="minorEastAsia"/>
              <w:b/>
              <w:bCs/>
              <w:sz w:val="24"/>
            </w:rPr>
            <w:fldChar w:fldCharType="begin"/>
          </w:r>
          <w:r>
            <w:rPr>
              <w:rFonts w:asciiTheme="minorEastAsia" w:hAnsiTheme="minorEastAsia" w:eastAsiaTheme="minorEastAsia" w:cstheme="minorEastAsia"/>
              <w:b/>
              <w:bCs/>
              <w:sz w:val="24"/>
            </w:rPr>
            <w:instrText xml:space="preserve"> HYPERLINK \l _Toc5046 </w:instrText>
          </w:r>
          <w:r>
            <w:rPr>
              <w:rFonts w:hint="eastAsia" w:asciiTheme="minorEastAsia" w:hAnsiTheme="minorEastAsia" w:eastAsiaTheme="minorEastAsia" w:cstheme="minorEastAsia"/>
              <w:b/>
              <w:bCs/>
              <w:sz w:val="24"/>
            </w:rPr>
            <w:fldChar w:fldCharType="separate"/>
          </w:r>
          <w:r>
            <w:rPr>
              <w:rFonts w:hint="eastAsia" w:asciiTheme="minorEastAsia" w:hAnsiTheme="minorEastAsia" w:eastAsiaTheme="minorEastAsia" w:cstheme="minorEastAsia"/>
              <w:b/>
              <w:bCs/>
              <w:sz w:val="24"/>
              <w:szCs w:val="24"/>
            </w:rPr>
            <w:t>第三章</w:t>
          </w:r>
          <w:r>
            <w:rPr>
              <w:rFonts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b/>
              <w:bCs/>
              <w:sz w:val="24"/>
              <w:szCs w:val="24"/>
            </w:rPr>
            <w:t>函证操作流程</w:t>
          </w:r>
          <w:r>
            <w:rPr>
              <w:rFonts w:asciiTheme="minorEastAsia" w:hAnsiTheme="minorEastAsia" w:cstheme="minorEastAsia"/>
              <w:b/>
              <w:bCs/>
              <w:sz w:val="24"/>
            </w:rPr>
            <w:tab/>
          </w:r>
          <w:r>
            <w:rPr>
              <w:rFonts w:asciiTheme="minorEastAsia" w:hAnsiTheme="minorEastAsia" w:cstheme="minorEastAsia"/>
              <w:b/>
              <w:bCs/>
              <w:sz w:val="24"/>
            </w:rPr>
            <w:t>6</w:t>
          </w:r>
          <w:r>
            <w:rPr>
              <w:rFonts w:hint="eastAsia" w:asciiTheme="minorEastAsia" w:hAnsiTheme="minorEastAsia" w:eastAsiaTheme="minorEastAsia" w:cstheme="minorEastAsia"/>
              <w:b/>
              <w:bCs/>
              <w:sz w:val="24"/>
            </w:rPr>
            <w:fldChar w:fldCharType="end"/>
          </w:r>
        </w:p>
        <w:p w14:paraId="3D53346C">
          <w:pPr>
            <w:pStyle w:val="10"/>
            <w:tabs>
              <w:tab w:val="right" w:leader="dot" w:pos="8504"/>
            </w:tabs>
            <w:spacing w:line="400" w:lineRule="exact"/>
            <w:rPr>
              <w:rFonts w:asciiTheme="minorEastAsia" w:hAnsiTheme="minorEastAsia" w:cstheme="minorEastAsia"/>
              <w:sz w:val="24"/>
            </w:rPr>
          </w:pPr>
          <w:r>
            <w:rPr>
              <w:rFonts w:hint="eastAsia" w:asciiTheme="minorEastAsia" w:hAnsiTheme="minorEastAsia" w:eastAsiaTheme="minorEastAsia" w:cstheme="minorEastAsia"/>
              <w:bCs/>
              <w:sz w:val="24"/>
            </w:rPr>
            <w:fldChar w:fldCharType="begin"/>
          </w:r>
          <w:r>
            <w:rPr>
              <w:rFonts w:asciiTheme="minorEastAsia" w:hAnsiTheme="minorEastAsia" w:eastAsiaTheme="minorEastAsia" w:cstheme="minorEastAsia"/>
              <w:bCs/>
              <w:sz w:val="24"/>
            </w:rPr>
            <w:instrText xml:space="preserve"> HYPERLINK \l _Toc20292 </w:instrText>
          </w:r>
          <w:r>
            <w:rPr>
              <w:rFonts w:hint="eastAsia" w:asciiTheme="minorEastAsia" w:hAnsiTheme="minorEastAsia" w:eastAsiaTheme="minorEastAsia" w:cstheme="minorEastAsia"/>
              <w:bCs/>
              <w:sz w:val="24"/>
            </w:rPr>
            <w:fldChar w:fldCharType="separate"/>
          </w:r>
          <w:r>
            <w:rPr>
              <w:rFonts w:hint="eastAsia" w:asciiTheme="minorEastAsia" w:hAnsiTheme="minorEastAsia" w:cstheme="minorEastAsia"/>
              <w:bCs/>
              <w:sz w:val="24"/>
            </w:rPr>
            <w:t>一、函证操作流程</w:t>
          </w:r>
          <w:r>
            <w:rPr>
              <w:rFonts w:asciiTheme="minorEastAsia" w:hAnsiTheme="minorEastAsia" w:cstheme="minorEastAsia"/>
              <w:sz w:val="24"/>
            </w:rPr>
            <w:tab/>
          </w:r>
          <w:r>
            <w:rPr>
              <w:rFonts w:asciiTheme="minorEastAsia" w:hAnsiTheme="minorEastAsia" w:cstheme="minorEastAsia"/>
              <w:sz w:val="24"/>
            </w:rPr>
            <w:t>6</w:t>
          </w:r>
          <w:r>
            <w:rPr>
              <w:rFonts w:hint="eastAsia" w:asciiTheme="minorEastAsia" w:hAnsiTheme="minorEastAsia" w:eastAsiaTheme="minorEastAsia" w:cstheme="minorEastAsia"/>
              <w:bCs/>
              <w:sz w:val="24"/>
            </w:rPr>
            <w:fldChar w:fldCharType="end"/>
          </w:r>
        </w:p>
        <w:p w14:paraId="7C6A7AEF">
          <w:pPr>
            <w:pStyle w:val="10"/>
            <w:tabs>
              <w:tab w:val="right" w:leader="dot" w:pos="8504"/>
            </w:tabs>
            <w:spacing w:line="4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fldChar w:fldCharType="begin"/>
          </w:r>
          <w:r>
            <w:rPr>
              <w:rFonts w:asciiTheme="minorEastAsia" w:hAnsiTheme="minorEastAsia" w:eastAsiaTheme="minorEastAsia" w:cstheme="minorEastAsia"/>
              <w:bCs/>
              <w:sz w:val="24"/>
            </w:rPr>
            <w:instrText xml:space="preserve"> HYPERLINK \l _Toc24055 </w:instrText>
          </w:r>
          <w:r>
            <w:rPr>
              <w:rFonts w:hint="eastAsia" w:asciiTheme="minorEastAsia" w:hAnsiTheme="minorEastAsia" w:eastAsiaTheme="minorEastAsia" w:cstheme="minorEastAsia"/>
              <w:bCs/>
              <w:sz w:val="24"/>
            </w:rPr>
            <w:fldChar w:fldCharType="separate"/>
          </w:r>
          <w:r>
            <w:rPr>
              <w:rFonts w:hint="eastAsia" w:asciiTheme="minorEastAsia" w:hAnsiTheme="minorEastAsia" w:cstheme="minorEastAsia"/>
              <w:bCs/>
              <w:sz w:val="24"/>
            </w:rPr>
            <w:t>二、关于集约化函证的提醒</w:t>
          </w:r>
          <w:r>
            <w:rPr>
              <w:rFonts w:asciiTheme="minorEastAsia" w:hAnsiTheme="minorEastAsia" w:cstheme="minorEastAsia"/>
              <w:sz w:val="24"/>
            </w:rPr>
            <w:tab/>
          </w:r>
          <w:r>
            <w:rPr>
              <w:rFonts w:asciiTheme="minorEastAsia" w:hAnsiTheme="minorEastAsia" w:cstheme="minorEastAsia"/>
              <w:sz w:val="24"/>
            </w:rPr>
            <w:t>7</w:t>
          </w:r>
          <w:r>
            <w:rPr>
              <w:rFonts w:hint="eastAsia" w:asciiTheme="minorEastAsia" w:hAnsiTheme="minorEastAsia" w:eastAsiaTheme="minorEastAsia" w:cstheme="minorEastAsia"/>
              <w:bCs/>
              <w:sz w:val="24"/>
            </w:rPr>
            <w:fldChar w:fldCharType="end"/>
          </w:r>
        </w:p>
        <w:p w14:paraId="72A561AD">
          <w:pPr>
            <w:pStyle w:val="8"/>
            <w:tabs>
              <w:tab w:val="right" w:leader="dot" w:pos="8504"/>
            </w:tabs>
            <w:spacing w:line="400" w:lineRule="exact"/>
            <w:rPr>
              <w:rFonts w:asciiTheme="minorEastAsia" w:hAnsiTheme="minorEastAsia" w:cstheme="minorEastAsia"/>
              <w:sz w:val="24"/>
            </w:rPr>
          </w:pPr>
          <w:r>
            <w:rPr>
              <w:rFonts w:hint="eastAsia" w:asciiTheme="minorEastAsia" w:hAnsiTheme="minorEastAsia" w:eastAsiaTheme="minorEastAsia" w:cstheme="minorEastAsia"/>
              <w:b/>
              <w:bCs/>
              <w:sz w:val="24"/>
            </w:rPr>
            <w:fldChar w:fldCharType="begin"/>
          </w:r>
          <w:r>
            <w:rPr>
              <w:rFonts w:asciiTheme="minorEastAsia" w:hAnsiTheme="minorEastAsia" w:eastAsiaTheme="minorEastAsia" w:cstheme="minorEastAsia"/>
              <w:b/>
              <w:bCs/>
              <w:sz w:val="24"/>
            </w:rPr>
            <w:instrText xml:space="preserve"> HYPERLINK \l _Toc5046 </w:instrText>
          </w:r>
          <w:r>
            <w:rPr>
              <w:rFonts w:hint="eastAsia" w:asciiTheme="minorEastAsia" w:hAnsiTheme="minorEastAsia" w:eastAsiaTheme="minorEastAsia" w:cstheme="minorEastAsia"/>
              <w:b/>
              <w:bCs/>
              <w:sz w:val="24"/>
            </w:rPr>
            <w:fldChar w:fldCharType="separate"/>
          </w:r>
          <w:r>
            <w:rPr>
              <w:rFonts w:hint="eastAsia" w:asciiTheme="minorEastAsia" w:hAnsiTheme="minorEastAsia" w:eastAsiaTheme="minorEastAsia" w:cstheme="minorEastAsia"/>
              <w:b/>
              <w:bCs/>
              <w:sz w:val="24"/>
              <w:szCs w:val="24"/>
            </w:rPr>
            <w:t>第四章</w:t>
          </w:r>
          <w:r>
            <w:rPr>
              <w:rFonts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b/>
              <w:bCs/>
              <w:sz w:val="24"/>
              <w:szCs w:val="24"/>
            </w:rPr>
            <w:t>函证操作规范</w:t>
          </w:r>
          <w:r>
            <w:rPr>
              <w:rFonts w:asciiTheme="minorEastAsia" w:hAnsiTheme="minorEastAsia" w:cstheme="minorEastAsia"/>
              <w:b/>
              <w:bCs/>
              <w:sz w:val="24"/>
            </w:rPr>
            <w:tab/>
          </w:r>
          <w:r>
            <w:rPr>
              <w:rFonts w:asciiTheme="minorEastAsia" w:hAnsiTheme="minorEastAsia" w:cstheme="minorEastAsia"/>
              <w:b/>
              <w:bCs/>
              <w:sz w:val="24"/>
            </w:rPr>
            <w:t>8</w:t>
          </w:r>
          <w:r>
            <w:rPr>
              <w:rFonts w:hint="eastAsia" w:asciiTheme="minorEastAsia" w:hAnsiTheme="minorEastAsia" w:eastAsiaTheme="minorEastAsia" w:cstheme="minorEastAsia"/>
              <w:b/>
              <w:bCs/>
              <w:sz w:val="24"/>
            </w:rPr>
            <w:fldChar w:fldCharType="end"/>
          </w:r>
        </w:p>
        <w:p w14:paraId="58317D29">
          <w:pPr>
            <w:pStyle w:val="10"/>
            <w:tabs>
              <w:tab w:val="right" w:leader="dot" w:pos="8504"/>
            </w:tabs>
            <w:spacing w:line="400" w:lineRule="exact"/>
            <w:rPr>
              <w:rFonts w:asciiTheme="minorEastAsia" w:hAnsiTheme="minorEastAsia" w:cstheme="minorEastAsia"/>
              <w:sz w:val="24"/>
            </w:rPr>
          </w:pPr>
          <w:r>
            <w:rPr>
              <w:rFonts w:hint="eastAsia" w:asciiTheme="minorEastAsia" w:hAnsiTheme="minorEastAsia" w:eastAsiaTheme="minorEastAsia" w:cstheme="minorEastAsia"/>
              <w:bCs/>
              <w:sz w:val="24"/>
            </w:rPr>
            <w:fldChar w:fldCharType="begin"/>
          </w:r>
          <w:r>
            <w:rPr>
              <w:rFonts w:asciiTheme="minorEastAsia" w:hAnsiTheme="minorEastAsia" w:eastAsiaTheme="minorEastAsia" w:cstheme="minorEastAsia"/>
              <w:bCs/>
              <w:sz w:val="24"/>
            </w:rPr>
            <w:instrText xml:space="preserve"> HYPERLINK \l _Toc26682 </w:instrText>
          </w:r>
          <w:r>
            <w:rPr>
              <w:rFonts w:hint="eastAsia" w:asciiTheme="minorEastAsia" w:hAnsiTheme="minorEastAsia" w:eastAsiaTheme="minorEastAsia" w:cstheme="minorEastAsia"/>
              <w:bCs/>
              <w:sz w:val="24"/>
            </w:rPr>
            <w:fldChar w:fldCharType="separate"/>
          </w:r>
          <w:r>
            <w:rPr>
              <w:rFonts w:hint="eastAsia" w:asciiTheme="minorEastAsia" w:hAnsiTheme="minorEastAsia" w:cstheme="minorEastAsia"/>
              <w:bCs/>
              <w:sz w:val="24"/>
            </w:rPr>
            <w:t>第一节</w:t>
          </w:r>
          <w:r>
            <w:rPr>
              <w:rFonts w:asciiTheme="minorEastAsia" w:hAnsiTheme="minorEastAsia" w:cstheme="minorEastAsia"/>
              <w:bCs/>
              <w:sz w:val="24"/>
            </w:rPr>
            <w:t xml:space="preserve">  </w:t>
          </w:r>
          <w:r>
            <w:rPr>
              <w:rFonts w:hint="eastAsia" w:asciiTheme="minorEastAsia" w:hAnsiTheme="minorEastAsia" w:cstheme="minorEastAsia"/>
              <w:bCs/>
              <w:sz w:val="24"/>
            </w:rPr>
            <w:t>制定函证计划</w:t>
          </w:r>
          <w:r>
            <w:rPr>
              <w:rFonts w:asciiTheme="minorEastAsia" w:hAnsiTheme="minorEastAsia" w:cstheme="minorEastAsia"/>
              <w:sz w:val="24"/>
            </w:rPr>
            <w:tab/>
          </w:r>
          <w:r>
            <w:rPr>
              <w:rFonts w:asciiTheme="minorEastAsia" w:hAnsiTheme="minorEastAsia" w:cstheme="minorEastAsia"/>
              <w:sz w:val="24"/>
            </w:rPr>
            <w:t>8</w:t>
          </w:r>
          <w:r>
            <w:rPr>
              <w:rFonts w:hint="eastAsia" w:asciiTheme="minorEastAsia" w:hAnsiTheme="minorEastAsia" w:eastAsiaTheme="minorEastAsia" w:cstheme="minorEastAsia"/>
              <w:bCs/>
              <w:sz w:val="24"/>
            </w:rPr>
            <w:fldChar w:fldCharType="end"/>
          </w:r>
        </w:p>
        <w:p w14:paraId="779D28E7">
          <w:pPr>
            <w:pStyle w:val="10"/>
            <w:tabs>
              <w:tab w:val="right" w:leader="dot" w:pos="8504"/>
            </w:tabs>
            <w:spacing w:line="400" w:lineRule="exact"/>
            <w:rPr>
              <w:rFonts w:asciiTheme="minorEastAsia" w:hAnsiTheme="minorEastAsia" w:cstheme="minorEastAsia"/>
              <w:sz w:val="24"/>
            </w:rPr>
          </w:pPr>
          <w:r>
            <w:rPr>
              <w:rFonts w:hint="eastAsia" w:asciiTheme="minorEastAsia" w:hAnsiTheme="minorEastAsia" w:eastAsiaTheme="minorEastAsia" w:cstheme="minorEastAsia"/>
              <w:bCs/>
              <w:sz w:val="24"/>
            </w:rPr>
            <w:fldChar w:fldCharType="begin"/>
          </w:r>
          <w:r>
            <w:rPr>
              <w:rFonts w:asciiTheme="minorEastAsia" w:hAnsiTheme="minorEastAsia" w:eastAsiaTheme="minorEastAsia" w:cstheme="minorEastAsia"/>
              <w:bCs/>
              <w:sz w:val="24"/>
            </w:rPr>
            <w:instrText xml:space="preserve"> HYPERLINK \l _Toc30476 </w:instrText>
          </w:r>
          <w:r>
            <w:rPr>
              <w:rFonts w:hint="eastAsia" w:asciiTheme="minorEastAsia" w:hAnsiTheme="minorEastAsia" w:eastAsiaTheme="minorEastAsia" w:cstheme="minorEastAsia"/>
              <w:bCs/>
              <w:sz w:val="24"/>
            </w:rPr>
            <w:fldChar w:fldCharType="separate"/>
          </w:r>
          <w:r>
            <w:rPr>
              <w:rFonts w:hint="eastAsia" w:asciiTheme="minorEastAsia" w:hAnsiTheme="minorEastAsia" w:cstheme="minorEastAsia"/>
              <w:bCs/>
              <w:sz w:val="24"/>
            </w:rPr>
            <w:t>第二节</w:t>
          </w:r>
          <w:r>
            <w:rPr>
              <w:rFonts w:asciiTheme="minorEastAsia" w:hAnsiTheme="minorEastAsia" w:cstheme="minorEastAsia"/>
              <w:bCs/>
              <w:sz w:val="24"/>
            </w:rPr>
            <w:t xml:space="preserve">  </w:t>
          </w:r>
          <w:r>
            <w:rPr>
              <w:rFonts w:hint="eastAsia" w:asciiTheme="minorEastAsia" w:hAnsiTheme="minorEastAsia" w:cstheme="minorEastAsia"/>
              <w:bCs/>
              <w:sz w:val="24"/>
            </w:rPr>
            <w:t>确定函证事项</w:t>
          </w:r>
          <w:r>
            <w:rPr>
              <w:rFonts w:asciiTheme="minorEastAsia" w:hAnsiTheme="minorEastAsia" w:cstheme="minorEastAsia"/>
              <w:sz w:val="24"/>
            </w:rPr>
            <w:tab/>
          </w:r>
          <w:r>
            <w:rPr>
              <w:rFonts w:asciiTheme="minorEastAsia" w:hAnsiTheme="minorEastAsia" w:cstheme="minorEastAsia"/>
              <w:sz w:val="24"/>
            </w:rPr>
            <w:t>9</w:t>
          </w:r>
          <w:r>
            <w:rPr>
              <w:rFonts w:hint="eastAsia" w:asciiTheme="minorEastAsia" w:hAnsiTheme="minorEastAsia" w:eastAsiaTheme="minorEastAsia" w:cstheme="minorEastAsia"/>
              <w:bCs/>
              <w:sz w:val="24"/>
            </w:rPr>
            <w:fldChar w:fldCharType="end"/>
          </w:r>
        </w:p>
        <w:p w14:paraId="6D50D7CE">
          <w:pPr>
            <w:pStyle w:val="10"/>
            <w:tabs>
              <w:tab w:val="right" w:leader="dot" w:pos="8504"/>
            </w:tabs>
            <w:spacing w:line="4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fldChar w:fldCharType="begin"/>
          </w:r>
          <w:r>
            <w:rPr>
              <w:rFonts w:asciiTheme="minorEastAsia" w:hAnsiTheme="minorEastAsia" w:eastAsiaTheme="minorEastAsia" w:cstheme="minorEastAsia"/>
              <w:bCs/>
              <w:sz w:val="24"/>
            </w:rPr>
            <w:instrText xml:space="preserve"> HYPERLINK \l _Toc4021 </w:instrText>
          </w:r>
          <w:r>
            <w:rPr>
              <w:rFonts w:hint="eastAsia" w:asciiTheme="minorEastAsia" w:hAnsiTheme="minorEastAsia" w:eastAsiaTheme="minorEastAsia" w:cstheme="minorEastAsia"/>
              <w:bCs/>
              <w:sz w:val="24"/>
            </w:rPr>
            <w:fldChar w:fldCharType="separate"/>
          </w:r>
          <w:r>
            <w:rPr>
              <w:rFonts w:hint="eastAsia" w:asciiTheme="minorEastAsia" w:hAnsiTheme="minorEastAsia" w:cstheme="minorEastAsia"/>
              <w:bCs/>
              <w:sz w:val="24"/>
            </w:rPr>
            <w:t>第三节</w:t>
          </w:r>
          <w:r>
            <w:rPr>
              <w:rFonts w:asciiTheme="minorEastAsia" w:hAnsiTheme="minorEastAsia" w:cstheme="minorEastAsia"/>
              <w:bCs/>
              <w:sz w:val="24"/>
            </w:rPr>
            <w:t xml:space="preserve">  </w:t>
          </w:r>
          <w:r>
            <w:rPr>
              <w:rFonts w:hint="eastAsia" w:asciiTheme="minorEastAsia" w:hAnsiTheme="minorEastAsia" w:cstheme="minorEastAsia"/>
              <w:bCs/>
              <w:sz w:val="24"/>
            </w:rPr>
            <w:t>确定函证项目（样本选择）</w:t>
          </w:r>
          <w:r>
            <w:rPr>
              <w:rFonts w:asciiTheme="minorEastAsia" w:hAnsiTheme="minorEastAsia" w:cstheme="minorEastAsia"/>
              <w:sz w:val="24"/>
            </w:rPr>
            <w:tab/>
          </w:r>
          <w:r>
            <w:rPr>
              <w:rFonts w:asciiTheme="minorEastAsia" w:hAnsiTheme="minorEastAsia" w:cstheme="minorEastAsia"/>
              <w:sz w:val="24"/>
            </w:rPr>
            <w:t>1</w:t>
          </w:r>
          <w:r>
            <w:rPr>
              <w:rFonts w:hint="eastAsia" w:asciiTheme="minorEastAsia" w:hAnsiTheme="minorEastAsia" w:eastAsiaTheme="minorEastAsia" w:cstheme="minorEastAsia"/>
              <w:bCs/>
              <w:sz w:val="24"/>
            </w:rPr>
            <w:fldChar w:fldCharType="end"/>
          </w:r>
          <w:r>
            <w:rPr>
              <w:rFonts w:asciiTheme="minorEastAsia" w:hAnsiTheme="minorEastAsia" w:eastAsiaTheme="minorEastAsia" w:cstheme="minorEastAsia"/>
              <w:bCs/>
              <w:sz w:val="24"/>
            </w:rPr>
            <w:t>3</w:t>
          </w:r>
        </w:p>
        <w:p w14:paraId="60C8AD5B">
          <w:pPr>
            <w:pStyle w:val="10"/>
            <w:tabs>
              <w:tab w:val="right" w:leader="dot" w:pos="8504"/>
            </w:tabs>
            <w:spacing w:line="4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fldChar w:fldCharType="begin"/>
          </w:r>
          <w:r>
            <w:rPr>
              <w:rFonts w:asciiTheme="minorEastAsia" w:hAnsiTheme="minorEastAsia" w:eastAsiaTheme="minorEastAsia" w:cstheme="minorEastAsia"/>
              <w:bCs/>
              <w:sz w:val="24"/>
            </w:rPr>
            <w:instrText xml:space="preserve"> HYPERLINK \l _Toc19595 </w:instrText>
          </w:r>
          <w:r>
            <w:rPr>
              <w:rFonts w:hint="eastAsia" w:asciiTheme="minorEastAsia" w:hAnsiTheme="minorEastAsia" w:eastAsiaTheme="minorEastAsia" w:cstheme="minorEastAsia"/>
              <w:bCs/>
              <w:sz w:val="24"/>
            </w:rPr>
            <w:fldChar w:fldCharType="separate"/>
          </w:r>
          <w:r>
            <w:rPr>
              <w:rFonts w:hint="eastAsia" w:asciiTheme="minorEastAsia" w:hAnsiTheme="minorEastAsia" w:cstheme="minorEastAsia"/>
              <w:bCs/>
              <w:sz w:val="24"/>
            </w:rPr>
            <w:t>第四节</w:t>
          </w:r>
          <w:r>
            <w:rPr>
              <w:rFonts w:asciiTheme="minorEastAsia" w:hAnsiTheme="minorEastAsia" w:cstheme="minorEastAsia"/>
              <w:bCs/>
              <w:sz w:val="24"/>
            </w:rPr>
            <w:t xml:space="preserve">  </w:t>
          </w:r>
          <w:r>
            <w:rPr>
              <w:rFonts w:hint="eastAsia" w:asciiTheme="minorEastAsia" w:hAnsiTheme="minorEastAsia" w:cstheme="minorEastAsia"/>
              <w:bCs/>
              <w:sz w:val="24"/>
            </w:rPr>
            <w:t>核对被函证单位信息</w:t>
          </w:r>
          <w:r>
            <w:rPr>
              <w:rFonts w:asciiTheme="minorEastAsia" w:hAnsiTheme="minorEastAsia" w:cstheme="minorEastAsia"/>
              <w:sz w:val="24"/>
            </w:rPr>
            <w:tab/>
          </w:r>
          <w:r>
            <w:rPr>
              <w:rFonts w:asciiTheme="minorEastAsia" w:hAnsiTheme="minorEastAsia" w:cstheme="minorEastAsia"/>
              <w:sz w:val="24"/>
            </w:rPr>
            <w:t>2</w:t>
          </w:r>
          <w:r>
            <w:rPr>
              <w:rFonts w:hint="eastAsia" w:asciiTheme="minorEastAsia" w:hAnsiTheme="minorEastAsia" w:eastAsiaTheme="minorEastAsia" w:cstheme="minorEastAsia"/>
              <w:bCs/>
              <w:sz w:val="24"/>
            </w:rPr>
            <w:fldChar w:fldCharType="end"/>
          </w:r>
          <w:r>
            <w:rPr>
              <w:rFonts w:asciiTheme="minorEastAsia" w:hAnsiTheme="minorEastAsia" w:eastAsiaTheme="minorEastAsia" w:cstheme="minorEastAsia"/>
              <w:bCs/>
              <w:sz w:val="24"/>
            </w:rPr>
            <w:t>0</w:t>
          </w:r>
        </w:p>
        <w:p w14:paraId="0E00EFC0">
          <w:pPr>
            <w:pStyle w:val="10"/>
            <w:tabs>
              <w:tab w:val="right" w:leader="dot" w:pos="8504"/>
            </w:tabs>
            <w:spacing w:line="4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fldChar w:fldCharType="begin"/>
          </w:r>
          <w:r>
            <w:rPr>
              <w:rFonts w:asciiTheme="minorEastAsia" w:hAnsiTheme="minorEastAsia" w:eastAsiaTheme="minorEastAsia" w:cstheme="minorEastAsia"/>
              <w:bCs/>
              <w:sz w:val="24"/>
            </w:rPr>
            <w:instrText xml:space="preserve"> HYPERLINK \l _Toc16135 </w:instrText>
          </w:r>
          <w:r>
            <w:rPr>
              <w:rFonts w:hint="eastAsia" w:asciiTheme="minorEastAsia" w:hAnsiTheme="minorEastAsia" w:eastAsiaTheme="minorEastAsia" w:cstheme="minorEastAsia"/>
              <w:bCs/>
              <w:sz w:val="24"/>
            </w:rPr>
            <w:fldChar w:fldCharType="separate"/>
          </w:r>
          <w:r>
            <w:rPr>
              <w:rFonts w:hint="eastAsia" w:asciiTheme="minorEastAsia" w:hAnsiTheme="minorEastAsia" w:cstheme="minorEastAsia"/>
              <w:bCs/>
              <w:sz w:val="24"/>
            </w:rPr>
            <w:t>第五节</w:t>
          </w:r>
          <w:r>
            <w:rPr>
              <w:rFonts w:asciiTheme="minorEastAsia" w:hAnsiTheme="minorEastAsia" w:cstheme="minorEastAsia"/>
              <w:bCs/>
              <w:sz w:val="24"/>
            </w:rPr>
            <w:t xml:space="preserve">  </w:t>
          </w:r>
          <w:r>
            <w:rPr>
              <w:rFonts w:hint="eastAsia" w:asciiTheme="minorEastAsia" w:hAnsiTheme="minorEastAsia" w:cstheme="minorEastAsia"/>
              <w:bCs/>
              <w:sz w:val="24"/>
            </w:rPr>
            <w:t>编制询证函</w:t>
          </w:r>
          <w:r>
            <w:rPr>
              <w:rFonts w:asciiTheme="minorEastAsia" w:hAnsiTheme="minorEastAsia" w:cstheme="minorEastAsia"/>
              <w:sz w:val="24"/>
            </w:rPr>
            <w:tab/>
          </w:r>
          <w:r>
            <w:rPr>
              <w:rFonts w:asciiTheme="minorEastAsia" w:hAnsiTheme="minorEastAsia" w:cstheme="minorEastAsia"/>
              <w:sz w:val="24"/>
            </w:rPr>
            <w:t>2</w:t>
          </w:r>
          <w:r>
            <w:rPr>
              <w:rFonts w:hint="eastAsia" w:asciiTheme="minorEastAsia" w:hAnsiTheme="minorEastAsia" w:eastAsiaTheme="minorEastAsia" w:cstheme="minorEastAsia"/>
              <w:bCs/>
              <w:sz w:val="24"/>
            </w:rPr>
            <w:fldChar w:fldCharType="end"/>
          </w:r>
          <w:r>
            <w:rPr>
              <w:rFonts w:asciiTheme="minorEastAsia" w:hAnsiTheme="minorEastAsia" w:eastAsiaTheme="minorEastAsia" w:cstheme="minorEastAsia"/>
              <w:bCs/>
              <w:sz w:val="24"/>
            </w:rPr>
            <w:t>1</w:t>
          </w:r>
        </w:p>
        <w:p w14:paraId="1FC88DDA">
          <w:pPr>
            <w:pStyle w:val="10"/>
            <w:tabs>
              <w:tab w:val="right" w:leader="dot" w:pos="8504"/>
            </w:tabs>
            <w:spacing w:line="400" w:lineRule="exact"/>
            <w:rPr>
              <w:rFonts w:asciiTheme="minorEastAsia" w:hAnsiTheme="minorEastAsia" w:cstheme="minorEastAsia"/>
              <w:sz w:val="24"/>
            </w:rPr>
          </w:pPr>
          <w:r>
            <w:rPr>
              <w:rFonts w:hint="eastAsia" w:asciiTheme="minorEastAsia" w:hAnsiTheme="minorEastAsia" w:eastAsiaTheme="minorEastAsia" w:cstheme="minorEastAsia"/>
              <w:bCs/>
              <w:sz w:val="24"/>
            </w:rPr>
            <w:fldChar w:fldCharType="begin"/>
          </w:r>
          <w:r>
            <w:rPr>
              <w:rFonts w:asciiTheme="minorEastAsia" w:hAnsiTheme="minorEastAsia" w:eastAsiaTheme="minorEastAsia" w:cstheme="minorEastAsia"/>
              <w:bCs/>
              <w:sz w:val="24"/>
            </w:rPr>
            <w:instrText xml:space="preserve"> HYPERLINK \l _Toc29768 </w:instrText>
          </w:r>
          <w:r>
            <w:rPr>
              <w:rFonts w:hint="eastAsia" w:asciiTheme="minorEastAsia" w:hAnsiTheme="minorEastAsia" w:eastAsiaTheme="minorEastAsia" w:cstheme="minorEastAsia"/>
              <w:bCs/>
              <w:sz w:val="24"/>
            </w:rPr>
            <w:fldChar w:fldCharType="separate"/>
          </w:r>
          <w:r>
            <w:rPr>
              <w:rFonts w:hint="eastAsia" w:asciiTheme="minorEastAsia" w:hAnsiTheme="minorEastAsia" w:cstheme="minorEastAsia"/>
              <w:bCs/>
              <w:sz w:val="24"/>
            </w:rPr>
            <w:t>第六节</w:t>
          </w:r>
          <w:r>
            <w:rPr>
              <w:rFonts w:asciiTheme="minorEastAsia" w:hAnsiTheme="minorEastAsia" w:cstheme="minorEastAsia"/>
              <w:bCs/>
              <w:sz w:val="24"/>
            </w:rPr>
            <w:t xml:space="preserve">  </w:t>
          </w:r>
          <w:r>
            <w:rPr>
              <w:rFonts w:hint="eastAsia" w:asciiTheme="minorEastAsia" w:hAnsiTheme="minorEastAsia" w:cstheme="minorEastAsia"/>
              <w:bCs/>
              <w:sz w:val="24"/>
            </w:rPr>
            <w:t>打印询证函并盖章</w:t>
          </w:r>
          <w:r>
            <w:rPr>
              <w:rFonts w:asciiTheme="minorEastAsia" w:hAnsiTheme="minorEastAsia" w:cstheme="minorEastAsia"/>
              <w:sz w:val="24"/>
            </w:rPr>
            <w:tab/>
          </w:r>
          <w:r>
            <w:rPr>
              <w:rFonts w:hint="eastAsia" w:asciiTheme="minorEastAsia" w:hAnsiTheme="minorEastAsia" w:cstheme="minorEastAsia"/>
              <w:sz w:val="24"/>
            </w:rPr>
            <w:t>2</w:t>
          </w:r>
          <w:r>
            <w:rPr>
              <w:rFonts w:hint="eastAsia" w:asciiTheme="minorEastAsia" w:hAnsiTheme="minorEastAsia" w:eastAsiaTheme="minorEastAsia" w:cstheme="minorEastAsia"/>
              <w:bCs/>
              <w:sz w:val="24"/>
            </w:rPr>
            <w:fldChar w:fldCharType="end"/>
          </w:r>
          <w:r>
            <w:rPr>
              <w:rFonts w:hint="eastAsia" w:asciiTheme="minorEastAsia" w:hAnsiTheme="minorEastAsia" w:cstheme="minorEastAsia"/>
              <w:bCs/>
              <w:sz w:val="24"/>
            </w:rPr>
            <w:t>5</w:t>
          </w:r>
        </w:p>
        <w:p w14:paraId="5408C385">
          <w:pPr>
            <w:pStyle w:val="10"/>
            <w:tabs>
              <w:tab w:val="right" w:leader="dot" w:pos="8504"/>
            </w:tabs>
            <w:spacing w:line="400" w:lineRule="exact"/>
            <w:rPr>
              <w:rFonts w:asciiTheme="minorEastAsia" w:hAnsiTheme="minorEastAsia" w:cstheme="minorEastAsia"/>
              <w:sz w:val="24"/>
            </w:rPr>
          </w:pPr>
          <w:r>
            <w:rPr>
              <w:rFonts w:hint="eastAsia" w:asciiTheme="minorEastAsia" w:hAnsiTheme="minorEastAsia" w:eastAsiaTheme="minorEastAsia" w:cstheme="minorEastAsia"/>
              <w:bCs/>
              <w:sz w:val="24"/>
            </w:rPr>
            <w:fldChar w:fldCharType="begin"/>
          </w:r>
          <w:r>
            <w:rPr>
              <w:rFonts w:asciiTheme="minorEastAsia" w:hAnsiTheme="minorEastAsia" w:eastAsiaTheme="minorEastAsia" w:cstheme="minorEastAsia"/>
              <w:bCs/>
              <w:sz w:val="24"/>
            </w:rPr>
            <w:instrText xml:space="preserve"> HYPERLINK \l _Toc22358 </w:instrText>
          </w:r>
          <w:r>
            <w:rPr>
              <w:rFonts w:hint="eastAsia" w:asciiTheme="minorEastAsia" w:hAnsiTheme="minorEastAsia" w:eastAsiaTheme="minorEastAsia" w:cstheme="minorEastAsia"/>
              <w:bCs/>
              <w:sz w:val="24"/>
            </w:rPr>
            <w:fldChar w:fldCharType="separate"/>
          </w:r>
          <w:r>
            <w:rPr>
              <w:rFonts w:hint="eastAsia" w:asciiTheme="minorEastAsia" w:hAnsiTheme="minorEastAsia" w:cstheme="minorEastAsia"/>
              <w:bCs/>
              <w:sz w:val="24"/>
            </w:rPr>
            <w:t>第七节</w:t>
          </w:r>
          <w:r>
            <w:rPr>
              <w:rFonts w:asciiTheme="minorEastAsia" w:hAnsiTheme="minorEastAsia" w:cstheme="minorEastAsia"/>
              <w:bCs/>
              <w:sz w:val="24"/>
            </w:rPr>
            <w:t xml:space="preserve">  </w:t>
          </w:r>
          <w:r>
            <w:rPr>
              <w:rFonts w:hint="eastAsia" w:asciiTheme="minorEastAsia" w:hAnsiTheme="minorEastAsia" w:cstheme="minorEastAsia"/>
              <w:bCs/>
              <w:sz w:val="24"/>
            </w:rPr>
            <w:t>发出询证函</w:t>
          </w:r>
          <w:r>
            <w:rPr>
              <w:rFonts w:asciiTheme="minorEastAsia" w:hAnsiTheme="minorEastAsia" w:cstheme="minorEastAsia"/>
              <w:sz w:val="24"/>
            </w:rPr>
            <w:tab/>
          </w:r>
          <w:r>
            <w:rPr>
              <w:rFonts w:hint="eastAsia" w:asciiTheme="minorEastAsia" w:hAnsiTheme="minorEastAsia" w:cstheme="minorEastAsia"/>
              <w:sz w:val="24"/>
            </w:rPr>
            <w:t>2</w:t>
          </w:r>
          <w:r>
            <w:rPr>
              <w:rFonts w:hint="eastAsia" w:asciiTheme="minorEastAsia" w:hAnsiTheme="minorEastAsia" w:eastAsiaTheme="minorEastAsia" w:cstheme="minorEastAsia"/>
              <w:bCs/>
              <w:sz w:val="24"/>
            </w:rPr>
            <w:fldChar w:fldCharType="end"/>
          </w:r>
          <w:r>
            <w:rPr>
              <w:rFonts w:hint="eastAsia" w:asciiTheme="minorEastAsia" w:hAnsiTheme="minorEastAsia" w:cstheme="minorEastAsia"/>
              <w:bCs/>
              <w:sz w:val="24"/>
            </w:rPr>
            <w:t>6</w:t>
          </w:r>
        </w:p>
        <w:p w14:paraId="44B8EFC0">
          <w:pPr>
            <w:pStyle w:val="10"/>
            <w:tabs>
              <w:tab w:val="right" w:leader="dot" w:pos="8504"/>
            </w:tabs>
            <w:spacing w:line="400" w:lineRule="exact"/>
            <w:rPr>
              <w:rFonts w:asciiTheme="minorEastAsia" w:hAnsiTheme="minorEastAsia" w:cstheme="minorEastAsia"/>
              <w:sz w:val="24"/>
            </w:rPr>
          </w:pPr>
          <w:r>
            <w:rPr>
              <w:rFonts w:hint="eastAsia" w:asciiTheme="minorEastAsia" w:hAnsiTheme="minorEastAsia" w:eastAsiaTheme="minorEastAsia" w:cstheme="minorEastAsia"/>
              <w:bCs/>
              <w:sz w:val="24"/>
            </w:rPr>
            <w:fldChar w:fldCharType="begin"/>
          </w:r>
          <w:r>
            <w:rPr>
              <w:rFonts w:asciiTheme="minorEastAsia" w:hAnsiTheme="minorEastAsia" w:eastAsiaTheme="minorEastAsia" w:cstheme="minorEastAsia"/>
              <w:bCs/>
              <w:sz w:val="24"/>
            </w:rPr>
            <w:instrText xml:space="preserve"> HYPERLINK \l _Toc27373 </w:instrText>
          </w:r>
          <w:r>
            <w:rPr>
              <w:rFonts w:hint="eastAsia" w:asciiTheme="minorEastAsia" w:hAnsiTheme="minorEastAsia" w:eastAsiaTheme="minorEastAsia" w:cstheme="minorEastAsia"/>
              <w:bCs/>
              <w:sz w:val="24"/>
            </w:rPr>
            <w:fldChar w:fldCharType="separate"/>
          </w:r>
          <w:r>
            <w:rPr>
              <w:rFonts w:hint="eastAsia" w:asciiTheme="minorEastAsia" w:hAnsiTheme="minorEastAsia" w:cstheme="minorEastAsia"/>
              <w:bCs/>
              <w:sz w:val="24"/>
            </w:rPr>
            <w:t>第八节</w:t>
          </w:r>
          <w:r>
            <w:rPr>
              <w:rFonts w:asciiTheme="minorEastAsia" w:hAnsiTheme="minorEastAsia" w:cstheme="minorEastAsia"/>
              <w:bCs/>
              <w:sz w:val="24"/>
            </w:rPr>
            <w:t xml:space="preserve">  </w:t>
          </w:r>
          <w:r>
            <w:rPr>
              <w:rFonts w:hint="eastAsia" w:asciiTheme="minorEastAsia" w:hAnsiTheme="minorEastAsia" w:cstheme="minorEastAsia"/>
              <w:bCs/>
              <w:sz w:val="24"/>
            </w:rPr>
            <w:t>收回询证函</w:t>
          </w:r>
          <w:r>
            <w:rPr>
              <w:rFonts w:asciiTheme="minorEastAsia" w:hAnsiTheme="minorEastAsia" w:cstheme="minorEastAsia"/>
              <w:sz w:val="24"/>
            </w:rPr>
            <w:tab/>
          </w:r>
          <w:r>
            <w:rPr>
              <w:rFonts w:hint="eastAsia" w:asciiTheme="minorEastAsia" w:hAnsiTheme="minorEastAsia" w:cstheme="minorEastAsia"/>
              <w:sz w:val="24"/>
            </w:rPr>
            <w:t>3</w:t>
          </w:r>
          <w:r>
            <w:rPr>
              <w:rFonts w:hint="eastAsia" w:asciiTheme="minorEastAsia" w:hAnsiTheme="minorEastAsia" w:eastAsiaTheme="minorEastAsia" w:cstheme="minorEastAsia"/>
              <w:bCs/>
              <w:sz w:val="24"/>
            </w:rPr>
            <w:fldChar w:fldCharType="end"/>
          </w:r>
          <w:r>
            <w:rPr>
              <w:rFonts w:hint="eastAsia" w:asciiTheme="minorEastAsia" w:hAnsiTheme="minorEastAsia" w:cstheme="minorEastAsia"/>
              <w:bCs/>
              <w:sz w:val="24"/>
            </w:rPr>
            <w:t>6</w:t>
          </w:r>
        </w:p>
        <w:p w14:paraId="4851C931">
          <w:pPr>
            <w:pStyle w:val="10"/>
            <w:tabs>
              <w:tab w:val="right" w:leader="dot" w:pos="8504"/>
            </w:tabs>
            <w:spacing w:line="400" w:lineRule="exact"/>
            <w:rPr>
              <w:rFonts w:asciiTheme="minorEastAsia" w:hAnsiTheme="minorEastAsia" w:cstheme="minorEastAsia"/>
              <w:sz w:val="24"/>
            </w:rPr>
          </w:pPr>
          <w:r>
            <w:rPr>
              <w:rFonts w:hint="eastAsia" w:asciiTheme="minorEastAsia" w:hAnsiTheme="minorEastAsia" w:eastAsiaTheme="minorEastAsia" w:cstheme="minorEastAsia"/>
              <w:bCs/>
              <w:sz w:val="24"/>
            </w:rPr>
            <w:fldChar w:fldCharType="begin"/>
          </w:r>
          <w:r>
            <w:rPr>
              <w:rFonts w:asciiTheme="minorEastAsia" w:hAnsiTheme="minorEastAsia" w:eastAsiaTheme="minorEastAsia" w:cstheme="minorEastAsia"/>
              <w:bCs/>
              <w:sz w:val="24"/>
            </w:rPr>
            <w:instrText xml:space="preserve"> HYPERLINK \l _Toc27220 </w:instrText>
          </w:r>
          <w:r>
            <w:rPr>
              <w:rFonts w:hint="eastAsia" w:asciiTheme="minorEastAsia" w:hAnsiTheme="minorEastAsia" w:eastAsiaTheme="minorEastAsia" w:cstheme="minorEastAsia"/>
              <w:bCs/>
              <w:sz w:val="24"/>
            </w:rPr>
            <w:fldChar w:fldCharType="separate"/>
          </w:r>
          <w:r>
            <w:rPr>
              <w:rFonts w:hint="eastAsia" w:asciiTheme="minorEastAsia" w:hAnsiTheme="minorEastAsia" w:cstheme="minorEastAsia"/>
              <w:bCs/>
              <w:sz w:val="24"/>
            </w:rPr>
            <w:t>第九节</w:t>
          </w:r>
          <w:r>
            <w:rPr>
              <w:rFonts w:asciiTheme="minorEastAsia" w:hAnsiTheme="minorEastAsia" w:cstheme="minorEastAsia"/>
              <w:bCs/>
              <w:sz w:val="24"/>
            </w:rPr>
            <w:t xml:space="preserve">  </w:t>
          </w:r>
          <w:r>
            <w:rPr>
              <w:rFonts w:hint="eastAsia" w:asciiTheme="minorEastAsia" w:hAnsiTheme="minorEastAsia" w:cstheme="minorEastAsia"/>
              <w:bCs/>
              <w:sz w:val="24"/>
            </w:rPr>
            <w:t>函证结果评价</w:t>
          </w:r>
          <w:r>
            <w:rPr>
              <w:rFonts w:asciiTheme="minorEastAsia" w:hAnsiTheme="minorEastAsia" w:cstheme="minorEastAsia"/>
              <w:sz w:val="24"/>
            </w:rPr>
            <w:tab/>
          </w:r>
          <w:r>
            <w:rPr>
              <w:rFonts w:hint="eastAsia" w:asciiTheme="minorEastAsia" w:hAnsiTheme="minorEastAsia" w:cstheme="minorEastAsia"/>
              <w:sz w:val="24"/>
            </w:rPr>
            <w:t>4</w:t>
          </w:r>
          <w:r>
            <w:rPr>
              <w:rFonts w:hint="eastAsia" w:asciiTheme="minorEastAsia" w:hAnsiTheme="minorEastAsia" w:eastAsiaTheme="minorEastAsia" w:cstheme="minorEastAsia"/>
              <w:bCs/>
              <w:sz w:val="24"/>
            </w:rPr>
            <w:fldChar w:fldCharType="end"/>
          </w:r>
          <w:r>
            <w:rPr>
              <w:rFonts w:hint="eastAsia" w:asciiTheme="minorEastAsia" w:hAnsiTheme="minorEastAsia" w:cstheme="minorEastAsia"/>
              <w:bCs/>
              <w:sz w:val="24"/>
            </w:rPr>
            <w:t>4</w:t>
          </w:r>
        </w:p>
        <w:p w14:paraId="5FE27004">
          <w:pPr>
            <w:pStyle w:val="8"/>
            <w:tabs>
              <w:tab w:val="right" w:leader="dot" w:pos="8504"/>
            </w:tabs>
            <w:spacing w:line="400" w:lineRule="exact"/>
            <w:rPr>
              <w:rFonts w:asciiTheme="minorEastAsia" w:hAnsiTheme="minorEastAsia" w:cstheme="minorEastAsia"/>
              <w:b/>
              <w:bCs/>
              <w:sz w:val="24"/>
            </w:rPr>
          </w:pPr>
          <w:r>
            <w:rPr>
              <w:rFonts w:hint="eastAsia" w:asciiTheme="minorEastAsia" w:hAnsiTheme="minorEastAsia" w:eastAsiaTheme="minorEastAsia" w:cstheme="minorEastAsia"/>
              <w:b/>
              <w:bCs/>
              <w:sz w:val="24"/>
            </w:rPr>
            <w:fldChar w:fldCharType="begin"/>
          </w:r>
          <w:r>
            <w:rPr>
              <w:rFonts w:asciiTheme="minorEastAsia" w:hAnsiTheme="minorEastAsia" w:eastAsiaTheme="minorEastAsia" w:cstheme="minorEastAsia"/>
              <w:b/>
              <w:bCs/>
              <w:sz w:val="24"/>
            </w:rPr>
            <w:instrText xml:space="preserve"> HYPERLINK \l _Toc11339 </w:instrText>
          </w:r>
          <w:r>
            <w:rPr>
              <w:rFonts w:hint="eastAsia" w:asciiTheme="minorEastAsia" w:hAnsiTheme="minorEastAsia" w:eastAsiaTheme="minorEastAsia" w:cstheme="minorEastAsia"/>
              <w:b/>
              <w:bCs/>
              <w:sz w:val="24"/>
            </w:rPr>
            <w:fldChar w:fldCharType="separate"/>
          </w:r>
          <w:r>
            <w:rPr>
              <w:rFonts w:hint="eastAsia" w:asciiTheme="minorEastAsia" w:hAnsiTheme="minorEastAsia" w:eastAsiaTheme="minorEastAsia" w:cstheme="minorEastAsia"/>
              <w:b/>
              <w:bCs/>
              <w:sz w:val="24"/>
              <w:szCs w:val="24"/>
            </w:rPr>
            <w:t>第五章</w:t>
          </w:r>
          <w:r>
            <w:rPr>
              <w:rFonts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b/>
              <w:bCs/>
              <w:sz w:val="24"/>
              <w:szCs w:val="24"/>
            </w:rPr>
            <w:t>记录和报告</w:t>
          </w:r>
          <w:r>
            <w:rPr>
              <w:rFonts w:asciiTheme="minorEastAsia" w:hAnsiTheme="minorEastAsia" w:cstheme="minorEastAsia"/>
              <w:b/>
              <w:bCs/>
              <w:sz w:val="24"/>
            </w:rPr>
            <w:tab/>
          </w:r>
          <w:r>
            <w:rPr>
              <w:rFonts w:asciiTheme="minorEastAsia" w:hAnsiTheme="minorEastAsia" w:cstheme="minorEastAsia"/>
              <w:b/>
              <w:bCs/>
              <w:sz w:val="24"/>
            </w:rPr>
            <w:t>5</w:t>
          </w:r>
          <w:r>
            <w:rPr>
              <w:rFonts w:hint="eastAsia" w:asciiTheme="minorEastAsia" w:hAnsiTheme="minorEastAsia" w:eastAsiaTheme="minorEastAsia" w:cstheme="minorEastAsia"/>
              <w:b/>
              <w:bCs/>
              <w:sz w:val="24"/>
            </w:rPr>
            <w:fldChar w:fldCharType="end"/>
          </w:r>
          <w:r>
            <w:rPr>
              <w:rFonts w:asciiTheme="minorEastAsia" w:hAnsiTheme="minorEastAsia" w:cstheme="minorEastAsia"/>
              <w:b/>
              <w:bCs/>
              <w:sz w:val="24"/>
            </w:rPr>
            <w:t>5</w:t>
          </w:r>
        </w:p>
        <w:p w14:paraId="5F203488">
          <w:pPr>
            <w:pStyle w:val="10"/>
            <w:tabs>
              <w:tab w:val="right" w:leader="dot" w:pos="8504"/>
            </w:tabs>
            <w:spacing w:line="400" w:lineRule="exact"/>
            <w:rPr>
              <w:rFonts w:asciiTheme="minorEastAsia" w:hAnsiTheme="minorEastAsia" w:cstheme="minorEastAsia"/>
              <w:sz w:val="24"/>
            </w:rPr>
          </w:pPr>
          <w:r>
            <w:rPr>
              <w:rFonts w:hint="eastAsia" w:asciiTheme="minorEastAsia" w:hAnsiTheme="minorEastAsia" w:eastAsiaTheme="minorEastAsia" w:cstheme="minorEastAsia"/>
              <w:bCs/>
              <w:sz w:val="24"/>
            </w:rPr>
            <w:fldChar w:fldCharType="begin"/>
          </w:r>
          <w:r>
            <w:rPr>
              <w:rFonts w:asciiTheme="minorEastAsia" w:hAnsiTheme="minorEastAsia" w:eastAsiaTheme="minorEastAsia" w:cstheme="minorEastAsia"/>
              <w:bCs/>
              <w:sz w:val="24"/>
            </w:rPr>
            <w:instrText xml:space="preserve"> HYPERLINK \l _Toc6611 </w:instrText>
          </w:r>
          <w:r>
            <w:rPr>
              <w:rFonts w:hint="eastAsia" w:asciiTheme="minorEastAsia" w:hAnsiTheme="minorEastAsia" w:eastAsiaTheme="minorEastAsia" w:cstheme="minorEastAsia"/>
              <w:bCs/>
              <w:sz w:val="24"/>
            </w:rPr>
            <w:fldChar w:fldCharType="separate"/>
          </w:r>
          <w:r>
            <w:rPr>
              <w:rFonts w:hint="eastAsia" w:asciiTheme="minorEastAsia" w:hAnsiTheme="minorEastAsia" w:cstheme="minorEastAsia"/>
              <w:bCs/>
              <w:sz w:val="24"/>
            </w:rPr>
            <w:t>一、审计记录</w:t>
          </w:r>
          <w:r>
            <w:rPr>
              <w:rFonts w:asciiTheme="minorEastAsia" w:hAnsiTheme="minorEastAsia" w:cstheme="minorEastAsia"/>
              <w:sz w:val="24"/>
            </w:rPr>
            <w:tab/>
          </w:r>
          <w:r>
            <w:rPr>
              <w:rFonts w:hint="eastAsia" w:asciiTheme="minorEastAsia" w:hAnsiTheme="minorEastAsia" w:cstheme="minorEastAsia"/>
              <w:sz w:val="24"/>
            </w:rPr>
            <w:t>5</w:t>
          </w:r>
          <w:r>
            <w:rPr>
              <w:rFonts w:hint="eastAsia" w:asciiTheme="minorEastAsia" w:hAnsiTheme="minorEastAsia" w:eastAsiaTheme="minorEastAsia" w:cstheme="minorEastAsia"/>
              <w:bCs/>
              <w:sz w:val="24"/>
            </w:rPr>
            <w:fldChar w:fldCharType="end"/>
          </w:r>
          <w:r>
            <w:rPr>
              <w:rFonts w:hint="eastAsia" w:asciiTheme="minorEastAsia" w:hAnsiTheme="minorEastAsia" w:cstheme="minorEastAsia"/>
              <w:bCs/>
              <w:sz w:val="24"/>
            </w:rPr>
            <w:t>5</w:t>
          </w:r>
        </w:p>
        <w:p w14:paraId="2DF8E792">
          <w:pPr>
            <w:pStyle w:val="10"/>
            <w:tabs>
              <w:tab w:val="right" w:leader="dot" w:pos="8504"/>
            </w:tabs>
            <w:spacing w:line="400" w:lineRule="exact"/>
            <w:rPr>
              <w:rFonts w:asciiTheme="minorEastAsia" w:hAnsiTheme="minorEastAsia" w:cstheme="minorEastAsia"/>
              <w:sz w:val="24"/>
            </w:rPr>
          </w:pPr>
          <w:r>
            <w:rPr>
              <w:rFonts w:hint="eastAsia" w:asciiTheme="minorEastAsia" w:hAnsiTheme="minorEastAsia" w:eastAsiaTheme="minorEastAsia" w:cstheme="minorEastAsia"/>
              <w:bCs/>
              <w:sz w:val="24"/>
            </w:rPr>
            <w:fldChar w:fldCharType="begin"/>
          </w:r>
          <w:r>
            <w:rPr>
              <w:rFonts w:asciiTheme="minorEastAsia" w:hAnsiTheme="minorEastAsia" w:eastAsiaTheme="minorEastAsia" w:cstheme="minorEastAsia"/>
              <w:bCs/>
              <w:sz w:val="24"/>
            </w:rPr>
            <w:instrText xml:space="preserve"> HYPERLINK \l _Toc6953 </w:instrText>
          </w:r>
          <w:r>
            <w:rPr>
              <w:rFonts w:hint="eastAsia" w:asciiTheme="minorEastAsia" w:hAnsiTheme="minorEastAsia" w:eastAsiaTheme="minorEastAsia" w:cstheme="minorEastAsia"/>
              <w:bCs/>
              <w:sz w:val="24"/>
            </w:rPr>
            <w:fldChar w:fldCharType="separate"/>
          </w:r>
          <w:r>
            <w:rPr>
              <w:rFonts w:hint="eastAsia" w:asciiTheme="minorEastAsia" w:hAnsiTheme="minorEastAsia" w:cstheme="minorEastAsia"/>
              <w:bCs/>
              <w:sz w:val="24"/>
            </w:rPr>
            <w:t>二、审计报告</w:t>
          </w:r>
          <w:r>
            <w:rPr>
              <w:rFonts w:asciiTheme="minorEastAsia" w:hAnsiTheme="minorEastAsia" w:cstheme="minorEastAsia"/>
              <w:sz w:val="24"/>
            </w:rPr>
            <w:tab/>
          </w:r>
          <w:r>
            <w:rPr>
              <w:rFonts w:hint="eastAsia" w:asciiTheme="minorEastAsia" w:hAnsiTheme="minorEastAsia" w:cstheme="minorEastAsia"/>
              <w:sz w:val="24"/>
            </w:rPr>
            <w:t>5</w:t>
          </w:r>
          <w:r>
            <w:rPr>
              <w:rFonts w:hint="eastAsia" w:asciiTheme="minorEastAsia" w:hAnsiTheme="minorEastAsia" w:eastAsiaTheme="minorEastAsia" w:cstheme="minorEastAsia"/>
              <w:bCs/>
              <w:sz w:val="24"/>
            </w:rPr>
            <w:fldChar w:fldCharType="end"/>
          </w:r>
          <w:r>
            <w:rPr>
              <w:rFonts w:hint="eastAsia" w:asciiTheme="minorEastAsia" w:hAnsiTheme="minorEastAsia" w:cstheme="minorEastAsia"/>
              <w:bCs/>
              <w:sz w:val="24"/>
            </w:rPr>
            <w:t>5</w:t>
          </w:r>
        </w:p>
        <w:p w14:paraId="62A226E3">
          <w:pPr>
            <w:pStyle w:val="8"/>
            <w:tabs>
              <w:tab w:val="right" w:leader="dot" w:pos="8504"/>
            </w:tabs>
            <w:spacing w:line="400" w:lineRule="exact"/>
            <w:rPr>
              <w:rFonts w:asciiTheme="minorEastAsia" w:hAnsiTheme="minorEastAsia" w:cstheme="minorEastAsia"/>
              <w:sz w:val="24"/>
            </w:rPr>
          </w:pPr>
          <w:r>
            <w:rPr>
              <w:rFonts w:hint="eastAsia" w:asciiTheme="minorEastAsia" w:hAnsiTheme="minorEastAsia" w:eastAsiaTheme="minorEastAsia" w:cstheme="minorEastAsia"/>
              <w:b/>
              <w:bCs/>
              <w:sz w:val="24"/>
            </w:rPr>
            <w:fldChar w:fldCharType="begin"/>
          </w:r>
          <w:r>
            <w:rPr>
              <w:rFonts w:asciiTheme="minorEastAsia" w:hAnsiTheme="minorEastAsia" w:eastAsiaTheme="minorEastAsia" w:cstheme="minorEastAsia"/>
              <w:b/>
              <w:bCs/>
              <w:sz w:val="24"/>
            </w:rPr>
            <w:instrText xml:space="preserve"> HYPERLINK \l _Toc19660 </w:instrText>
          </w:r>
          <w:r>
            <w:rPr>
              <w:rFonts w:hint="eastAsia" w:asciiTheme="minorEastAsia" w:hAnsiTheme="minorEastAsia" w:eastAsiaTheme="minorEastAsia" w:cstheme="minorEastAsia"/>
              <w:b/>
              <w:bCs/>
              <w:sz w:val="24"/>
            </w:rPr>
            <w:fldChar w:fldCharType="separate"/>
          </w:r>
          <w:r>
            <w:rPr>
              <w:rFonts w:hint="eastAsia" w:asciiTheme="minorEastAsia" w:hAnsiTheme="minorEastAsia" w:eastAsiaTheme="minorEastAsia" w:cstheme="minorEastAsia"/>
              <w:b/>
              <w:bCs/>
              <w:sz w:val="24"/>
              <w:szCs w:val="24"/>
            </w:rPr>
            <w:t>第六章</w:t>
          </w:r>
          <w:r>
            <w:rPr>
              <w:rFonts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b/>
              <w:bCs/>
              <w:sz w:val="24"/>
              <w:szCs w:val="24"/>
            </w:rPr>
            <w:t>银行函证和企业往来函证外其他事项函证的特殊考虑</w:t>
          </w:r>
          <w:r>
            <w:rPr>
              <w:rFonts w:asciiTheme="minorEastAsia" w:hAnsiTheme="minorEastAsia" w:cstheme="minorEastAsia"/>
              <w:b/>
              <w:bCs/>
              <w:sz w:val="24"/>
            </w:rPr>
            <w:tab/>
          </w:r>
          <w:r>
            <w:rPr>
              <w:rFonts w:asciiTheme="minorEastAsia" w:hAnsiTheme="minorEastAsia" w:cstheme="minorEastAsia"/>
              <w:b/>
              <w:bCs/>
              <w:sz w:val="24"/>
            </w:rPr>
            <w:t>5</w:t>
          </w:r>
          <w:r>
            <w:rPr>
              <w:rFonts w:hint="eastAsia" w:asciiTheme="minorEastAsia" w:hAnsiTheme="minorEastAsia" w:eastAsiaTheme="minorEastAsia" w:cstheme="minorEastAsia"/>
              <w:b/>
              <w:bCs/>
              <w:sz w:val="24"/>
            </w:rPr>
            <w:fldChar w:fldCharType="end"/>
          </w:r>
          <w:r>
            <w:rPr>
              <w:rFonts w:asciiTheme="minorEastAsia" w:hAnsiTheme="minorEastAsia" w:cstheme="minorEastAsia"/>
              <w:b/>
              <w:bCs/>
              <w:sz w:val="24"/>
            </w:rPr>
            <w:t>8</w:t>
          </w:r>
        </w:p>
        <w:p w14:paraId="0E502272">
          <w:pPr>
            <w:pStyle w:val="10"/>
            <w:tabs>
              <w:tab w:val="right" w:leader="dot" w:pos="8504"/>
            </w:tabs>
            <w:spacing w:line="400" w:lineRule="exact"/>
            <w:rPr>
              <w:rFonts w:asciiTheme="minorEastAsia" w:hAnsiTheme="minorEastAsia" w:cstheme="minorEastAsia"/>
              <w:sz w:val="24"/>
            </w:rPr>
          </w:pPr>
          <w:r>
            <w:rPr>
              <w:rFonts w:hint="eastAsia" w:asciiTheme="minorEastAsia" w:hAnsiTheme="minorEastAsia" w:cstheme="minorEastAsia"/>
              <w:bCs/>
              <w:sz w:val="24"/>
            </w:rPr>
            <w:fldChar w:fldCharType="begin"/>
          </w:r>
          <w:r>
            <w:rPr>
              <w:rFonts w:hint="eastAsia" w:asciiTheme="minorEastAsia" w:hAnsiTheme="minorEastAsia" w:cstheme="minorEastAsia"/>
              <w:bCs/>
              <w:sz w:val="24"/>
            </w:rPr>
            <w:instrText xml:space="preserve"> HYPERLINK \l _Toc26682 </w:instrText>
          </w:r>
          <w:r>
            <w:rPr>
              <w:rFonts w:hint="eastAsia" w:asciiTheme="minorEastAsia" w:hAnsiTheme="minorEastAsia" w:cstheme="minorEastAsia"/>
              <w:bCs/>
              <w:sz w:val="24"/>
            </w:rPr>
            <w:fldChar w:fldCharType="separate"/>
          </w:r>
          <w:r>
            <w:rPr>
              <w:rFonts w:hint="eastAsia" w:asciiTheme="minorEastAsia" w:hAnsiTheme="minorEastAsia" w:cstheme="minorEastAsia"/>
              <w:bCs/>
              <w:sz w:val="24"/>
            </w:rPr>
            <w:t xml:space="preserve">第一节  </w:t>
          </w:r>
          <w:r>
            <w:rPr>
              <w:rFonts w:hint="eastAsia" w:asciiTheme="minorEastAsia" w:hAnsiTheme="minorEastAsia" w:cstheme="minorEastAsia"/>
              <w:b w:val="0"/>
              <w:bCs w:val="0"/>
              <w:sz w:val="24"/>
            </w:rPr>
            <w:t>其他事项函证程序的特殊考虑</w:t>
          </w:r>
          <w:r>
            <w:rPr>
              <w:rFonts w:hint="eastAsia" w:asciiTheme="minorEastAsia" w:hAnsiTheme="minorEastAsia" w:cstheme="minorEastAsia"/>
              <w:sz w:val="24"/>
            </w:rPr>
            <w:tab/>
          </w:r>
          <w:r>
            <w:rPr>
              <w:rFonts w:hint="eastAsia" w:asciiTheme="minorEastAsia" w:hAnsiTheme="minorEastAsia" w:cstheme="minorEastAsia"/>
              <w:bCs/>
              <w:sz w:val="24"/>
            </w:rPr>
            <w:fldChar w:fldCharType="end"/>
          </w:r>
          <w:r>
            <w:rPr>
              <w:rFonts w:hint="eastAsia" w:asciiTheme="minorEastAsia" w:hAnsiTheme="minorEastAsia" w:cstheme="minorEastAsia"/>
              <w:bCs/>
              <w:sz w:val="24"/>
            </w:rPr>
            <w:t>58</w:t>
          </w:r>
        </w:p>
        <w:p w14:paraId="06F9F2F5">
          <w:pPr>
            <w:pStyle w:val="10"/>
            <w:tabs>
              <w:tab w:val="right" w:leader="dot" w:pos="8504"/>
            </w:tabs>
            <w:spacing w:line="400" w:lineRule="exact"/>
            <w:rPr>
              <w:rFonts w:asciiTheme="minorEastAsia" w:hAnsiTheme="minorEastAsia" w:cstheme="minorEastAsia"/>
              <w:sz w:val="24"/>
            </w:rPr>
          </w:pPr>
          <w:r>
            <w:rPr>
              <w:rFonts w:hint="eastAsia" w:asciiTheme="minorEastAsia" w:hAnsiTheme="minorEastAsia" w:cstheme="minorEastAsia"/>
              <w:bCs/>
              <w:sz w:val="24"/>
            </w:rPr>
            <w:fldChar w:fldCharType="begin"/>
          </w:r>
          <w:r>
            <w:rPr>
              <w:rFonts w:hint="eastAsia" w:asciiTheme="minorEastAsia" w:hAnsiTheme="minorEastAsia" w:cstheme="minorEastAsia"/>
              <w:bCs/>
              <w:sz w:val="24"/>
            </w:rPr>
            <w:instrText xml:space="preserve"> HYPERLINK \l _Toc26682 </w:instrText>
          </w:r>
          <w:r>
            <w:rPr>
              <w:rFonts w:hint="eastAsia" w:asciiTheme="minorEastAsia" w:hAnsiTheme="minorEastAsia" w:cstheme="minorEastAsia"/>
              <w:bCs/>
              <w:sz w:val="24"/>
            </w:rPr>
            <w:fldChar w:fldCharType="separate"/>
          </w:r>
          <w:r>
            <w:rPr>
              <w:rFonts w:hint="eastAsia" w:asciiTheme="minorEastAsia" w:hAnsiTheme="minorEastAsia" w:cstheme="minorEastAsia"/>
              <w:bCs/>
              <w:sz w:val="24"/>
            </w:rPr>
            <w:t xml:space="preserve">第二节  </w:t>
          </w:r>
          <w:r>
            <w:rPr>
              <w:rFonts w:hint="eastAsia" w:asciiTheme="minorEastAsia" w:hAnsiTheme="minorEastAsia" w:cstheme="minorEastAsia"/>
              <w:b w:val="0"/>
              <w:bCs w:val="0"/>
              <w:sz w:val="24"/>
            </w:rPr>
            <w:t>第三方支付平台函证的特殊考虑</w:t>
          </w:r>
          <w:r>
            <w:rPr>
              <w:rFonts w:hint="eastAsia" w:asciiTheme="minorEastAsia" w:hAnsiTheme="minorEastAsia" w:cstheme="minorEastAsia"/>
              <w:sz w:val="24"/>
            </w:rPr>
            <w:tab/>
          </w:r>
          <w:r>
            <w:rPr>
              <w:rFonts w:hint="eastAsia" w:asciiTheme="minorEastAsia" w:hAnsiTheme="minorEastAsia" w:cstheme="minorEastAsia"/>
              <w:bCs/>
              <w:sz w:val="24"/>
            </w:rPr>
            <w:fldChar w:fldCharType="end"/>
          </w:r>
          <w:r>
            <w:rPr>
              <w:rFonts w:hint="eastAsia" w:asciiTheme="minorEastAsia" w:hAnsiTheme="minorEastAsia" w:cstheme="minorEastAsia"/>
              <w:bCs/>
              <w:sz w:val="24"/>
            </w:rPr>
            <w:t>63</w:t>
          </w:r>
        </w:p>
        <w:p w14:paraId="23250970">
          <w:pPr>
            <w:pStyle w:val="8"/>
            <w:tabs>
              <w:tab w:val="right" w:leader="dot" w:pos="8504"/>
            </w:tabs>
            <w:spacing w:line="400" w:lineRule="exact"/>
            <w:rPr>
              <w:rFonts w:asciiTheme="minorEastAsia" w:hAnsiTheme="minorEastAsia" w:cstheme="minorEastAsia"/>
              <w:sz w:val="24"/>
            </w:rPr>
          </w:pPr>
          <w:r>
            <w:rPr>
              <w:rFonts w:hint="eastAsia" w:asciiTheme="minorEastAsia" w:hAnsiTheme="minorEastAsia" w:eastAsiaTheme="minorEastAsia" w:cstheme="minorEastAsia"/>
              <w:b/>
              <w:bCs/>
              <w:sz w:val="24"/>
            </w:rPr>
            <w:fldChar w:fldCharType="begin"/>
          </w:r>
          <w:r>
            <w:rPr>
              <w:rFonts w:asciiTheme="minorEastAsia" w:hAnsiTheme="minorEastAsia" w:eastAsiaTheme="minorEastAsia" w:cstheme="minorEastAsia"/>
              <w:b/>
              <w:bCs/>
              <w:sz w:val="24"/>
            </w:rPr>
            <w:instrText xml:space="preserve"> HYPERLINK \l _Toc2226 </w:instrText>
          </w:r>
          <w:r>
            <w:rPr>
              <w:rFonts w:hint="eastAsia" w:asciiTheme="minorEastAsia" w:hAnsiTheme="minorEastAsia" w:eastAsiaTheme="minorEastAsia" w:cstheme="minorEastAsia"/>
              <w:b/>
              <w:bCs/>
              <w:sz w:val="24"/>
            </w:rPr>
            <w:fldChar w:fldCharType="separate"/>
          </w:r>
          <w:r>
            <w:rPr>
              <w:rFonts w:hint="eastAsia" w:asciiTheme="minorEastAsia" w:hAnsiTheme="minorEastAsia" w:eastAsiaTheme="minorEastAsia" w:cstheme="minorEastAsia"/>
              <w:b/>
              <w:bCs/>
              <w:sz w:val="24"/>
              <w:szCs w:val="24"/>
            </w:rPr>
            <w:t>第七章</w:t>
          </w:r>
          <w:r>
            <w:rPr>
              <w:rFonts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b/>
              <w:bCs/>
              <w:sz w:val="24"/>
              <w:szCs w:val="24"/>
            </w:rPr>
            <w:t>附则</w:t>
          </w:r>
          <w:r>
            <w:rPr>
              <w:rFonts w:asciiTheme="minorEastAsia" w:hAnsiTheme="minorEastAsia" w:cstheme="minorEastAsia"/>
              <w:b/>
              <w:bCs/>
              <w:sz w:val="24"/>
            </w:rPr>
            <w:tab/>
          </w:r>
          <w:r>
            <w:rPr>
              <w:rFonts w:asciiTheme="minorEastAsia" w:hAnsiTheme="minorEastAsia" w:cstheme="minorEastAsia"/>
              <w:b/>
              <w:bCs/>
              <w:sz w:val="24"/>
            </w:rPr>
            <w:fldChar w:fldCharType="begin"/>
          </w:r>
          <w:r>
            <w:rPr>
              <w:rFonts w:asciiTheme="minorEastAsia" w:hAnsiTheme="minorEastAsia" w:cstheme="minorEastAsia"/>
              <w:b/>
              <w:bCs/>
              <w:sz w:val="24"/>
            </w:rPr>
            <w:instrText xml:space="preserve"> PAGEREF _Toc2226 \h </w:instrText>
          </w:r>
          <w:r>
            <w:rPr>
              <w:rFonts w:asciiTheme="minorEastAsia" w:hAnsiTheme="minorEastAsia" w:cstheme="minorEastAsia"/>
              <w:b/>
              <w:bCs/>
              <w:sz w:val="24"/>
            </w:rPr>
            <w:fldChar w:fldCharType="separate"/>
          </w:r>
          <w:r>
            <w:rPr>
              <w:rFonts w:asciiTheme="minorEastAsia" w:hAnsiTheme="minorEastAsia" w:cstheme="minorEastAsia"/>
              <w:b/>
              <w:bCs/>
              <w:sz w:val="24"/>
            </w:rPr>
            <w:t>68</w:t>
          </w:r>
          <w:r>
            <w:rPr>
              <w:rFonts w:asciiTheme="minorEastAsia" w:hAnsiTheme="minorEastAsia" w:cstheme="minorEastAsia"/>
              <w:b/>
              <w:bCs/>
              <w:sz w:val="24"/>
            </w:rPr>
            <w:fldChar w:fldCharType="end"/>
          </w:r>
          <w:r>
            <w:rPr>
              <w:rFonts w:hint="eastAsia" w:asciiTheme="minorEastAsia" w:hAnsiTheme="minorEastAsia" w:eastAsiaTheme="minorEastAsia" w:cstheme="minorEastAsia"/>
              <w:b/>
              <w:bCs/>
              <w:sz w:val="24"/>
            </w:rPr>
            <w:fldChar w:fldCharType="end"/>
          </w:r>
        </w:p>
        <w:p w14:paraId="77B15220">
          <w:pPr>
            <w:spacing w:line="360" w:lineRule="auto"/>
            <w:rPr>
              <w:rFonts w:ascii="仿宋" w:hAnsi="仿宋" w:eastAsia="仿宋" w:cs="仿宋"/>
              <w:bCs/>
            </w:rPr>
            <w:sectPr>
              <w:footerReference r:id="rId6" w:type="default"/>
              <w:pgSz w:w="11906" w:h="16838"/>
              <w:pgMar w:top="1440" w:right="1701" w:bottom="1440" w:left="1701" w:header="851" w:footer="992" w:gutter="0"/>
              <w:pgNumType w:start="1"/>
              <w:cols w:space="425" w:num="1"/>
              <w:docGrid w:type="lines" w:linePitch="312" w:charSpace="0"/>
            </w:sectPr>
          </w:pPr>
          <w:r>
            <w:rPr>
              <w:rFonts w:asciiTheme="majorEastAsia" w:hAnsiTheme="majorEastAsia" w:eastAsiaTheme="majorEastAsia" w:cstheme="majorEastAsia"/>
              <w:bCs/>
              <w:sz w:val="24"/>
            </w:rPr>
            <w:fldChar w:fldCharType="end"/>
          </w:r>
        </w:p>
      </w:sdtContent>
    </w:sdt>
    <w:p w14:paraId="00C9AEBF">
      <w:pPr>
        <w:spacing w:line="360" w:lineRule="auto"/>
        <w:ind w:firstLine="0" w:firstLineChars="0"/>
        <w:jc w:val="center"/>
        <w:outlineLvl w:val="0"/>
        <w:rPr>
          <w:rFonts w:ascii="方正小标宋简体" w:hAnsi="方正小标宋简体" w:eastAsia="方正小标宋简体" w:cs="方正小标宋简体"/>
          <w:b w:val="0"/>
          <w:bCs w:val="0"/>
          <w:sz w:val="30"/>
          <w:szCs w:val="30"/>
        </w:rPr>
      </w:pPr>
      <w:bookmarkStart w:id="0" w:name="_Toc28066"/>
      <w:bookmarkStart w:id="1" w:name="_Toc7401"/>
      <w:bookmarkStart w:id="2" w:name="_Toc4623"/>
      <w:r>
        <w:rPr>
          <w:rFonts w:hint="eastAsia" w:ascii="方正小标宋简体" w:hAnsi="方正小标宋简体" w:eastAsia="方正小标宋简体" w:cs="方正小标宋简体"/>
          <w:b w:val="0"/>
          <w:bCs w:val="0"/>
          <w:sz w:val="30"/>
          <w:szCs w:val="30"/>
        </w:rPr>
        <w:t>第一章</w:t>
      </w:r>
      <w:r>
        <w:rPr>
          <w:rFonts w:hint="eastAsia" w:ascii="方正小标宋简体" w:hAnsi="方正小标宋简体" w:eastAsia="方正小标宋简体" w:cs="方正小标宋简体"/>
          <w:sz w:val="30"/>
          <w:szCs w:val="30"/>
        </w:rPr>
        <w:t xml:space="preserve">  </w:t>
      </w:r>
      <w:r>
        <w:rPr>
          <w:rFonts w:hint="eastAsia" w:ascii="方正小标宋简体" w:hAnsi="方正小标宋简体" w:eastAsia="方正小标宋简体" w:cs="方正小标宋简体"/>
          <w:b w:val="0"/>
          <w:bCs w:val="0"/>
          <w:sz w:val="30"/>
          <w:szCs w:val="30"/>
        </w:rPr>
        <w:t>总则</w:t>
      </w:r>
      <w:bookmarkEnd w:id="0"/>
      <w:bookmarkEnd w:id="1"/>
      <w:bookmarkEnd w:id="2"/>
    </w:p>
    <w:p w14:paraId="268635B1">
      <w:pPr>
        <w:snapToGrid w:val="0"/>
        <w:spacing w:line="360" w:lineRule="auto"/>
        <w:ind w:firstLine="482" w:firstLineChars="200"/>
        <w:outlineLvl w:val="1"/>
        <w:rPr>
          <w:rFonts w:asciiTheme="minorEastAsia" w:hAnsiTheme="minorEastAsia" w:cstheme="minorEastAsia"/>
          <w:b/>
          <w:bCs/>
          <w:sz w:val="24"/>
        </w:rPr>
      </w:pPr>
      <w:bookmarkStart w:id="3" w:name="_Toc24510"/>
      <w:bookmarkStart w:id="4" w:name="_Toc4755"/>
    </w:p>
    <w:p w14:paraId="3102E830">
      <w:pPr>
        <w:snapToGrid w:val="0"/>
        <w:spacing w:before="156" w:beforeLines="50" w:after="156" w:afterLines="50" w:line="360" w:lineRule="auto"/>
        <w:ind w:firstLine="482" w:firstLineChars="200"/>
        <w:outlineLvl w:val="1"/>
        <w:rPr>
          <w:rFonts w:asciiTheme="minorEastAsia" w:hAnsiTheme="minorEastAsia" w:eastAsiaTheme="minorEastAsia" w:cstheme="minorEastAsia"/>
          <w:b/>
          <w:bCs/>
          <w:sz w:val="24"/>
        </w:rPr>
      </w:pPr>
      <w:bookmarkStart w:id="5" w:name="_Toc28946"/>
      <w:r>
        <w:rPr>
          <w:rFonts w:hint="eastAsia" w:asciiTheme="minorEastAsia" w:hAnsiTheme="minorEastAsia" w:eastAsiaTheme="minorEastAsia" w:cstheme="minorEastAsia"/>
          <w:b/>
          <w:bCs/>
          <w:sz w:val="24"/>
        </w:rPr>
        <w:t>一、制定目的与依据</w:t>
      </w:r>
      <w:bookmarkEnd w:id="3"/>
      <w:bookmarkEnd w:id="4"/>
      <w:bookmarkEnd w:id="5"/>
      <w:r>
        <w:rPr>
          <w:rFonts w:asciiTheme="minorEastAsia" w:hAnsiTheme="minorEastAsia" w:eastAsiaTheme="minorEastAsia" w:cstheme="minorEastAsia"/>
          <w:b/>
          <w:bCs/>
          <w:sz w:val="24"/>
        </w:rPr>
        <w:t xml:space="preserve"> </w:t>
      </w:r>
    </w:p>
    <w:p w14:paraId="6DBFBABC">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为进一步规范注册会计师在财务报表审计中实施函证程序，提高执业质量、防范执业风险，依据《中国注册会计师审计准则第</w:t>
      </w:r>
      <w:r>
        <w:rPr>
          <w:rFonts w:asciiTheme="minorEastAsia" w:hAnsiTheme="minorEastAsia" w:eastAsiaTheme="minorEastAsia" w:cstheme="minorEastAsia"/>
          <w:sz w:val="24"/>
        </w:rPr>
        <w:t>1312号——函证》及《应用指南》和《中国注册会计师审计准则问题解答第2号——函证》及《关于加快推进银行函证规范化、集约化、数字化建设的通知》</w:t>
      </w:r>
      <w:r>
        <w:rPr>
          <w:rFonts w:asciiTheme="minorEastAsia" w:hAnsiTheme="minorEastAsia" w:cstheme="minorEastAsia"/>
          <w:sz w:val="24"/>
        </w:rPr>
        <w:t>(</w:t>
      </w:r>
      <w:r>
        <w:rPr>
          <w:rFonts w:asciiTheme="minorEastAsia" w:hAnsiTheme="minorEastAsia" w:eastAsiaTheme="minorEastAsia" w:cstheme="minorEastAsia"/>
          <w:sz w:val="24"/>
        </w:rPr>
        <w:t>财会〔2022〕39号）等相关文件，制定本操作指引。</w:t>
      </w:r>
    </w:p>
    <w:p w14:paraId="08F798DA">
      <w:pPr>
        <w:snapToGrid w:val="0"/>
        <w:spacing w:before="156" w:beforeLines="50" w:after="156" w:afterLines="50" w:line="360" w:lineRule="auto"/>
        <w:ind w:firstLine="482" w:firstLineChars="200"/>
        <w:outlineLvl w:val="1"/>
        <w:rPr>
          <w:rFonts w:asciiTheme="minorEastAsia" w:hAnsiTheme="minorEastAsia" w:eastAsiaTheme="minorEastAsia" w:cstheme="minorEastAsia"/>
          <w:b/>
          <w:bCs/>
          <w:sz w:val="24"/>
        </w:rPr>
      </w:pPr>
      <w:bookmarkStart w:id="6" w:name="_Toc13922"/>
      <w:bookmarkStart w:id="7" w:name="_Toc1199"/>
      <w:bookmarkStart w:id="8" w:name="_Toc792"/>
      <w:r>
        <w:rPr>
          <w:rFonts w:hint="eastAsia" w:asciiTheme="minorEastAsia" w:hAnsiTheme="minorEastAsia" w:eastAsiaTheme="minorEastAsia" w:cstheme="minorEastAsia"/>
          <w:b/>
          <w:bCs/>
          <w:sz w:val="24"/>
        </w:rPr>
        <w:t>二、总体要求</w:t>
      </w:r>
      <w:bookmarkEnd w:id="6"/>
      <w:bookmarkEnd w:id="7"/>
      <w:bookmarkEnd w:id="8"/>
    </w:p>
    <w:p w14:paraId="473A3E2B">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操作指引旨在针对函证有关的实务问题，提示注册会计师在设计和实施函证程序时需要关注的事项以及如何履行函证程序，仅供注册会计师在执业时参考，不能替代相关法律法规、执业准则以及注册会计师的职业判断。注册会计师应当考虑评估的认定层次重大错报风险，以及通过实施其他审计程序获取的审计证据如何将检查风险降至可接受的水平，确定实施函证程序的必要性。注册会计师实施函证程序应遵循中国注册会计师审计准则及应用指南的规定，保持职业怀疑，并根据风险评估结果，结合被审计单位实际情况，设计并采取适当的应对措施。</w:t>
      </w:r>
    </w:p>
    <w:p w14:paraId="5AB503DB">
      <w:pPr>
        <w:snapToGrid w:val="0"/>
        <w:spacing w:before="156" w:beforeLines="50" w:after="156" w:afterLines="50" w:line="360" w:lineRule="auto"/>
        <w:ind w:firstLine="482" w:firstLineChars="200"/>
        <w:outlineLvl w:val="1"/>
        <w:rPr>
          <w:rFonts w:asciiTheme="minorEastAsia" w:hAnsiTheme="minorEastAsia" w:eastAsiaTheme="minorEastAsia" w:cstheme="minorEastAsia"/>
          <w:b/>
          <w:bCs/>
          <w:sz w:val="24"/>
        </w:rPr>
      </w:pPr>
      <w:bookmarkStart w:id="9" w:name="_Toc24526"/>
      <w:bookmarkStart w:id="10" w:name="_Toc17086"/>
      <w:bookmarkStart w:id="11" w:name="_Toc24941"/>
      <w:r>
        <w:rPr>
          <w:rFonts w:hint="eastAsia" w:asciiTheme="minorEastAsia" w:hAnsiTheme="minorEastAsia" w:eastAsiaTheme="minorEastAsia" w:cstheme="minorEastAsia"/>
          <w:b/>
          <w:bCs/>
          <w:sz w:val="24"/>
        </w:rPr>
        <w:t>三、函证程序目标</w:t>
      </w:r>
      <w:bookmarkEnd w:id="9"/>
      <w:bookmarkEnd w:id="10"/>
      <w:bookmarkEnd w:id="11"/>
    </w:p>
    <w:p w14:paraId="43C0FD5E">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注册会计师实施函证程序的目标是为了直接从被询证者获取书面答复（含纸质、电子或其他介质等形式），以获取认定层次的充分、适当的审计证据，降低审计风险。</w:t>
      </w:r>
    </w:p>
    <w:p w14:paraId="6B8ED509">
      <w:pPr>
        <w:snapToGrid w:val="0"/>
        <w:spacing w:before="156" w:beforeLines="50" w:after="156" w:afterLines="50" w:line="360" w:lineRule="auto"/>
        <w:ind w:firstLine="482" w:firstLineChars="200"/>
        <w:outlineLvl w:val="1"/>
        <w:rPr>
          <w:rFonts w:asciiTheme="minorEastAsia" w:hAnsiTheme="minorEastAsia" w:eastAsiaTheme="minorEastAsia" w:cstheme="minorEastAsia"/>
          <w:b/>
          <w:bCs/>
          <w:sz w:val="24"/>
        </w:rPr>
      </w:pPr>
      <w:bookmarkStart w:id="12" w:name="_Toc3315"/>
      <w:bookmarkStart w:id="13" w:name="_Toc25165"/>
      <w:bookmarkStart w:id="14" w:name="_Toc22059"/>
      <w:r>
        <w:rPr>
          <w:rFonts w:hint="eastAsia" w:asciiTheme="minorEastAsia" w:hAnsiTheme="minorEastAsia" w:eastAsiaTheme="minorEastAsia" w:cstheme="minorEastAsia"/>
          <w:b/>
          <w:bCs/>
          <w:sz w:val="24"/>
        </w:rPr>
        <w:t>四、职业道德要求</w:t>
      </w:r>
      <w:bookmarkEnd w:id="12"/>
      <w:bookmarkEnd w:id="13"/>
      <w:bookmarkEnd w:id="14"/>
    </w:p>
    <w:p w14:paraId="60CBC74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注册会计师实施函证程序应当遵循中国注册会计师职业道德守则相关规定，恪守独立、客观、公正的原则，勤勉尽责，并对执业过程中获知的信息保密。</w:t>
      </w:r>
    </w:p>
    <w:p w14:paraId="798DA0D7">
      <w:pPr>
        <w:snapToGrid w:val="0"/>
        <w:spacing w:before="156" w:beforeLines="50" w:after="156" w:afterLines="50" w:line="360" w:lineRule="auto"/>
        <w:ind w:firstLine="482" w:firstLineChars="200"/>
        <w:outlineLvl w:val="1"/>
        <w:rPr>
          <w:rFonts w:asciiTheme="minorEastAsia" w:hAnsiTheme="minorEastAsia" w:eastAsiaTheme="minorEastAsia" w:cstheme="minorEastAsia"/>
          <w:b/>
          <w:bCs/>
          <w:sz w:val="24"/>
        </w:rPr>
      </w:pPr>
      <w:bookmarkStart w:id="15" w:name="_Toc6086"/>
      <w:bookmarkStart w:id="16" w:name="_Toc26907"/>
      <w:bookmarkStart w:id="17" w:name="_Toc18341"/>
      <w:r>
        <w:rPr>
          <w:rFonts w:hint="eastAsia" w:asciiTheme="minorEastAsia" w:hAnsiTheme="minorEastAsia" w:eastAsiaTheme="minorEastAsia" w:cstheme="minorEastAsia"/>
          <w:b/>
          <w:bCs/>
          <w:sz w:val="24"/>
        </w:rPr>
        <w:t>五、适用范围提示</w:t>
      </w:r>
      <w:bookmarkEnd w:id="15"/>
      <w:bookmarkEnd w:id="16"/>
      <w:bookmarkEnd w:id="17"/>
    </w:p>
    <w:p w14:paraId="7A124AB9">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操作指引主要内容依据前述函证准则编写，适用注册会计师执行财务报表审计业务。注册会计师在执行财务报表审计以外的其他鉴证业务时，实施函证程序可能不适用本指引相关内容。注册会计师执行其他鉴证业务应遵循相关法律法规、注册会计师执业准则的规定，保持职业怀疑，合理设计、实施审计程序，提高执业质量，防范执业风险。</w:t>
      </w:r>
    </w:p>
    <w:p w14:paraId="3EE0EAF0">
      <w:pPr>
        <w:snapToGrid w:val="0"/>
        <w:spacing w:line="360" w:lineRule="auto"/>
        <w:ind w:firstLine="480"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本操作指引旨在针对函证操作实务，提示注册会计师在设计和实施函证程序时需要关注的事项以及如何履行函证程序。本操作指引可能并未穷尽注册会计师在实施函证程序时可能实施的所有审计工作和应对措施，所列举的审计程序也并不意味着注册会计师在所有情况下都必须实施。注册会计师应根据风险评估结果和审计计划，结合被审计单位的实际情况，设计和实施函证程序，并对具体负责实施函证程序的项目人员给予指导。</w:t>
      </w:r>
    </w:p>
    <w:p w14:paraId="68C0C4CF">
      <w:pPr>
        <w:snapToGrid w:val="0"/>
        <w:spacing w:line="360" w:lineRule="auto"/>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br w:type="page"/>
      </w:r>
    </w:p>
    <w:p w14:paraId="22271958">
      <w:pPr>
        <w:snapToGrid w:val="0"/>
        <w:spacing w:line="360" w:lineRule="auto"/>
        <w:ind w:firstLine="0" w:firstLineChars="0"/>
        <w:jc w:val="center"/>
        <w:outlineLvl w:val="0"/>
        <w:rPr>
          <w:rFonts w:ascii="方正小标宋简体" w:hAnsi="方正小标宋简体" w:eastAsia="方正小标宋简体" w:cs="方正小标宋简体"/>
          <w:b w:val="0"/>
          <w:bCs w:val="0"/>
          <w:sz w:val="30"/>
          <w:szCs w:val="30"/>
        </w:rPr>
      </w:pPr>
      <w:bookmarkStart w:id="18" w:name="_Toc12345"/>
      <w:bookmarkStart w:id="19" w:name="_Toc27724"/>
      <w:bookmarkStart w:id="20" w:name="_Toc3124"/>
      <w:r>
        <w:rPr>
          <w:rFonts w:hint="eastAsia" w:ascii="方正小标宋简体" w:hAnsi="方正小标宋简体" w:eastAsia="方正小标宋简体" w:cs="方正小标宋简体"/>
          <w:b w:val="0"/>
          <w:bCs w:val="0"/>
          <w:sz w:val="30"/>
          <w:szCs w:val="30"/>
        </w:rPr>
        <w:t>第二章</w:t>
      </w:r>
      <w:r>
        <w:rPr>
          <w:rFonts w:ascii="方正小标宋简体" w:hAnsi="方正小标宋简体" w:eastAsia="方正小标宋简体" w:cs="方正小标宋简体"/>
          <w:sz w:val="30"/>
          <w:szCs w:val="30"/>
        </w:rPr>
        <w:t xml:space="preserve">  </w:t>
      </w:r>
      <w:r>
        <w:rPr>
          <w:rFonts w:hint="eastAsia" w:ascii="方正小标宋简体" w:hAnsi="方正小标宋简体" w:eastAsia="方正小标宋简体" w:cs="方正小标宋简体"/>
          <w:b w:val="0"/>
          <w:bCs w:val="0"/>
          <w:sz w:val="30"/>
          <w:szCs w:val="30"/>
        </w:rPr>
        <w:t>评估与函证相关的舞弊风险</w:t>
      </w:r>
      <w:bookmarkEnd w:id="18"/>
      <w:bookmarkEnd w:id="19"/>
      <w:bookmarkEnd w:id="20"/>
    </w:p>
    <w:p w14:paraId="25109D04">
      <w:pPr>
        <w:snapToGrid w:val="0"/>
        <w:spacing w:line="360" w:lineRule="auto"/>
        <w:ind w:firstLine="482" w:firstLineChars="200"/>
        <w:rPr>
          <w:rFonts w:asciiTheme="minorEastAsia" w:hAnsiTheme="minorEastAsia" w:eastAsiaTheme="minorEastAsia" w:cstheme="minorEastAsia"/>
          <w:b/>
          <w:bCs/>
          <w:sz w:val="24"/>
        </w:rPr>
      </w:pPr>
    </w:p>
    <w:p w14:paraId="0AC96021">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审计过程中，函证是非常重要的基础性审计程序，不当设计的函证程序或执行中的失误可能导致审计失败，特别是在存在舞弊风险的情况下。因此，注册会计师在实施函证程序时，必须保持职业怀疑，识别和评估可能的舞弊风险。</w:t>
      </w:r>
    </w:p>
    <w:p w14:paraId="5FA95AB2">
      <w:pPr>
        <w:snapToGrid w:val="0"/>
        <w:spacing w:before="156" w:beforeLines="50" w:after="156" w:afterLines="50" w:line="360" w:lineRule="auto"/>
        <w:ind w:firstLine="482" w:firstLineChars="200"/>
        <w:outlineLvl w:val="1"/>
        <w:rPr>
          <w:rFonts w:asciiTheme="minorEastAsia" w:hAnsiTheme="minorEastAsia" w:eastAsiaTheme="minorEastAsia" w:cstheme="minorEastAsia"/>
          <w:b/>
          <w:bCs/>
          <w:sz w:val="24"/>
        </w:rPr>
      </w:pPr>
      <w:bookmarkStart w:id="21" w:name="_Toc1165"/>
      <w:bookmarkStart w:id="22" w:name="_Toc20324"/>
      <w:bookmarkStart w:id="23" w:name="_Toc30764"/>
      <w:r>
        <w:rPr>
          <w:rFonts w:hint="eastAsia" w:asciiTheme="minorEastAsia" w:hAnsiTheme="minorEastAsia" w:eastAsiaTheme="minorEastAsia" w:cstheme="minorEastAsia"/>
          <w:b/>
          <w:bCs/>
          <w:sz w:val="24"/>
        </w:rPr>
        <w:t>一、函证前对被审计单位可能存在的舞弊风险的评估程序</w:t>
      </w:r>
      <w:bookmarkEnd w:id="21"/>
      <w:bookmarkEnd w:id="22"/>
      <w:bookmarkEnd w:id="23"/>
    </w:p>
    <w:p w14:paraId="685BE66C">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通常情况下，为了获取用于识别函证有关的舞弊风险所需的信息，注册会计师可以考虑实施包括但不限于以下审计程序：</w:t>
      </w:r>
    </w:p>
    <w:p w14:paraId="69FF0DF0">
      <w:pPr>
        <w:snapToGrid w:val="0"/>
        <w:spacing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（一）询问管理层</w:t>
      </w:r>
      <w:r>
        <w:rPr>
          <w:rFonts w:hint="eastAsia" w:asciiTheme="minorEastAsia" w:hAnsiTheme="minorEastAsia" w:eastAsiaTheme="minorEastAsia" w:cstheme="minorEastAsia"/>
          <w:b/>
          <w:bCs/>
          <w:color w:val="auto"/>
          <w:sz w:val="24"/>
        </w:rPr>
        <w:t>或（及）内部控制管理相关人员</w:t>
      </w:r>
    </w:p>
    <w:p w14:paraId="1371EA9C">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了解被审计单位应对舞弊风险有关的控制环境，分析当前控制环境下是否可能存在实施舞弊的机会。例如，了解被审计单位针对与函证账户、交易及披露信息有关的舞弊风险设计的内部控制，及管理层针对舞弊风险及相关控制是否进行自我评估及所作评估的性质、范围和频率。</w:t>
      </w:r>
    </w:p>
    <w:p w14:paraId="0DE363EE">
      <w:pPr>
        <w:snapToGrid w:val="0"/>
        <w:spacing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（二）询问治理层</w:t>
      </w:r>
    </w:p>
    <w:p w14:paraId="6655C0A5">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了解其是否知悉任何与函证账户、交易及披露信息有关的舞弊事实、舞弊嫌疑或舞弊指控。由于治理层的重要职责在于监督管理层，因而其知悉舞弊事实、舞弊嫌疑以及收到舞弊指控的可能性较大，注册会计师应当询问治理层以便获取相关信息。</w:t>
      </w:r>
    </w:p>
    <w:p w14:paraId="39868989">
      <w:pPr>
        <w:snapToGrid w:val="0"/>
        <w:spacing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（三）询问内部审计人员</w:t>
      </w:r>
      <w:r>
        <w:rPr>
          <w:rFonts w:asciiTheme="minorEastAsia" w:hAnsiTheme="minorEastAsia" w:eastAsiaTheme="minorEastAsia" w:cstheme="minorEastAsia"/>
          <w:b/>
          <w:bCs/>
          <w:sz w:val="24"/>
        </w:rPr>
        <w:t xml:space="preserve"> </w:t>
      </w:r>
    </w:p>
    <w:p w14:paraId="5158DDE0">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了解其在本期是否实施了用以发现舞弊的程序，管理层对通过内部审计程序发现的舞弊是否采取了适当的应对措施，是否了解任何与函证账户、交易及披露信息有关的舞弊事实、舞弊嫌疑或舞弊指控等。</w:t>
      </w:r>
    </w:p>
    <w:p w14:paraId="039389A0">
      <w:pPr>
        <w:snapToGrid w:val="0"/>
        <w:spacing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（四）询问内部其他人员</w:t>
      </w:r>
    </w:p>
    <w:p w14:paraId="222C9FBC">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了解是否存在或可能存在与函证账户、交易及披露信息有关的舞弊行为。内部其他人员通常包括：不直接参与财务报告过程的业务人员；拥有不同级别权限的人员；负责生成、处理或记录复杂、异常交易的人员及其监督人员；内部法律顾问；负责处理舞弊指控的人员。这些人员出于各自的相应职责，可能从不同角度、不同侧面了解实际存在的或者可能存在的舞弊行为。注册会计师应当运用职业判断，确定拟询问的被审计单位内部其他人员的范围及询问内容。</w:t>
      </w:r>
    </w:p>
    <w:p w14:paraId="2BDE57D6">
      <w:pPr>
        <w:snapToGrid w:val="0"/>
        <w:spacing w:line="360" w:lineRule="auto"/>
        <w:ind w:firstLine="482" w:firstLineChars="200"/>
        <w:outlineLvl w:val="2"/>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sz w:val="24"/>
        </w:rPr>
        <w:t>（五）询问其他合适人员</w:t>
      </w:r>
    </w:p>
    <w:p w14:paraId="06ECBA14">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了解被审计单位是否面临经营目标、业绩指标等绩效考核压力，及是否面临重大合规性监管要求等，获取相关文件、纪要，分析被审计单位是否存在与函证账户、交易及披露信息有关的舞弊动机或压力。</w:t>
      </w:r>
    </w:p>
    <w:p w14:paraId="0DBDECCF">
      <w:pPr>
        <w:snapToGrid w:val="0"/>
        <w:spacing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（六）查阅内部文件</w:t>
      </w:r>
    </w:p>
    <w:p w14:paraId="60853EA4">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查阅被审计单位会议纪要、内部控制评价报告、内部审计报告等文件资料，关注是否存在与函证账户、交易及披露信息有关的舞弊事实、舞弊嫌疑或舞弊指控。</w:t>
      </w:r>
    </w:p>
    <w:p w14:paraId="03605BE3">
      <w:pPr>
        <w:snapToGrid w:val="0"/>
        <w:spacing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（七）综合分析</w:t>
      </w:r>
    </w:p>
    <w:p w14:paraId="67BDD73B">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结合询问、检查、查询等获取的信息，分析被审计单位是否正在经历诸如持续经营存在重大疑虑、财务状况不佳、经营不善等不利事项和情况，可能导致函证过程的实施环境存在较高的舞弊风险。</w:t>
      </w:r>
    </w:p>
    <w:p w14:paraId="0AEC858C">
      <w:pPr>
        <w:snapToGrid w:val="0"/>
        <w:spacing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（八）项目组讨论</w:t>
      </w:r>
    </w:p>
    <w:p w14:paraId="5E92B7A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结合客户规模、业务交易复杂性，及项目组成员资历、专业胜任能力，讨论可能存在的舞弊风险因素。必要时，注册会计师可以要求事务所委派技术支持人员参与项目组讨论或提供咨询指导。项目组讨论的内容通常包括但不限于：已了解的可能产生舞弊的动机或压力、提供舞弊机会、营造舞弊行为合理化环境的外部和内部因素、可能的舞弊途径或方法；已注意到的对被审计单位舞弊的指控；已注意到的管理层或员工在行为或生活方式上出现的异常或无法解释的变化；管理层凌驾于控制之上的可能性。</w:t>
      </w:r>
    </w:p>
    <w:p w14:paraId="4EA103E0">
      <w:pPr>
        <w:snapToGrid w:val="0"/>
        <w:spacing w:before="156" w:beforeLines="50" w:after="156" w:afterLines="50" w:line="360" w:lineRule="auto"/>
        <w:ind w:firstLine="482" w:firstLineChars="200"/>
        <w:outlineLvl w:val="1"/>
        <w:rPr>
          <w:rFonts w:asciiTheme="minorEastAsia" w:hAnsiTheme="minorEastAsia" w:eastAsiaTheme="minorEastAsia" w:cstheme="minorEastAsia"/>
          <w:b/>
          <w:bCs/>
          <w:sz w:val="24"/>
        </w:rPr>
      </w:pPr>
      <w:bookmarkStart w:id="24" w:name="_Toc7687"/>
      <w:bookmarkStart w:id="25" w:name="_Toc30559"/>
      <w:bookmarkStart w:id="26" w:name="_Toc16102"/>
      <w:r>
        <w:rPr>
          <w:rFonts w:hint="eastAsia" w:asciiTheme="minorEastAsia" w:hAnsiTheme="minorEastAsia" w:eastAsiaTheme="minorEastAsia" w:cstheme="minorEastAsia"/>
          <w:b/>
          <w:bCs/>
          <w:sz w:val="24"/>
        </w:rPr>
        <w:t>二、执行函证时需关注的舞弊风险重要考虑因素</w:t>
      </w:r>
      <w:bookmarkEnd w:id="24"/>
      <w:bookmarkEnd w:id="25"/>
      <w:bookmarkEnd w:id="26"/>
    </w:p>
    <w:p w14:paraId="4D161EA7">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结合近年函证程序执行中的失误案例，注册会计师应当考虑的影响函证舞弊风险的重要因素包括但不限于：</w:t>
      </w:r>
    </w:p>
    <w:p w14:paraId="220ACFB5">
      <w:pPr>
        <w:numPr>
          <w:ilvl w:val="0"/>
          <w:numId w:val="1"/>
        </w:numPr>
        <w:snapToGrid w:val="0"/>
        <w:spacing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函证执行环境存在较高舞弊风险</w:t>
      </w:r>
    </w:p>
    <w:p w14:paraId="26228395">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当被审计单位面临持续经营能力的重大不确定性、财务状况恶化、运营效率低下等负面状况时，可能预示着较高的舞弊风险环境。此外，若管理层与函证对象间存在密切关联，可能增加串通舞弊的风险。</w:t>
      </w:r>
    </w:p>
    <w:p w14:paraId="76FC85E6">
      <w:pPr>
        <w:numPr>
          <w:ilvl w:val="0"/>
          <w:numId w:val="1"/>
        </w:numPr>
        <w:snapToGrid w:val="0"/>
        <w:spacing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被询证单位缺乏独立性的风险</w:t>
      </w:r>
    </w:p>
    <w:p w14:paraId="62B0E097">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被询证者缺乏独立性。例如：被审计单位及其管理层具有强大的背景和地位，能够对被询证者（包括银行和其他第三方）施加重大影响以使其向注册会计师提供虚假或误导信息（如被审计单位是被询证者唯一或重要的客户或供应商）；被询证者既是被审计单位资产的保管人又是资产的管理者。</w:t>
      </w:r>
    </w:p>
    <w:p w14:paraId="3F76EDEB">
      <w:pPr>
        <w:numPr>
          <w:ilvl w:val="0"/>
          <w:numId w:val="1"/>
        </w:numPr>
        <w:snapToGrid w:val="0"/>
        <w:spacing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舞弊风险迹象与函证过程中的潜在问题</w:t>
      </w:r>
    </w:p>
    <w:p w14:paraId="08E270BB">
      <w:pPr>
        <w:snapToGrid w:val="0"/>
        <w:spacing w:line="360" w:lineRule="auto"/>
        <w:ind w:firstLine="480" w:firstLineChars="200"/>
        <w:rPr>
          <w:rFonts w:asciiTheme="minorEastAsia" w:hAnsiTheme="minorEastAsia" w:cstheme="minorEastAsia"/>
          <w:sz w:val="24"/>
        </w:rPr>
      </w:pPr>
      <w:r>
        <w:rPr>
          <w:rFonts w:hint="eastAsia" w:asciiTheme="minorEastAsia" w:hAnsiTheme="minorEastAsia" w:eastAsiaTheme="minorEastAsia" w:cstheme="minorEastAsia"/>
          <w:sz w:val="24"/>
        </w:rPr>
        <w:t>在函证过程中，注册会计师需要始终保持职业怀疑，对舞弊风险迹象保持警觉，注册会计师应密切关注在函证过程中可能的错误或风险（具体内容及措施详见第四章各函证流程的“常见错误或风险”、附录</w:t>
      </w:r>
      <w:r>
        <w:rPr>
          <w:rFonts w:asciiTheme="minorEastAsia" w:hAnsiTheme="minorEastAsia" w:eastAsiaTheme="minorEastAsia" w:cstheme="minorEastAsia"/>
          <w:sz w:val="24"/>
        </w:rPr>
        <w:t>4:函证失败典型审计案例）。</w:t>
      </w:r>
    </w:p>
    <w:p w14:paraId="1E2416FE">
      <w:pPr>
        <w:spacing w:line="240" w:lineRule="auto"/>
        <w:ind w:firstLine="0" w:firstLineChars="0"/>
        <w:rPr>
          <w:rFonts w:asciiTheme="minorEastAsia" w:hAnsiTheme="minorEastAsia" w:cstheme="minorEastAsia"/>
          <w:sz w:val="24"/>
        </w:rPr>
      </w:pPr>
      <w:r>
        <w:rPr>
          <w:rFonts w:hint="eastAsia" w:asciiTheme="minorEastAsia" w:hAnsiTheme="minorEastAsia" w:cstheme="minorEastAsia"/>
          <w:sz w:val="24"/>
        </w:rPr>
        <w:br w:type="page"/>
      </w:r>
    </w:p>
    <w:p w14:paraId="5DC37B0A">
      <w:pPr>
        <w:snapToGrid w:val="0"/>
        <w:spacing w:line="360" w:lineRule="auto"/>
        <w:ind w:firstLine="0" w:firstLineChars="0"/>
        <w:jc w:val="center"/>
        <w:outlineLvl w:val="0"/>
        <w:rPr>
          <w:rFonts w:ascii="方正小标宋简体" w:hAnsi="方正小标宋简体" w:eastAsia="方正小标宋简体" w:cs="方正小标宋简体"/>
          <w:b w:val="0"/>
          <w:bCs w:val="0"/>
          <w:sz w:val="30"/>
          <w:szCs w:val="30"/>
        </w:rPr>
      </w:pPr>
      <w:bookmarkStart w:id="27" w:name="_Toc5046"/>
      <w:bookmarkStart w:id="28" w:name="_Toc22424"/>
      <w:bookmarkStart w:id="29" w:name="_Toc32361"/>
      <w:r>
        <w:rPr>
          <w:rFonts w:hint="eastAsia" w:ascii="方正小标宋简体" w:hAnsi="方正小标宋简体" w:eastAsia="方正小标宋简体" w:cs="方正小标宋简体"/>
          <w:b w:val="0"/>
          <w:bCs w:val="0"/>
          <w:sz w:val="30"/>
          <w:szCs w:val="30"/>
        </w:rPr>
        <w:t>第三章</w:t>
      </w:r>
      <w:r>
        <w:rPr>
          <w:rFonts w:hint="eastAsia" w:ascii="方正小标宋简体" w:hAnsi="方正小标宋简体" w:eastAsia="方正小标宋简体" w:cs="方正小标宋简体"/>
          <w:sz w:val="30"/>
          <w:szCs w:val="30"/>
        </w:rPr>
        <w:t xml:space="preserve">  </w:t>
      </w:r>
      <w:r>
        <w:rPr>
          <w:rFonts w:hint="eastAsia" w:ascii="方正小标宋简体" w:hAnsi="方正小标宋简体" w:eastAsia="方正小标宋简体" w:cs="方正小标宋简体"/>
          <w:b w:val="0"/>
          <w:bCs w:val="0"/>
          <w:sz w:val="30"/>
          <w:szCs w:val="30"/>
        </w:rPr>
        <w:t>函证操作流程</w:t>
      </w:r>
      <w:bookmarkEnd w:id="27"/>
      <w:bookmarkEnd w:id="28"/>
      <w:bookmarkEnd w:id="29"/>
    </w:p>
    <w:p w14:paraId="010798FA">
      <w:pPr>
        <w:snapToGrid w:val="0"/>
        <w:spacing w:line="360" w:lineRule="auto"/>
        <w:ind w:firstLine="480" w:firstLineChars="200"/>
        <w:rPr>
          <w:rFonts w:asciiTheme="minorEastAsia" w:hAnsiTheme="minorEastAsia" w:cstheme="minorEastAsia"/>
          <w:sz w:val="24"/>
        </w:rPr>
      </w:pPr>
    </w:p>
    <w:p w14:paraId="2798CA2C">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本流程主要以银行函证和企业往来款函证为例作出要求和建议。对其他审计事项进行函证的，可参照执行。</w:t>
      </w:r>
    </w:p>
    <w:p w14:paraId="16D8238C">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册会计师应在工作底稿中保留设计和实施函证全过程的痕迹证据，包括询证函发出前的原件影印件和回函原件、发函和回函控制措施、发函及回函邮寄凭证、对函证结果的分析及差异处理、替代测试以及相关支持性文件、文字记录等，这些资料应能形成一个完整的证据链，可以证明注册会计师控制了函证程序实施的全过程。</w:t>
      </w:r>
      <w:r>
        <w:rPr>
          <w:rFonts w:hint="eastAsia" w:asciiTheme="minorEastAsia" w:hAnsiTheme="minorEastAsia" w:eastAsiaTheme="minorEastAsia" w:cstheme="minorEastAsia"/>
          <w:color w:val="auto"/>
          <w:sz w:val="24"/>
        </w:rPr>
        <w:t>函证流程全过程要特别注重注册会计师及项目组成员的独立操作。</w:t>
      </w:r>
    </w:p>
    <w:p w14:paraId="3AEA8F39">
      <w:pPr>
        <w:snapToGrid w:val="0"/>
        <w:spacing w:before="156" w:beforeLines="50" w:after="156" w:afterLines="50" w:line="360" w:lineRule="auto"/>
        <w:ind w:firstLine="482" w:firstLineChars="200"/>
        <w:outlineLvl w:val="1"/>
        <w:rPr>
          <w:rFonts w:asciiTheme="minorEastAsia" w:hAnsiTheme="minorEastAsia" w:eastAsiaTheme="minorEastAsia" w:cstheme="minorEastAsia"/>
          <w:b/>
          <w:bCs/>
          <w:sz w:val="24"/>
        </w:rPr>
      </w:pPr>
      <w:bookmarkStart w:id="30" w:name="_Toc20292"/>
      <w:bookmarkStart w:id="31" w:name="_Toc781"/>
      <w:bookmarkStart w:id="32" w:name="_Toc32272"/>
      <w:r>
        <w:rPr>
          <w:rFonts w:hint="eastAsia" w:asciiTheme="minorEastAsia" w:hAnsiTheme="minorEastAsia" w:eastAsiaTheme="minorEastAsia" w:cstheme="minorEastAsia"/>
          <w:b/>
          <w:bCs/>
          <w:sz w:val="24"/>
        </w:rPr>
        <w:t>一、函证操作流程</w:t>
      </w:r>
      <w:bookmarkEnd w:id="30"/>
      <w:bookmarkEnd w:id="31"/>
      <w:bookmarkEnd w:id="32"/>
    </w:p>
    <w:p w14:paraId="79EA0CAD">
      <w:pPr>
        <w:snapToGrid w:val="0"/>
        <w:spacing w:line="360" w:lineRule="auto"/>
        <w:ind w:firstLine="482" w:firstLineChars="200"/>
        <w:outlineLvl w:val="2"/>
        <w:rPr>
          <w:rFonts w:asciiTheme="minorEastAsia" w:hAnsiTheme="minorEastAsia" w:cstheme="minorEastAsia"/>
          <w:b/>
          <w:bCs/>
          <w:sz w:val="24"/>
        </w:rPr>
      </w:pPr>
      <w:r>
        <w:rPr>
          <w:rFonts w:hint="eastAsia" w:asciiTheme="minorEastAsia" w:hAnsiTheme="minorEastAsia" w:eastAsiaTheme="minorEastAsia" w:cstheme="minorEastAsia"/>
          <w:b/>
          <w:bCs/>
          <w:sz w:val="24"/>
        </w:rPr>
        <w:t>（一）银行函证</w:t>
      </w:r>
    </w:p>
    <w:p w14:paraId="6B856321">
      <w:pPr>
        <w:snapToGrid w:val="0"/>
        <w:spacing w:line="360" w:lineRule="auto"/>
        <w:ind w:firstLine="0" w:firstLineChars="0"/>
        <w:jc w:val="center"/>
        <w:outlineLvl w:val="2"/>
        <w:rPr>
          <w:rFonts w:ascii="Arial" w:hAnsi="Arial" w:cs="Arial"/>
          <w:b/>
          <w:bCs/>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1894840</wp:posOffset>
                </wp:positionH>
                <wp:positionV relativeFrom="paragraph">
                  <wp:posOffset>55880</wp:posOffset>
                </wp:positionV>
                <wp:extent cx="1226185" cy="219075"/>
                <wp:effectExtent l="6350" t="6350" r="24765" b="22225"/>
                <wp:wrapNone/>
                <wp:docPr id="5" name="矩形 5"/>
                <wp:cNvGraphicFramePr/>
                <a:graphic xmlns:a="http://schemas.openxmlformats.org/drawingml/2006/main">
                  <a:graphicData uri="http://schemas.microsoft.com/office/word/2010/wordprocessingShape">
                    <wps:wsp>
                      <wps:cNvSpPr/>
                      <wps:spPr>
                        <a:xfrm>
                          <a:off x="3537585" y="4420235"/>
                          <a:ext cx="1226185" cy="21907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366DAEA7">
                            <w:pPr>
                              <w:spacing w:line="160" w:lineRule="exact"/>
                              <w:jc w:val="center"/>
                              <w:rPr>
                                <w:rFonts w:asciiTheme="minorEastAsia" w:hAnsiTheme="minorEastAsia" w:cstheme="minorEastAsia"/>
                                <w:sz w:val="15"/>
                                <w:szCs w:val="15"/>
                              </w:rPr>
                            </w:pPr>
                            <w:r>
                              <w:rPr>
                                <w:rFonts w:asciiTheme="minorEastAsia" w:hAnsiTheme="minorEastAsia" w:cstheme="minorEastAsia"/>
                                <w:sz w:val="15"/>
                                <w:szCs w:val="15"/>
                              </w:rPr>
                              <w:t>1.</w:t>
                            </w:r>
                            <w:r>
                              <w:rPr>
                                <w:rFonts w:hint="eastAsia" w:asciiTheme="minorEastAsia" w:hAnsiTheme="minorEastAsia" w:cstheme="minorEastAsia"/>
                                <w:sz w:val="15"/>
                                <w:szCs w:val="15"/>
                              </w:rPr>
                              <w:t>制定函证计划</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9.2pt;margin-top:4.4pt;height:17.25pt;width:96.55pt;z-index:251659264;v-text-anchor:middle;mso-width-relative:page;mso-height-relative:page;" filled="f" stroked="t" coordsize="21600,21600" o:gfxdata="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kL8qD2AAAAAgBAAAPAAAAAAAAAAEAIAAAACIA&#10;AABkcnMvZG93bnJldi54bWxQSwECFAAUAAAACACHTuJA97KUuHsCAADiBAAADgAAAAAAAAABACAA&#10;AAAnAQAAZHJzL2Uyb0RvYy54bWxQSwUGAAAAAAYABgBZAQAAFAYAAAAA&#10;">
                <v:fill on="f" focussize="0,0"/>
                <v:stroke weight="1pt" color="#000000 [3213]" miterlimit="8" joinstyle="miter"/>
                <v:imagedata o:title=""/>
                <o:lock v:ext="edit" aspectratio="f"/>
                <v:textbox>
                  <w:txbxContent>
                    <w:p w14:paraId="366DAEA7">
                      <w:pPr>
                        <w:spacing w:line="160" w:lineRule="exact"/>
                        <w:jc w:val="center"/>
                        <w:rPr>
                          <w:rFonts w:asciiTheme="minorEastAsia" w:hAnsiTheme="minorEastAsia" w:cstheme="minorEastAsia"/>
                          <w:sz w:val="15"/>
                          <w:szCs w:val="15"/>
                        </w:rPr>
                      </w:pPr>
                      <w:r>
                        <w:rPr>
                          <w:rFonts w:asciiTheme="minorEastAsia" w:hAnsiTheme="minorEastAsia" w:cstheme="minorEastAsia"/>
                          <w:sz w:val="15"/>
                          <w:szCs w:val="15"/>
                        </w:rPr>
                        <w:t>1.</w:t>
                      </w:r>
                      <w:r>
                        <w:rPr>
                          <w:rFonts w:hint="eastAsia" w:asciiTheme="minorEastAsia" w:hAnsiTheme="minorEastAsia" w:cstheme="minorEastAsia"/>
                          <w:sz w:val="15"/>
                          <w:szCs w:val="15"/>
                        </w:rPr>
                        <w:t>制定函证计划</w:t>
                      </w:r>
                    </w:p>
                  </w:txbxContent>
                </v:textbox>
              </v:rect>
            </w:pict>
          </mc:Fallback>
        </mc:AlternateContent>
      </w:r>
    </w:p>
    <w:p w14:paraId="03B1C40F">
      <w:pPr>
        <w:snapToGrid w:val="0"/>
        <w:spacing w:line="360" w:lineRule="auto"/>
        <w:ind w:firstLine="0" w:firstLineChars="0"/>
        <w:jc w:val="center"/>
        <w:outlineLvl w:val="2"/>
        <w:rPr>
          <w:rFonts w:ascii="Arial" w:hAnsi="Arial" w:cs="Arial"/>
          <w:b/>
          <w:bCs/>
          <w:sz w:val="24"/>
        </w:rPr>
      </w:pPr>
      <w:r>
        <w:rPr>
          <w:sz w:val="24"/>
        </w:rPr>
        <mc:AlternateContent>
          <mc:Choice Requires="wps">
            <w:drawing>
              <wp:anchor distT="0" distB="0" distL="114300" distR="114300" simplePos="0" relativeHeight="251671552" behindDoc="0" locked="0" layoutInCell="1" allowOverlap="1">
                <wp:simplePos x="0" y="0"/>
                <wp:positionH relativeFrom="column">
                  <wp:posOffset>2450465</wp:posOffset>
                </wp:positionH>
                <wp:positionV relativeFrom="paragraph">
                  <wp:posOffset>118110</wp:posOffset>
                </wp:positionV>
                <wp:extent cx="3810" cy="104775"/>
                <wp:effectExtent l="35560" t="0" r="36830" b="9525"/>
                <wp:wrapNone/>
                <wp:docPr id="31" name="直接箭头连接符 31"/>
                <wp:cNvGraphicFramePr/>
                <a:graphic xmlns:a="http://schemas.openxmlformats.org/drawingml/2006/main">
                  <a:graphicData uri="http://schemas.microsoft.com/office/word/2010/wordprocessingShape">
                    <wps:wsp>
                      <wps:cNvCnPr/>
                      <wps:spPr>
                        <a:xfrm flipH="1">
                          <a:off x="3556635" y="4601210"/>
                          <a:ext cx="3810" cy="10477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2.95pt;margin-top:9.3pt;height:8.25pt;width:0.3pt;z-index:251671552;mso-width-relative:page;mso-height-relative:page;" filled="f" stroked="t" coordsize="21600,21600" o:gfxdata="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DgvEt1QAAAAkBAAAP&#10;AAAAAAAAAAEAIAAAACIAAABkcnMvZG93bnJldi54bWxQSwECFAAUAAAACACHTuJAGsGMlBsCAAD8&#10;AwAADgAAAAAAAAABACAAAAAkAQAAZHJzL2Uyb0RvYy54bWxQSwUGAAAAAAYABgBZAQAAsQUAAAAA&#10;">
                <v:fill on="f" focussize="0,0"/>
                <v:stroke weight="1pt" color="#000000 [3213]" miterlimit="8" joinstyle="miter" endarrow="block"/>
                <v:imagedata o:title=""/>
                <o:lock v:ext="edit" aspectratio="f"/>
              </v:shape>
            </w:pict>
          </mc:Fallback>
        </mc:AlternateContent>
      </w:r>
    </w:p>
    <w:p w14:paraId="3F6F2CD2">
      <w:pPr>
        <w:snapToGrid w:val="0"/>
        <w:spacing w:line="360" w:lineRule="auto"/>
        <w:ind w:firstLine="0" w:firstLineChars="0"/>
        <w:jc w:val="center"/>
        <w:outlineLvl w:val="2"/>
        <w:rPr>
          <w:rFonts w:asciiTheme="minorEastAsia" w:hAnsiTheme="minorEastAsia" w:cstheme="minorEastAsia"/>
          <w:b/>
          <w:bCs/>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1884680</wp:posOffset>
                </wp:positionH>
                <wp:positionV relativeFrom="paragraph">
                  <wp:posOffset>12700</wp:posOffset>
                </wp:positionV>
                <wp:extent cx="1226820" cy="437515"/>
                <wp:effectExtent l="6350" t="6350" r="24130" b="13335"/>
                <wp:wrapNone/>
                <wp:docPr id="13" name="矩形 13"/>
                <wp:cNvGraphicFramePr/>
                <a:graphic xmlns:a="http://schemas.openxmlformats.org/drawingml/2006/main">
                  <a:graphicData uri="http://schemas.microsoft.com/office/word/2010/wordprocessingShape">
                    <wps:wsp>
                      <wps:cNvSpPr/>
                      <wps:spPr>
                        <a:xfrm>
                          <a:off x="0" y="0"/>
                          <a:ext cx="1226820" cy="43751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0F7E20F2">
                            <w:pPr>
                              <w:spacing w:line="180" w:lineRule="exact"/>
                              <w:jc w:val="center"/>
                              <w:rPr>
                                <w:rFonts w:asciiTheme="minorEastAsia" w:hAnsiTheme="minorEastAsia" w:cstheme="minorEastAsia"/>
                                <w:sz w:val="15"/>
                                <w:szCs w:val="18"/>
                              </w:rPr>
                            </w:pPr>
                            <w:r>
                              <w:rPr>
                                <w:rFonts w:asciiTheme="minorEastAsia" w:hAnsiTheme="minorEastAsia" w:cstheme="minorEastAsia"/>
                                <w:sz w:val="15"/>
                                <w:szCs w:val="18"/>
                              </w:rPr>
                              <w:t>2.确定实施函证程</w:t>
                            </w:r>
                            <w:r>
                              <w:rPr>
                                <w:rFonts w:hint="eastAsia" w:asciiTheme="minorEastAsia" w:hAnsiTheme="minorEastAsia" w:cstheme="minorEastAsia"/>
                                <w:sz w:val="15"/>
                                <w:szCs w:val="18"/>
                              </w:rPr>
                              <w:t>序</w:t>
                            </w:r>
                          </w:p>
                          <w:p w14:paraId="6206B66E">
                            <w:pPr>
                              <w:spacing w:line="180" w:lineRule="exact"/>
                              <w:jc w:val="center"/>
                              <w:rPr>
                                <w:rFonts w:asciiTheme="minorEastAsia" w:hAnsiTheme="minorEastAsia" w:cstheme="minorEastAsia"/>
                                <w:sz w:val="15"/>
                                <w:szCs w:val="18"/>
                              </w:rPr>
                            </w:pPr>
                            <w:r>
                              <w:rPr>
                                <w:rFonts w:hint="eastAsia" w:asciiTheme="minorEastAsia" w:hAnsiTheme="minorEastAsia" w:cstheme="minorEastAsia"/>
                                <w:sz w:val="15"/>
                                <w:szCs w:val="18"/>
                              </w:rPr>
                              <w:t>的交易或账户余额、</w:t>
                            </w:r>
                          </w:p>
                          <w:p w14:paraId="256A3450">
                            <w:pPr>
                              <w:spacing w:line="180" w:lineRule="exact"/>
                              <w:jc w:val="center"/>
                              <w:rPr>
                                <w:rFonts w:asciiTheme="minorEastAsia" w:hAnsiTheme="minorEastAsia" w:cstheme="minorEastAsia"/>
                                <w:sz w:val="15"/>
                                <w:szCs w:val="18"/>
                              </w:rPr>
                            </w:pPr>
                            <w:r>
                              <w:rPr>
                                <w:rFonts w:hint="eastAsia" w:asciiTheme="minorEastAsia" w:hAnsiTheme="minorEastAsia" w:cstheme="minorEastAsia"/>
                                <w:sz w:val="15"/>
                                <w:szCs w:val="18"/>
                              </w:rPr>
                              <w:t>特定事项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8.4pt;margin-top:1pt;height:34.45pt;width:96.6pt;z-index:251661312;v-text-anchor:middle;mso-width-relative:page;mso-height-relative:page;" filled="f" stroked="t" coordsize="21600,21600" o:gfxdata="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kdnW21gAAAAgBAAAPAAAAAAAAAAEAIAAAACIAAABkcnMvZG93bnJldi54&#10;bWxQSwECFAAUAAAACACHTuJARfuBs24CAADYBAAADgAAAAAAAAABACAAAAAlAQAAZHJzL2Uyb0Rv&#10;Yy54bWxQSwUGAAAAAAYABgBZAQAABQYAAAAA&#10;">
                <v:fill on="f" focussize="0,0"/>
                <v:stroke weight="1pt" color="#000000 [3213]" miterlimit="8" joinstyle="miter"/>
                <v:imagedata o:title=""/>
                <o:lock v:ext="edit" aspectratio="f"/>
                <v:textbox>
                  <w:txbxContent>
                    <w:p w14:paraId="0F7E20F2">
                      <w:pPr>
                        <w:spacing w:line="180" w:lineRule="exact"/>
                        <w:jc w:val="center"/>
                        <w:rPr>
                          <w:rFonts w:asciiTheme="minorEastAsia" w:hAnsiTheme="minorEastAsia" w:cstheme="minorEastAsia"/>
                          <w:sz w:val="15"/>
                          <w:szCs w:val="18"/>
                        </w:rPr>
                      </w:pPr>
                      <w:r>
                        <w:rPr>
                          <w:rFonts w:asciiTheme="minorEastAsia" w:hAnsiTheme="minorEastAsia" w:cstheme="minorEastAsia"/>
                          <w:sz w:val="15"/>
                          <w:szCs w:val="18"/>
                        </w:rPr>
                        <w:t>2.确定实施函证程</w:t>
                      </w:r>
                      <w:r>
                        <w:rPr>
                          <w:rFonts w:hint="eastAsia" w:asciiTheme="minorEastAsia" w:hAnsiTheme="minorEastAsia" w:cstheme="minorEastAsia"/>
                          <w:sz w:val="15"/>
                          <w:szCs w:val="18"/>
                        </w:rPr>
                        <w:t>序</w:t>
                      </w:r>
                    </w:p>
                    <w:p w14:paraId="6206B66E">
                      <w:pPr>
                        <w:spacing w:line="180" w:lineRule="exact"/>
                        <w:jc w:val="center"/>
                        <w:rPr>
                          <w:rFonts w:asciiTheme="minorEastAsia" w:hAnsiTheme="minorEastAsia" w:cstheme="minorEastAsia"/>
                          <w:sz w:val="15"/>
                          <w:szCs w:val="18"/>
                        </w:rPr>
                      </w:pPr>
                      <w:r>
                        <w:rPr>
                          <w:rFonts w:hint="eastAsia" w:asciiTheme="minorEastAsia" w:hAnsiTheme="minorEastAsia" w:cstheme="minorEastAsia"/>
                          <w:sz w:val="15"/>
                          <w:szCs w:val="18"/>
                        </w:rPr>
                        <w:t>的交易或账户余额、</w:t>
                      </w:r>
                    </w:p>
                    <w:p w14:paraId="256A3450">
                      <w:pPr>
                        <w:spacing w:line="180" w:lineRule="exact"/>
                        <w:jc w:val="center"/>
                        <w:rPr>
                          <w:rFonts w:asciiTheme="minorEastAsia" w:hAnsiTheme="minorEastAsia" w:cstheme="minorEastAsia"/>
                          <w:sz w:val="15"/>
                          <w:szCs w:val="18"/>
                        </w:rPr>
                      </w:pPr>
                      <w:r>
                        <w:rPr>
                          <w:rFonts w:hint="eastAsia" w:asciiTheme="minorEastAsia" w:hAnsiTheme="minorEastAsia" w:cstheme="minorEastAsia"/>
                          <w:sz w:val="15"/>
                          <w:szCs w:val="18"/>
                        </w:rPr>
                        <w:t>特定事项</w:t>
                      </w:r>
                    </w:p>
                  </w:txbxContent>
                </v:textbox>
              </v:rect>
            </w:pict>
          </mc:Fallback>
        </mc:AlternateContent>
      </w:r>
      <w:r>
        <w:rPr>
          <w:sz w:val="24"/>
        </w:rPr>
        <mc:AlternateContent>
          <mc:Choice Requires="wps">
            <w:drawing>
              <wp:anchor distT="0" distB="0" distL="114300" distR="114300" simplePos="0" relativeHeight="251685888" behindDoc="0" locked="0" layoutInCell="1" allowOverlap="1">
                <wp:simplePos x="0" y="0"/>
                <wp:positionH relativeFrom="column">
                  <wp:posOffset>3130550</wp:posOffset>
                </wp:positionH>
                <wp:positionV relativeFrom="paragraph">
                  <wp:posOffset>2146300</wp:posOffset>
                </wp:positionV>
                <wp:extent cx="1875790" cy="2109470"/>
                <wp:effectExtent l="0" t="38100" r="257810" b="24130"/>
                <wp:wrapNone/>
                <wp:docPr id="56" name="肘形连接符 56"/>
                <wp:cNvGraphicFramePr/>
                <a:graphic xmlns:a="http://schemas.openxmlformats.org/drawingml/2006/main">
                  <a:graphicData uri="http://schemas.microsoft.com/office/word/2010/wordprocessingShape">
                    <wps:wsp>
                      <wps:cNvCnPr/>
                      <wps:spPr>
                        <a:xfrm flipH="1" flipV="1">
                          <a:off x="3983990" y="7134860"/>
                          <a:ext cx="1875790" cy="2109470"/>
                        </a:xfrm>
                        <a:prstGeom prst="bentConnector3">
                          <a:avLst>
                            <a:gd name="adj1" fmla="val -12695"/>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x y;margin-left:246.5pt;margin-top:169pt;height:166.1pt;width:147.7pt;z-index:251685888;mso-width-relative:page;mso-height-relative:page;" filled="f" stroked="t" coordsize="21600,21600" o:gfxdata="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Tvr/zbAAAACwEAAA8AAAAAAAAAAQAgAAAAIgAAAGRycy9k&#10;b3ducmV2LnhtbFBLAQIUABQAAAAIAIdO4kDjnevHOAIAAC4EAAAOAAAAAAAAAAEAIAAAACoBAABk&#10;cnMvZTJvRG9jLnhtbFBLBQYAAAAABgAGAFkBAADUBQAAAAA=&#10;" adj="-2742">
                <v:fill on="f" focussize="0,0"/>
                <v:stroke weight="1pt" color="#000000 [3213]" miterlimit="8" joinstyle="miter" endarrow="block"/>
                <v:imagedata o:title=""/>
                <o:lock v:ext="edit" aspectratio="f"/>
              </v:shape>
            </w:pict>
          </mc:Fallback>
        </mc:AlternateContent>
      </w:r>
    </w:p>
    <w:p w14:paraId="2743DA7F">
      <w:pPr>
        <w:spacing w:line="240" w:lineRule="auto"/>
        <w:ind w:firstLine="0" w:firstLineChars="0"/>
        <w:outlineLvl w:val="9"/>
        <w:rPr>
          <w:rFonts w:asciiTheme="minorEastAsia" w:hAnsiTheme="minorEastAsia" w:eastAsiaTheme="minorEastAsia" w:cstheme="minorEastAsia"/>
          <w:b/>
          <w:bCs/>
          <w:sz w:val="24"/>
        </w:rPr>
      </w:pPr>
      <w:r>
        <w:rPr>
          <w:sz w:val="24"/>
        </w:rPr>
        <mc:AlternateContent>
          <mc:Choice Requires="wps">
            <w:drawing>
              <wp:anchor distT="0" distB="0" distL="114300" distR="114300" simplePos="0" relativeHeight="251688960" behindDoc="0" locked="0" layoutInCell="1" allowOverlap="1">
                <wp:simplePos x="0" y="0"/>
                <wp:positionH relativeFrom="column">
                  <wp:posOffset>2484120</wp:posOffset>
                </wp:positionH>
                <wp:positionV relativeFrom="paragraph">
                  <wp:posOffset>177800</wp:posOffset>
                </wp:positionV>
                <wp:extent cx="8255" cy="97790"/>
                <wp:effectExtent l="31750" t="635" r="36195" b="15875"/>
                <wp:wrapNone/>
                <wp:docPr id="67" name="直接箭头连接符 67"/>
                <wp:cNvGraphicFramePr/>
                <a:graphic xmlns:a="http://schemas.openxmlformats.org/drawingml/2006/main">
                  <a:graphicData uri="http://schemas.microsoft.com/office/word/2010/wordprocessingShape">
                    <wps:wsp>
                      <wps:cNvCnPr/>
                      <wps:spPr>
                        <a:xfrm flipH="1">
                          <a:off x="0" y="0"/>
                          <a:ext cx="8255" cy="9779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5.6pt;margin-top:14pt;height:7.7pt;width:0.65pt;z-index:251688960;mso-width-relative:page;mso-height-relative:page;" filled="f" stroked="t" coordsize="21600,21600" o:gfxdata="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hzDXfWAAAACQEAAA8AAAAAAAAAAQAg&#10;AAAAIgAAAGRycy9kb3ducmV2LnhtbFBLAQIUABQAAAAIAIdO4kBAqj+mEAIAAO8DAAAOAAAAAAAA&#10;AAEAIAAAACUBAABkcnMvZTJvRG9jLnhtbFBLBQYAAAAABgAGAFkBAACnBQAAAAA=&#10;">
                <v:fill on="f" focussize="0,0"/>
                <v:stroke weight="1pt" color="#000000 [3213]" miterlimit="8" joinstyle="miter" endarrow="block"/>
                <v:imagedata o:title=""/>
                <o:lock v:ext="edit" aspectratio="f"/>
              </v:shape>
            </w:pict>
          </mc:Fallback>
        </mc:AlternateContent>
      </w:r>
    </w:p>
    <w:p w14:paraId="1A2B7E10">
      <w:pPr>
        <w:snapToGrid w:val="0"/>
        <w:spacing w:line="360" w:lineRule="auto"/>
        <w:rPr>
          <w:rFonts w:asciiTheme="minorEastAsia" w:hAnsiTheme="minorEastAsia" w:eastAsiaTheme="minorEastAsia" w:cstheme="minorEastAsia"/>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1882140</wp:posOffset>
                </wp:positionH>
                <wp:positionV relativeFrom="paragraph">
                  <wp:posOffset>101600</wp:posOffset>
                </wp:positionV>
                <wp:extent cx="1226185" cy="228600"/>
                <wp:effectExtent l="6350" t="6350" r="24765" b="12700"/>
                <wp:wrapNone/>
                <wp:docPr id="17" name="矩形 17"/>
                <wp:cNvGraphicFramePr/>
                <a:graphic xmlns:a="http://schemas.openxmlformats.org/drawingml/2006/main">
                  <a:graphicData uri="http://schemas.microsoft.com/office/word/2010/wordprocessingShape">
                    <wps:wsp>
                      <wps:cNvSpPr/>
                      <wps:spPr>
                        <a:xfrm>
                          <a:off x="0" y="0"/>
                          <a:ext cx="1226185" cy="22860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04A8A8A3">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3.确定函证</w:t>
                            </w:r>
                            <w:r>
                              <w:rPr>
                                <w:rFonts w:hint="eastAsia" w:asciiTheme="minorEastAsia" w:hAnsiTheme="minorEastAsia" w:cstheme="minorEastAsia"/>
                                <w:sz w:val="15"/>
                                <w:szCs w:val="15"/>
                              </w:rPr>
                              <w:t>项目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8.2pt;margin-top:8pt;height:18pt;width:96.55pt;z-index:251662336;v-text-anchor:middle;mso-width-relative:page;mso-height-relative:page;" filled="f" stroked="t" coordsize="21600,21600" o:gfxdata="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VDqqX1wAAAAkBAAAPAAAAAAAAAAEAIAAAACIAAABkcnMvZG93bnJldi54&#10;bWxQSwECFAAUAAAACACHTuJA9J2W/W0CAADYBAAADgAAAAAAAAABACAAAAAmAQAAZHJzL2Uyb0Rv&#10;Yy54bWxQSwUGAAAAAAYABgBZAQAABQYAAAAA&#10;">
                <v:fill on="f" focussize="0,0"/>
                <v:stroke weight="1pt" color="#000000 [3213]" miterlimit="8" joinstyle="miter"/>
                <v:imagedata o:title=""/>
                <o:lock v:ext="edit" aspectratio="f"/>
                <v:textbox>
                  <w:txbxContent>
                    <w:p w14:paraId="04A8A8A3">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3.确定函证</w:t>
                      </w:r>
                      <w:r>
                        <w:rPr>
                          <w:rFonts w:hint="eastAsia" w:asciiTheme="minorEastAsia" w:hAnsiTheme="minorEastAsia" w:cstheme="minorEastAsia"/>
                          <w:sz w:val="15"/>
                          <w:szCs w:val="15"/>
                        </w:rPr>
                        <w:t>项目</w:t>
                      </w:r>
                    </w:p>
                  </w:txbxContent>
                </v:textbox>
              </v:rect>
            </w:pict>
          </mc:Fallback>
        </mc:AlternateContent>
      </w:r>
    </w:p>
    <w:p w14:paraId="661E3961">
      <w:pPr>
        <w:snapToGrid w:val="0"/>
        <w:spacing w:line="360" w:lineRule="auto"/>
        <w:ind w:firstLine="480" w:firstLineChars="200"/>
        <w:jc w:val="left"/>
        <w:outlineLvl w:val="2"/>
        <w:rPr>
          <w:rFonts w:asciiTheme="minorEastAsia" w:hAnsiTheme="minorEastAsia" w:cstheme="minorEastAsia"/>
          <w:b/>
          <w:bCs/>
          <w:sz w:val="24"/>
        </w:rPr>
      </w:pPr>
      <w:r>
        <w:rPr>
          <w:sz w:val="24"/>
        </w:rPr>
        <mc:AlternateContent>
          <mc:Choice Requires="wps">
            <w:drawing>
              <wp:anchor distT="0" distB="0" distL="114300" distR="114300" simplePos="0" relativeHeight="251672576" behindDoc="0" locked="0" layoutInCell="1" allowOverlap="1">
                <wp:simplePos x="0" y="0"/>
                <wp:positionH relativeFrom="column">
                  <wp:posOffset>2501265</wp:posOffset>
                </wp:positionH>
                <wp:positionV relativeFrom="paragraph">
                  <wp:posOffset>73025</wp:posOffset>
                </wp:positionV>
                <wp:extent cx="3810" cy="104775"/>
                <wp:effectExtent l="35560" t="0" r="36830" b="9525"/>
                <wp:wrapNone/>
                <wp:docPr id="48" name="直接箭头连接符 48"/>
                <wp:cNvGraphicFramePr/>
                <a:graphic xmlns:a="http://schemas.openxmlformats.org/drawingml/2006/main">
                  <a:graphicData uri="http://schemas.microsoft.com/office/word/2010/wordprocessingShape">
                    <wps:wsp>
                      <wps:cNvCnPr/>
                      <wps:spPr>
                        <a:xfrm flipH="1">
                          <a:off x="0" y="0"/>
                          <a:ext cx="3810" cy="10477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6.95pt;margin-top:5.75pt;height:8.25pt;width:0.3pt;z-index:251672576;mso-width-relative:page;mso-height-relative:page;" filled="f" stroked="t" coordsize="21600,21600" o:gfxdata="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QAx2L1QAAAAkBAAAPAAAAAAAAAAEAIAAA&#10;ACIAAABkcnMvZG93bnJldi54bWxQSwECFAAUAAAACACHTuJAKZ2uug8CAADwAwAADgAAAAAAAAAB&#10;ACAAAAAkAQAAZHJzL2Uyb0RvYy54bWxQSwUGAAAAAAYABgBZAQAApQUAAAAA&#10;">
                <v:fill on="f" focussize="0,0"/>
                <v:stroke weight="1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1902460</wp:posOffset>
                </wp:positionH>
                <wp:positionV relativeFrom="paragraph">
                  <wp:posOffset>174625</wp:posOffset>
                </wp:positionV>
                <wp:extent cx="1226820" cy="238125"/>
                <wp:effectExtent l="6350" t="6350" r="24130" b="22225"/>
                <wp:wrapNone/>
                <wp:docPr id="19" name="矩形 19"/>
                <wp:cNvGraphicFramePr/>
                <a:graphic xmlns:a="http://schemas.openxmlformats.org/drawingml/2006/main">
                  <a:graphicData uri="http://schemas.microsoft.com/office/word/2010/wordprocessingShape">
                    <wps:wsp>
                      <wps:cNvSpPr/>
                      <wps:spPr>
                        <a:xfrm>
                          <a:off x="0" y="0"/>
                          <a:ext cx="1226820" cy="23812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03D6577C">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4.</w:t>
                            </w:r>
                            <w:r>
                              <w:rPr>
                                <w:rFonts w:hint="eastAsia" w:asciiTheme="minorEastAsia" w:hAnsiTheme="minorEastAsia" w:cstheme="minorEastAsia"/>
                                <w:sz w:val="15"/>
                                <w:szCs w:val="15"/>
                              </w:rPr>
                              <w:t>核对被函证单位信息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9.8pt;margin-top:13.75pt;height:18.75pt;width:96.6pt;z-index:251663360;v-text-anchor:middle;mso-width-relative:page;mso-height-relative:page;" filled="f" stroked="t" coordsize="21600,21600" o:gfxdata="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1UdY1wAAAAkBAAAPAAAAAAAAAAEAIAAAACIAAABkcnMvZG93bnJldi54&#10;bWxQSwECFAAUAAAACACHTuJAlTPzDW0CAADYBAAADgAAAAAAAAABACAAAAAmAQAAZHJzL2Uyb0Rv&#10;Yy54bWxQSwUGAAAAAAYABgBZAQAABQYAAAAA&#10;">
                <v:fill on="f" focussize="0,0"/>
                <v:stroke weight="1pt" color="#000000 [3213]" miterlimit="8" joinstyle="miter"/>
                <v:imagedata o:title=""/>
                <o:lock v:ext="edit" aspectratio="f"/>
                <v:textbox>
                  <w:txbxContent>
                    <w:p w14:paraId="03D6577C">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4.</w:t>
                      </w:r>
                      <w:r>
                        <w:rPr>
                          <w:rFonts w:hint="eastAsia" w:asciiTheme="minorEastAsia" w:hAnsiTheme="minorEastAsia" w:cstheme="minorEastAsia"/>
                          <w:sz w:val="15"/>
                          <w:szCs w:val="15"/>
                        </w:rPr>
                        <w:t>核对被函证单位信息</w:t>
                      </w:r>
                    </w:p>
                  </w:txbxContent>
                </v:textbox>
              </v:rect>
            </w:pict>
          </mc:Fallback>
        </mc:AlternateContent>
      </w:r>
    </w:p>
    <w:p w14:paraId="2CBCD35C">
      <w:pPr>
        <w:snapToGrid w:val="0"/>
        <w:spacing w:line="360" w:lineRule="auto"/>
        <w:ind w:firstLine="480" w:firstLineChars="200"/>
        <w:jc w:val="left"/>
        <w:outlineLvl w:val="2"/>
        <w:rPr>
          <w:rFonts w:asciiTheme="minorEastAsia" w:hAnsiTheme="minorEastAsia" w:cstheme="minorEastAsia"/>
          <w:b/>
          <w:bCs/>
          <w:sz w:val="24"/>
        </w:rPr>
      </w:pPr>
      <w:r>
        <w:rPr>
          <w:sz w:val="24"/>
        </w:rPr>
        <mc:AlternateContent>
          <mc:Choice Requires="wps">
            <w:drawing>
              <wp:anchor distT="0" distB="0" distL="114300" distR="114300" simplePos="0" relativeHeight="251673600" behindDoc="0" locked="0" layoutInCell="1" allowOverlap="1">
                <wp:simplePos x="0" y="0"/>
                <wp:positionH relativeFrom="column">
                  <wp:posOffset>2514600</wp:posOffset>
                </wp:positionH>
                <wp:positionV relativeFrom="paragraph">
                  <wp:posOffset>141605</wp:posOffset>
                </wp:positionV>
                <wp:extent cx="3810" cy="104775"/>
                <wp:effectExtent l="35560" t="0" r="36830" b="9525"/>
                <wp:wrapNone/>
                <wp:docPr id="49" name="直接箭头连接符 49"/>
                <wp:cNvGraphicFramePr/>
                <a:graphic xmlns:a="http://schemas.openxmlformats.org/drawingml/2006/main">
                  <a:graphicData uri="http://schemas.microsoft.com/office/word/2010/wordprocessingShape">
                    <wps:wsp>
                      <wps:cNvCnPr/>
                      <wps:spPr>
                        <a:xfrm flipH="1">
                          <a:off x="0" y="0"/>
                          <a:ext cx="3810" cy="10477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8pt;margin-top:11.15pt;height:8.25pt;width:0.3pt;z-index:251673600;mso-width-relative:page;mso-height-relative:page;" filled="f" stroked="t" coordsize="21600,21600" o:gfxdata="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fyVk9UAAAAJAQAADwAAAAAAAAABACAA&#10;AAAiAAAAZHJzL2Rvd25yZXYueG1sUEsBAhQAFAAAAAgAh07iQESKipkQAgAA8AMAAA4AAAAAAAAA&#10;AQAgAAAAJAEAAGRycy9lMm9Eb2MueG1sUEsFBgAAAAAGAAYAWQEAAKYFAAAAAA==&#10;">
                <v:fill on="f" focussize="0,0"/>
                <v:stroke weight="1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1901190</wp:posOffset>
                </wp:positionH>
                <wp:positionV relativeFrom="paragraph">
                  <wp:posOffset>240665</wp:posOffset>
                </wp:positionV>
                <wp:extent cx="1237615" cy="229235"/>
                <wp:effectExtent l="6350" t="6350" r="13335" b="12065"/>
                <wp:wrapNone/>
                <wp:docPr id="20" name="矩形 20"/>
                <wp:cNvGraphicFramePr/>
                <a:graphic xmlns:a="http://schemas.openxmlformats.org/drawingml/2006/main">
                  <a:graphicData uri="http://schemas.microsoft.com/office/word/2010/wordprocessingShape">
                    <wps:wsp>
                      <wps:cNvSpPr/>
                      <wps:spPr>
                        <a:xfrm>
                          <a:off x="0" y="0"/>
                          <a:ext cx="1237615" cy="22923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2C8BE191">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5.</w:t>
                            </w:r>
                            <w:r>
                              <w:rPr>
                                <w:rFonts w:hint="eastAsia" w:asciiTheme="minorEastAsia" w:hAnsiTheme="minorEastAsia" w:cstheme="minorEastAsia"/>
                                <w:sz w:val="15"/>
                                <w:szCs w:val="15"/>
                              </w:rPr>
                              <w:t>编制询证函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9.7pt;margin-top:18.95pt;height:18.05pt;width:97.45pt;z-index:251664384;v-text-anchor:middle;mso-width-relative:page;mso-height-relative:page;" filled="f" stroked="t" coordsize="21600,21600" o:gfxdata="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HhH2QAAAAkBAAAPAAAAAAAAAAEAIAAAACIAAABkcnMvZG93bnJl&#10;di54bWxQSwECFAAUAAAACACHTuJAVgMZlG4CAADYBAAADgAAAAAAAAABACAAAAAoAQAAZHJzL2Uy&#10;b0RvYy54bWxQSwUGAAAAAAYABgBZAQAACAYAAAAA&#10;">
                <v:fill on="f" focussize="0,0"/>
                <v:stroke weight="1pt" color="#000000 [3213]" miterlimit="8" joinstyle="miter"/>
                <v:imagedata o:title=""/>
                <o:lock v:ext="edit" aspectratio="f"/>
                <v:textbox>
                  <w:txbxContent>
                    <w:p w14:paraId="2C8BE191">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5.</w:t>
                      </w:r>
                      <w:r>
                        <w:rPr>
                          <w:rFonts w:hint="eastAsia" w:asciiTheme="minorEastAsia" w:hAnsiTheme="minorEastAsia" w:cstheme="minorEastAsia"/>
                          <w:sz w:val="15"/>
                          <w:szCs w:val="15"/>
                        </w:rPr>
                        <w:t>编制询证函</w:t>
                      </w:r>
                    </w:p>
                  </w:txbxContent>
                </v:textbox>
              </v:rect>
            </w:pict>
          </mc:Fallback>
        </mc:AlternateContent>
      </w:r>
      <w:r>
        <w:rPr>
          <w:sz w:val="24"/>
        </w:rPr>
        <mc:AlternateContent>
          <mc:Choice Requires="wps">
            <w:drawing>
              <wp:anchor distT="0" distB="0" distL="114300" distR="114300" simplePos="0" relativeHeight="251712512" behindDoc="0" locked="0" layoutInCell="1" allowOverlap="1">
                <wp:simplePos x="0" y="0"/>
                <wp:positionH relativeFrom="column">
                  <wp:posOffset>-86995</wp:posOffset>
                </wp:positionH>
                <wp:positionV relativeFrom="paragraph">
                  <wp:posOffset>243205</wp:posOffset>
                </wp:positionV>
                <wp:extent cx="1532890" cy="695960"/>
                <wp:effectExtent l="6350" t="6350" r="22860" b="21590"/>
                <wp:wrapNone/>
                <wp:docPr id="199" name="流程图: 终止 199"/>
                <wp:cNvGraphicFramePr/>
                <a:graphic xmlns:a="http://schemas.openxmlformats.org/drawingml/2006/main">
                  <a:graphicData uri="http://schemas.microsoft.com/office/word/2010/wordprocessingShape">
                    <wps:wsp>
                      <wps:cNvSpPr/>
                      <wps:spPr>
                        <a:xfrm>
                          <a:off x="0" y="0"/>
                          <a:ext cx="1532890" cy="695960"/>
                        </a:xfrm>
                        <a:prstGeom prst="flowChartTerminator">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0F074528">
                            <w:pPr>
                              <w:spacing w:line="16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发函控制：</w:t>
                            </w:r>
                            <w:r>
                              <w:rPr>
                                <w:rFonts w:asciiTheme="minorEastAsia" w:hAnsiTheme="minorEastAsia" w:cstheme="minorEastAsia"/>
                                <w:sz w:val="15"/>
                                <w:szCs w:val="15"/>
                              </w:rPr>
                              <w:t>7.1邮寄方式</w:t>
                            </w:r>
                          </w:p>
                          <w:p w14:paraId="18F6F29F">
                            <w:pPr>
                              <w:spacing w:line="160" w:lineRule="exact"/>
                              <w:jc w:val="center"/>
                              <w:rPr>
                                <w:rFonts w:asciiTheme="minorEastAsia" w:hAnsiTheme="minorEastAsia" w:cstheme="minorEastAsia"/>
                                <w:sz w:val="15"/>
                                <w:szCs w:val="15"/>
                              </w:rPr>
                            </w:pPr>
                            <w:r>
                              <w:rPr>
                                <w:rFonts w:asciiTheme="minorEastAsia" w:hAnsiTheme="minorEastAsia" w:cstheme="minorEastAsia"/>
                                <w:sz w:val="15"/>
                                <w:szCs w:val="15"/>
                              </w:rPr>
                              <w:t>7.2跟函方式</w:t>
                            </w:r>
                          </w:p>
                          <w:p w14:paraId="06FE368F">
                            <w:pPr>
                              <w:spacing w:line="160" w:lineRule="exact"/>
                              <w:jc w:val="center"/>
                              <w:rPr>
                                <w:rFonts w:asciiTheme="minorEastAsia" w:hAnsiTheme="minorEastAsia" w:cstheme="minorEastAsia"/>
                                <w:sz w:val="15"/>
                                <w:szCs w:val="15"/>
                              </w:rPr>
                            </w:pPr>
                            <w:r>
                              <w:rPr>
                                <w:rFonts w:asciiTheme="minorEastAsia" w:hAnsiTheme="minorEastAsia" w:cstheme="minorEastAsia"/>
                                <w:sz w:val="15"/>
                                <w:szCs w:val="15"/>
                              </w:rPr>
                              <w:t>7.3电子询证函平台</w:t>
                            </w:r>
                          </w:p>
                          <w:p w14:paraId="1B6313DE">
                            <w:pPr>
                              <w:spacing w:line="160" w:lineRule="exact"/>
                              <w:jc w:val="center"/>
                              <w:rPr>
                                <w:rFonts w:asciiTheme="minorEastAsia" w:hAnsiTheme="minorEastAsia" w:cstheme="minorEastAsia"/>
                                <w:sz w:val="15"/>
                                <w:szCs w:val="15"/>
                              </w:rPr>
                            </w:pPr>
                            <w:r>
                              <w:rPr>
                                <w:rFonts w:asciiTheme="minorEastAsia" w:hAnsiTheme="minorEastAsia" w:cstheme="minorEastAsia"/>
                                <w:sz w:val="15"/>
                                <w:szCs w:val="15"/>
                              </w:rPr>
                              <w:t>7.4其他电子形式</w:t>
                            </w:r>
                          </w:p>
                          <w:p w14:paraId="7002423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6.85pt;margin-top:19.15pt;height:54.8pt;width:120.7pt;z-index:251712512;v-text-anchor:middle;mso-width-relative:page;mso-height-relative:page;" filled="f" stroked="t" coordsize="21600,21600" o:gfxdata="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gJ5E1wAAAAoB&#10;AAAPAAAAAAAAAAEAIAAAACIAAABkcnMvZG93bnJldi54bWxQSwECFAAUAAAACACHTuJAZnxmHY4C&#10;AAD0BAAADgAAAAAAAAABACAAAAAmAQAAZHJzL2Uyb0RvYy54bWxQSwUGAAAAAAYABgBZAQAAJgYA&#10;AAAA&#10;">
                <v:fill on="f" focussize="0,0"/>
                <v:stroke weight="1pt" color="#000000 [3213]" miterlimit="8" joinstyle="miter"/>
                <v:imagedata o:title=""/>
                <o:lock v:ext="edit" aspectratio="f"/>
                <v:textbox>
                  <w:txbxContent>
                    <w:p w14:paraId="0F074528">
                      <w:pPr>
                        <w:spacing w:line="16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发函控制：</w:t>
                      </w:r>
                      <w:r>
                        <w:rPr>
                          <w:rFonts w:asciiTheme="minorEastAsia" w:hAnsiTheme="minorEastAsia" w:cstheme="minorEastAsia"/>
                          <w:sz w:val="15"/>
                          <w:szCs w:val="15"/>
                        </w:rPr>
                        <w:t>7.1邮寄方式</w:t>
                      </w:r>
                    </w:p>
                    <w:p w14:paraId="18F6F29F">
                      <w:pPr>
                        <w:spacing w:line="160" w:lineRule="exact"/>
                        <w:jc w:val="center"/>
                        <w:rPr>
                          <w:rFonts w:asciiTheme="minorEastAsia" w:hAnsiTheme="minorEastAsia" w:cstheme="minorEastAsia"/>
                          <w:sz w:val="15"/>
                          <w:szCs w:val="15"/>
                        </w:rPr>
                      </w:pPr>
                      <w:r>
                        <w:rPr>
                          <w:rFonts w:asciiTheme="minorEastAsia" w:hAnsiTheme="minorEastAsia" w:cstheme="minorEastAsia"/>
                          <w:sz w:val="15"/>
                          <w:szCs w:val="15"/>
                        </w:rPr>
                        <w:t>7.2跟函方式</w:t>
                      </w:r>
                    </w:p>
                    <w:p w14:paraId="06FE368F">
                      <w:pPr>
                        <w:spacing w:line="160" w:lineRule="exact"/>
                        <w:jc w:val="center"/>
                        <w:rPr>
                          <w:rFonts w:asciiTheme="minorEastAsia" w:hAnsiTheme="minorEastAsia" w:cstheme="minorEastAsia"/>
                          <w:sz w:val="15"/>
                          <w:szCs w:val="15"/>
                        </w:rPr>
                      </w:pPr>
                      <w:r>
                        <w:rPr>
                          <w:rFonts w:asciiTheme="minorEastAsia" w:hAnsiTheme="minorEastAsia" w:cstheme="minorEastAsia"/>
                          <w:sz w:val="15"/>
                          <w:szCs w:val="15"/>
                        </w:rPr>
                        <w:t>7.3电子询证函平台</w:t>
                      </w:r>
                    </w:p>
                    <w:p w14:paraId="1B6313DE">
                      <w:pPr>
                        <w:spacing w:line="160" w:lineRule="exact"/>
                        <w:jc w:val="center"/>
                        <w:rPr>
                          <w:rFonts w:asciiTheme="minorEastAsia" w:hAnsiTheme="minorEastAsia" w:cstheme="minorEastAsia"/>
                          <w:sz w:val="15"/>
                          <w:szCs w:val="15"/>
                        </w:rPr>
                      </w:pPr>
                      <w:r>
                        <w:rPr>
                          <w:rFonts w:asciiTheme="minorEastAsia" w:hAnsiTheme="minorEastAsia" w:cstheme="minorEastAsia"/>
                          <w:sz w:val="15"/>
                          <w:szCs w:val="15"/>
                        </w:rPr>
                        <w:t>7.4其他电子形式</w:t>
                      </w:r>
                    </w:p>
                    <w:p w14:paraId="70024238">
                      <w:pPr>
                        <w:jc w:val="center"/>
                      </w:pPr>
                    </w:p>
                  </w:txbxContent>
                </v:textbox>
              </v:shape>
            </w:pict>
          </mc:Fallback>
        </mc:AlternateContent>
      </w:r>
    </w:p>
    <w:p w14:paraId="7C86EB71">
      <w:pPr>
        <w:snapToGrid w:val="0"/>
        <w:spacing w:line="360" w:lineRule="auto"/>
        <w:ind w:firstLine="480" w:firstLineChars="200"/>
        <w:jc w:val="left"/>
        <w:outlineLvl w:val="2"/>
        <w:rPr>
          <w:rFonts w:asciiTheme="minorEastAsia" w:hAnsiTheme="minorEastAsia" w:cstheme="minorEastAsia"/>
          <w:b/>
          <w:bCs/>
          <w:sz w:val="24"/>
        </w:rPr>
      </w:pPr>
      <w:r>
        <w:rPr>
          <w:sz w:val="24"/>
        </w:rPr>
        <mc:AlternateContent>
          <mc:Choice Requires="wps">
            <w:drawing>
              <wp:anchor distT="0" distB="0" distL="114300" distR="114300" simplePos="0" relativeHeight="251674624" behindDoc="0" locked="0" layoutInCell="1" allowOverlap="1">
                <wp:simplePos x="0" y="0"/>
                <wp:positionH relativeFrom="column">
                  <wp:posOffset>2524125</wp:posOffset>
                </wp:positionH>
                <wp:positionV relativeFrom="paragraph">
                  <wp:posOffset>188595</wp:posOffset>
                </wp:positionV>
                <wp:extent cx="3810" cy="104775"/>
                <wp:effectExtent l="35560" t="0" r="36830" b="9525"/>
                <wp:wrapNone/>
                <wp:docPr id="50" name="直接箭头连接符 50"/>
                <wp:cNvGraphicFramePr/>
                <a:graphic xmlns:a="http://schemas.openxmlformats.org/drawingml/2006/main">
                  <a:graphicData uri="http://schemas.microsoft.com/office/word/2010/wordprocessingShape">
                    <wps:wsp>
                      <wps:cNvCnPr/>
                      <wps:spPr>
                        <a:xfrm flipH="1">
                          <a:off x="0" y="0"/>
                          <a:ext cx="3810" cy="10477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8.75pt;margin-top:14.85pt;height:8.25pt;width:0.3pt;z-index:251674624;mso-width-relative:page;mso-height-relative:page;" filled="f" stroked="t" coordsize="21600,21600" o:gfxdata="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bHQ29YAAAAJAQAADwAAAAAAAAABACAA&#10;AAAiAAAAZHJzL2Rvd25yZXYueG1sUEsBAhQAFAAAAAgAh07iQPIZ30sPAgAA8AMAAA4AAAAAAAAA&#10;AQAgAAAAJQEAAGRycy9lMm9Eb2MueG1sUEsFBgAAAAAGAAYAWQEAAKYFAAAAAA==&#10;">
                <v:fill on="f" focussize="0,0"/>
                <v:stroke weight="1pt" color="#000000 [3213]" miterlimit="8" joinstyle="miter" endarrow="block"/>
                <v:imagedata o:title=""/>
                <o:lock v:ext="edit" aspectratio="f"/>
              </v:shape>
            </w:pict>
          </mc:Fallback>
        </mc:AlternateContent>
      </w:r>
    </w:p>
    <w:p w14:paraId="54BAF435">
      <w:pPr>
        <w:snapToGrid w:val="0"/>
        <w:spacing w:line="360" w:lineRule="auto"/>
        <w:ind w:firstLine="480" w:firstLineChars="200"/>
        <w:jc w:val="left"/>
        <w:outlineLvl w:val="2"/>
        <w:rPr>
          <w:rFonts w:asciiTheme="minorEastAsia" w:hAnsiTheme="minorEastAsia" w:cstheme="minorEastAsia"/>
          <w:b/>
          <w:bCs/>
          <w:sz w:val="24"/>
        </w:rPr>
      </w:pPr>
      <w:r>
        <w:rPr>
          <w:sz w:val="24"/>
        </w:rPr>
        <mc:AlternateContent>
          <mc:Choice Requires="wps">
            <w:drawing>
              <wp:anchor distT="0" distB="0" distL="114300" distR="114300" simplePos="0" relativeHeight="251675648" behindDoc="0" locked="0" layoutInCell="1" allowOverlap="1">
                <wp:simplePos x="0" y="0"/>
                <wp:positionH relativeFrom="column">
                  <wp:posOffset>2534920</wp:posOffset>
                </wp:positionH>
                <wp:positionV relativeFrom="paragraph">
                  <wp:posOffset>245110</wp:posOffset>
                </wp:positionV>
                <wp:extent cx="3810" cy="104775"/>
                <wp:effectExtent l="35560" t="0" r="36830" b="9525"/>
                <wp:wrapNone/>
                <wp:docPr id="51" name="直接箭头连接符 51"/>
                <wp:cNvGraphicFramePr/>
                <a:graphic xmlns:a="http://schemas.openxmlformats.org/drawingml/2006/main">
                  <a:graphicData uri="http://schemas.microsoft.com/office/word/2010/wordprocessingShape">
                    <wps:wsp>
                      <wps:cNvCnPr/>
                      <wps:spPr>
                        <a:xfrm flipH="1">
                          <a:off x="0" y="0"/>
                          <a:ext cx="3810" cy="10477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9.6pt;margin-top:19.3pt;height:8.25pt;width:0.3pt;z-index:251675648;mso-width-relative:page;mso-height-relative:page;" filled="f" stroked="t" coordsize="21600,21600" o:gfxdata="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fLuyNUAAAAJAQAADwAAAAAAAAABACAA&#10;AAAiAAAAZHJzL2Rvd25yZXYueG1sUEsBAhQAFAAAAAgAh07iQJ8O+2gQAgAA8AMAAA4AAAAAAAAA&#10;AQAgAAAAJAEAAGRycy9lMm9Eb2MueG1sUEsFBgAAAAAGAAYAWQEAAKYFAAAAAA==&#10;">
                <v:fill on="f" focussize="0,0"/>
                <v:stroke weight="1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1891665</wp:posOffset>
                </wp:positionH>
                <wp:positionV relativeFrom="paragraph">
                  <wp:posOffset>1905</wp:posOffset>
                </wp:positionV>
                <wp:extent cx="1245235" cy="228600"/>
                <wp:effectExtent l="6350" t="6350" r="24765" b="12700"/>
                <wp:wrapNone/>
                <wp:docPr id="21" name="矩形 21"/>
                <wp:cNvGraphicFramePr/>
                <a:graphic xmlns:a="http://schemas.openxmlformats.org/drawingml/2006/main">
                  <a:graphicData uri="http://schemas.microsoft.com/office/word/2010/wordprocessingShape">
                    <wps:wsp>
                      <wps:cNvSpPr/>
                      <wps:spPr>
                        <a:xfrm>
                          <a:off x="0" y="0"/>
                          <a:ext cx="1245235" cy="22860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2D3BD6FC">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6.</w:t>
                            </w:r>
                            <w:r>
                              <w:rPr>
                                <w:rFonts w:hint="eastAsia" w:asciiTheme="minorEastAsia" w:hAnsiTheme="minorEastAsia" w:cstheme="minorEastAsia"/>
                                <w:sz w:val="15"/>
                                <w:szCs w:val="15"/>
                              </w:rPr>
                              <w:t>打印询证函并盖章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8.95pt;margin-top:0.15pt;height:18pt;width:98.05pt;z-index:251665408;v-text-anchor:middle;mso-width-relative:page;mso-height-relative:page;" filled="f" stroked="t" coordsize="21600,21600" o:gfxdata="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NuiY2TWAAAABwEAAA8AAAAAAAAAAQAgAAAAIgAAAGRycy9kb3ducmV2Lnht&#10;bFBLAQIUABQAAAAIAIdO4kDtq6babQIAANgEAAAOAAAAAAAAAAEAIAAAACUBAABkcnMvZTJvRG9j&#10;LnhtbFBLBQYAAAAABgAGAFkBAAAEBgAAAAA=&#10;">
                <v:fill on="f" focussize="0,0"/>
                <v:stroke weight="1pt" color="#000000 [3213]" miterlimit="8" joinstyle="miter"/>
                <v:imagedata o:title=""/>
                <o:lock v:ext="edit" aspectratio="f"/>
                <v:textbox>
                  <w:txbxContent>
                    <w:p w14:paraId="2D3BD6FC">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6.</w:t>
                      </w:r>
                      <w:r>
                        <w:rPr>
                          <w:rFonts w:hint="eastAsia" w:asciiTheme="minorEastAsia" w:hAnsiTheme="minorEastAsia" w:cstheme="minorEastAsia"/>
                          <w:sz w:val="15"/>
                          <w:szCs w:val="15"/>
                        </w:rPr>
                        <w:t>打印询证函并盖章</w:t>
                      </w:r>
                    </w:p>
                  </w:txbxContent>
                </v:textbox>
              </v:rect>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column">
                  <wp:posOffset>1411605</wp:posOffset>
                </wp:positionH>
                <wp:positionV relativeFrom="paragraph">
                  <wp:posOffset>193675</wp:posOffset>
                </wp:positionV>
                <wp:extent cx="462915" cy="0"/>
                <wp:effectExtent l="0" t="38100" r="13335" b="38100"/>
                <wp:wrapNone/>
                <wp:docPr id="24" name="直接箭头连接符 24"/>
                <wp:cNvGraphicFramePr/>
                <a:graphic xmlns:a="http://schemas.openxmlformats.org/drawingml/2006/main">
                  <a:graphicData uri="http://schemas.microsoft.com/office/word/2010/wordprocessingShape">
                    <wps:wsp>
                      <wps:cNvCnPr/>
                      <wps:spPr>
                        <a:xfrm flipH="1">
                          <a:off x="2903855" y="7611110"/>
                          <a:ext cx="462915" cy="0"/>
                        </a:xfrm>
                        <a:prstGeom prst="straightConnector1">
                          <a:avLst/>
                        </a:prstGeom>
                        <a:ln>
                          <a:solidFill>
                            <a:schemeClr val="tx1"/>
                          </a:solidFill>
                          <a:prstDash val="sysDash"/>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11.15pt;margin-top:15.25pt;height:0pt;width:36.45pt;z-index:251667456;mso-width-relative:page;mso-height-relative:page;" filled="f" stroked="t" coordsize="21600,21600" o:gfxdata="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Zl+NC1gAAAAkB&#10;AAAPAAAAAAAAAAEAIAAAACIAAABkcnMvZG93bnJldi54bWxQSwECFAAUAAAACACHTuJAyTzfjx0C&#10;AAD7AwAADgAAAAAAAAABACAAAAAlAQAAZHJzL2Uyb0RvYy54bWxQSwUGAAAAAAYABgBZAQAAtAUA&#10;AAAA&#10;">
                <v:fill on="f" focussize="0,0"/>
                <v:stroke weight="1pt" color="#000000 [3213]" miterlimit="8" joinstyle="miter" dashstyle="3 1" endarrow="block"/>
                <v:imagedata o:title=""/>
                <o:lock v:ext="edit" aspectratio="f"/>
              </v:shape>
            </w:pict>
          </mc:Fallback>
        </mc:AlternateContent>
      </w:r>
    </w:p>
    <w:p w14:paraId="35FA6DF8">
      <w:pPr>
        <w:snapToGrid w:val="0"/>
        <w:spacing w:line="360" w:lineRule="auto"/>
        <w:ind w:firstLine="480" w:firstLineChars="200"/>
        <w:jc w:val="left"/>
        <w:outlineLvl w:val="2"/>
        <w:rPr>
          <w:rFonts w:asciiTheme="minorEastAsia" w:hAnsiTheme="minorEastAsia" w:cstheme="minorEastAsia"/>
          <w:b/>
          <w:bCs/>
          <w:sz w:val="24"/>
        </w:rPr>
      </w:pPr>
      <w:r>
        <w:rPr>
          <w:sz w:val="24"/>
        </w:rPr>
        <mc:AlternateContent>
          <mc:Choice Requires="wps">
            <w:drawing>
              <wp:anchor distT="0" distB="0" distL="114300" distR="114300" simplePos="0" relativeHeight="251666432" behindDoc="0" locked="0" layoutInCell="1" allowOverlap="1">
                <wp:simplePos x="0" y="0"/>
                <wp:positionH relativeFrom="column">
                  <wp:posOffset>1884045</wp:posOffset>
                </wp:positionH>
                <wp:positionV relativeFrom="paragraph">
                  <wp:posOffset>59690</wp:posOffset>
                </wp:positionV>
                <wp:extent cx="1246505" cy="219075"/>
                <wp:effectExtent l="6350" t="6350" r="23495" b="22225"/>
                <wp:wrapNone/>
                <wp:docPr id="22" name="矩形 22"/>
                <wp:cNvGraphicFramePr/>
                <a:graphic xmlns:a="http://schemas.openxmlformats.org/drawingml/2006/main">
                  <a:graphicData uri="http://schemas.microsoft.com/office/word/2010/wordprocessingShape">
                    <wps:wsp>
                      <wps:cNvSpPr/>
                      <wps:spPr>
                        <a:xfrm>
                          <a:off x="0" y="0"/>
                          <a:ext cx="1246505" cy="21907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5CB4BABB">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7.</w:t>
                            </w:r>
                            <w:r>
                              <w:rPr>
                                <w:rFonts w:hint="eastAsia" w:asciiTheme="minorEastAsia" w:hAnsiTheme="minorEastAsia" w:cstheme="minorEastAsia"/>
                                <w:sz w:val="15"/>
                                <w:szCs w:val="15"/>
                              </w:rPr>
                              <w:t>发出询证函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8.35pt;margin-top:4.7pt;height:17.25pt;width:98.15pt;z-index:251666432;v-text-anchor:middle;mso-width-relative:page;mso-height-relative:page;" filled="f" stroked="t" coordsize="21600,21600" o:gfxdata="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YD42F2AAAAAgBAAAPAAAAAAAAAAEAIAAAACIAAABkcnMvZG93bnJl&#10;di54bWxQSwECFAAUAAAACACHTuJAEaffR28CAADYBAAADgAAAAAAAAABACAAAAAnAQAAZHJzL2Uy&#10;b0RvYy54bWxQSwUGAAAAAAYABgBZAQAACAYAAAAA&#10;">
                <v:fill on="f" focussize="0,0"/>
                <v:stroke weight="1pt" color="#000000 [3213]" miterlimit="8" joinstyle="miter"/>
                <v:imagedata o:title=""/>
                <o:lock v:ext="edit" aspectratio="f"/>
                <v:textbox>
                  <w:txbxContent>
                    <w:p w14:paraId="5CB4BABB">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7.</w:t>
                      </w:r>
                      <w:r>
                        <w:rPr>
                          <w:rFonts w:hint="eastAsia" w:asciiTheme="minorEastAsia" w:hAnsiTheme="minorEastAsia" w:cstheme="minorEastAsia"/>
                          <w:sz w:val="15"/>
                          <w:szCs w:val="15"/>
                        </w:rPr>
                        <w:t>发出询证函</w:t>
                      </w:r>
                    </w:p>
                  </w:txbxContent>
                </v:textbox>
              </v:rect>
            </w:pict>
          </mc:Fallback>
        </mc:AlternateContent>
      </w:r>
      <w:r>
        <w:rPr>
          <w:sz w:val="24"/>
        </w:rPr>
        <mc:AlternateContent>
          <mc:Choice Requires="wps">
            <w:drawing>
              <wp:anchor distT="0" distB="0" distL="114300" distR="114300" simplePos="0" relativeHeight="251713536" behindDoc="0" locked="0" layoutInCell="1" allowOverlap="1">
                <wp:simplePos x="0" y="0"/>
                <wp:positionH relativeFrom="column">
                  <wp:posOffset>-96520</wp:posOffset>
                </wp:positionH>
                <wp:positionV relativeFrom="paragraph">
                  <wp:posOffset>106045</wp:posOffset>
                </wp:positionV>
                <wp:extent cx="1532890" cy="724535"/>
                <wp:effectExtent l="6350" t="6350" r="22860" b="12065"/>
                <wp:wrapNone/>
                <wp:docPr id="201" name="流程图: 终止 201"/>
                <wp:cNvGraphicFramePr/>
                <a:graphic xmlns:a="http://schemas.openxmlformats.org/drawingml/2006/main">
                  <a:graphicData uri="http://schemas.microsoft.com/office/word/2010/wordprocessingShape">
                    <wps:wsp>
                      <wps:cNvSpPr/>
                      <wps:spPr>
                        <a:xfrm>
                          <a:off x="0" y="0"/>
                          <a:ext cx="1532890" cy="724535"/>
                        </a:xfrm>
                        <a:prstGeom prst="flowChartTerminator">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670F177F">
                            <w:pPr>
                              <w:spacing w:line="16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回函控制：</w:t>
                            </w:r>
                            <w:r>
                              <w:rPr>
                                <w:rFonts w:asciiTheme="minorEastAsia" w:hAnsiTheme="minorEastAsia" w:cstheme="minorEastAsia"/>
                                <w:sz w:val="15"/>
                                <w:szCs w:val="15"/>
                              </w:rPr>
                              <w:t>8.1邮寄方式</w:t>
                            </w:r>
                          </w:p>
                          <w:p w14:paraId="436F03BE">
                            <w:pPr>
                              <w:spacing w:line="160" w:lineRule="exact"/>
                              <w:jc w:val="center"/>
                              <w:rPr>
                                <w:rFonts w:asciiTheme="minorEastAsia" w:hAnsiTheme="minorEastAsia" w:cstheme="minorEastAsia"/>
                                <w:sz w:val="15"/>
                                <w:szCs w:val="15"/>
                              </w:rPr>
                            </w:pPr>
                            <w:r>
                              <w:rPr>
                                <w:rFonts w:asciiTheme="minorEastAsia" w:hAnsiTheme="minorEastAsia" w:cstheme="minorEastAsia"/>
                                <w:sz w:val="15"/>
                                <w:szCs w:val="15"/>
                              </w:rPr>
                              <w:t>8.2跟函方式</w:t>
                            </w:r>
                          </w:p>
                          <w:p w14:paraId="43683A25">
                            <w:pPr>
                              <w:spacing w:line="160" w:lineRule="exact"/>
                              <w:jc w:val="center"/>
                              <w:rPr>
                                <w:rFonts w:asciiTheme="minorEastAsia" w:hAnsiTheme="minorEastAsia" w:cstheme="minorEastAsia"/>
                                <w:sz w:val="15"/>
                                <w:szCs w:val="15"/>
                              </w:rPr>
                            </w:pPr>
                            <w:r>
                              <w:rPr>
                                <w:rFonts w:asciiTheme="minorEastAsia" w:hAnsiTheme="minorEastAsia" w:cstheme="minorEastAsia"/>
                                <w:sz w:val="15"/>
                                <w:szCs w:val="15"/>
                              </w:rPr>
                              <w:t>8.3电子询证函平台</w:t>
                            </w:r>
                          </w:p>
                          <w:p w14:paraId="46F9228A">
                            <w:pPr>
                              <w:spacing w:line="160" w:lineRule="exact"/>
                              <w:jc w:val="center"/>
                              <w:rPr>
                                <w:rFonts w:asciiTheme="minorEastAsia" w:hAnsiTheme="minorEastAsia" w:cstheme="minorEastAsia"/>
                                <w:sz w:val="15"/>
                                <w:szCs w:val="15"/>
                              </w:rPr>
                            </w:pPr>
                            <w:r>
                              <w:rPr>
                                <w:rFonts w:asciiTheme="minorEastAsia" w:hAnsiTheme="minorEastAsia" w:cstheme="minorEastAsia"/>
                                <w:sz w:val="15"/>
                                <w:szCs w:val="15"/>
                              </w:rPr>
                              <w:t>8.4其他电子形式</w:t>
                            </w:r>
                          </w:p>
                          <w:p w14:paraId="6431226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7.6pt;margin-top:8.35pt;height:57.05pt;width:120.7pt;z-index:251713536;v-text-anchor:middle;mso-width-relative:page;mso-height-relative:page;" filled="f" stroked="t" coordsize="21600,21600" o:gfxdata="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ECX0zvWAAAACgEAAA8A&#10;AAAAAAAAAQAgAAAAIgAAAGRycy9kb3ducmV2LnhtbFBLAQIUABQAAAAIAIdO4kB5AorxiwIAAPQE&#10;AAAOAAAAAAAAAAEAIAAAACUBAABkcnMvZTJvRG9jLnhtbFBLBQYAAAAABgAGAFkBAAAiBgAAAAA=&#10;">
                <v:fill on="f" focussize="0,0"/>
                <v:stroke weight="1pt" color="#000000 [3213]" miterlimit="8" joinstyle="miter"/>
                <v:imagedata o:title=""/>
                <o:lock v:ext="edit" aspectratio="f"/>
                <v:textbox>
                  <w:txbxContent>
                    <w:p w14:paraId="670F177F">
                      <w:pPr>
                        <w:spacing w:line="16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回函控制：</w:t>
                      </w:r>
                      <w:r>
                        <w:rPr>
                          <w:rFonts w:asciiTheme="minorEastAsia" w:hAnsiTheme="minorEastAsia" w:cstheme="minorEastAsia"/>
                          <w:sz w:val="15"/>
                          <w:szCs w:val="15"/>
                        </w:rPr>
                        <w:t>8.1邮寄方式</w:t>
                      </w:r>
                    </w:p>
                    <w:p w14:paraId="436F03BE">
                      <w:pPr>
                        <w:spacing w:line="160" w:lineRule="exact"/>
                        <w:jc w:val="center"/>
                        <w:rPr>
                          <w:rFonts w:asciiTheme="minorEastAsia" w:hAnsiTheme="minorEastAsia" w:cstheme="minorEastAsia"/>
                          <w:sz w:val="15"/>
                          <w:szCs w:val="15"/>
                        </w:rPr>
                      </w:pPr>
                      <w:r>
                        <w:rPr>
                          <w:rFonts w:asciiTheme="minorEastAsia" w:hAnsiTheme="minorEastAsia" w:cstheme="minorEastAsia"/>
                          <w:sz w:val="15"/>
                          <w:szCs w:val="15"/>
                        </w:rPr>
                        <w:t>8.2跟函方式</w:t>
                      </w:r>
                    </w:p>
                    <w:p w14:paraId="43683A25">
                      <w:pPr>
                        <w:spacing w:line="160" w:lineRule="exact"/>
                        <w:jc w:val="center"/>
                        <w:rPr>
                          <w:rFonts w:asciiTheme="minorEastAsia" w:hAnsiTheme="minorEastAsia" w:cstheme="minorEastAsia"/>
                          <w:sz w:val="15"/>
                          <w:szCs w:val="15"/>
                        </w:rPr>
                      </w:pPr>
                      <w:r>
                        <w:rPr>
                          <w:rFonts w:asciiTheme="minorEastAsia" w:hAnsiTheme="minorEastAsia" w:cstheme="minorEastAsia"/>
                          <w:sz w:val="15"/>
                          <w:szCs w:val="15"/>
                        </w:rPr>
                        <w:t>8.3电子询证函平台</w:t>
                      </w:r>
                    </w:p>
                    <w:p w14:paraId="46F9228A">
                      <w:pPr>
                        <w:spacing w:line="160" w:lineRule="exact"/>
                        <w:jc w:val="center"/>
                        <w:rPr>
                          <w:rFonts w:asciiTheme="minorEastAsia" w:hAnsiTheme="minorEastAsia" w:cstheme="minorEastAsia"/>
                          <w:sz w:val="15"/>
                          <w:szCs w:val="15"/>
                        </w:rPr>
                      </w:pPr>
                      <w:r>
                        <w:rPr>
                          <w:rFonts w:asciiTheme="minorEastAsia" w:hAnsiTheme="minorEastAsia" w:cstheme="minorEastAsia"/>
                          <w:sz w:val="15"/>
                          <w:szCs w:val="15"/>
                        </w:rPr>
                        <w:t>8.4其他电子形式</w:t>
                      </w:r>
                    </w:p>
                    <w:p w14:paraId="64312262">
                      <w:pPr>
                        <w:jc w:val="center"/>
                      </w:pPr>
                    </w:p>
                  </w:txbxContent>
                </v:textbox>
              </v:shape>
            </w:pict>
          </mc:Fallback>
        </mc:AlternateContent>
      </w:r>
    </w:p>
    <w:p w14:paraId="64225D6D">
      <w:pPr>
        <w:snapToGrid w:val="0"/>
        <w:spacing w:line="360" w:lineRule="auto"/>
        <w:ind w:firstLine="480" w:firstLineChars="200"/>
        <w:jc w:val="left"/>
        <w:outlineLvl w:val="2"/>
        <w:rPr>
          <w:rFonts w:asciiTheme="minorEastAsia" w:hAnsiTheme="minorEastAsia" w:cstheme="minorEastAsia"/>
          <w:b/>
          <w:bCs/>
          <w:sz w:val="24"/>
        </w:rPr>
      </w:pPr>
      <w:r>
        <w:rPr>
          <w:sz w:val="24"/>
        </w:rPr>
        <mc:AlternateContent>
          <mc:Choice Requires="wps">
            <w:drawing>
              <wp:anchor distT="0" distB="0" distL="114300" distR="114300" simplePos="0" relativeHeight="251676672" behindDoc="0" locked="0" layoutInCell="1" allowOverlap="1">
                <wp:simplePos x="0" y="0"/>
                <wp:positionH relativeFrom="column">
                  <wp:posOffset>2486660</wp:posOffset>
                </wp:positionH>
                <wp:positionV relativeFrom="paragraph">
                  <wp:posOffset>22225</wp:posOffset>
                </wp:positionV>
                <wp:extent cx="3810" cy="104775"/>
                <wp:effectExtent l="35560" t="0" r="36830" b="9525"/>
                <wp:wrapNone/>
                <wp:docPr id="52" name="直接箭头连接符 52"/>
                <wp:cNvGraphicFramePr/>
                <a:graphic xmlns:a="http://schemas.openxmlformats.org/drawingml/2006/main">
                  <a:graphicData uri="http://schemas.microsoft.com/office/word/2010/wordprocessingShape">
                    <wps:wsp>
                      <wps:cNvCnPr/>
                      <wps:spPr>
                        <a:xfrm flipH="1">
                          <a:off x="0" y="0"/>
                          <a:ext cx="3810" cy="10477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5.8pt;margin-top:1.75pt;height:8.25pt;width:0.3pt;z-index:251676672;mso-width-relative:page;mso-height-relative:page;" filled="f" stroked="t" coordsize="21600,21600" o:gfxdata="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TVuVc1AAAAAgBAAAPAAAAAAAAAAEAIAAA&#10;ACIAAABkcnMvZG93bnJldi54bWxQSwECFAAUAAAACACHTuJAKDeXDRACAADwAwAADgAAAAAAAAAB&#10;ACAAAAAjAQAAZHJzL2Uyb0RvYy54bWxQSwUGAAAAAAYABgBZAQAApQUAAAAA&#10;">
                <v:fill on="f" focussize="0,0"/>
                <v:stroke weight="1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68480" behindDoc="0" locked="0" layoutInCell="1" allowOverlap="1">
                <wp:simplePos x="0" y="0"/>
                <wp:positionH relativeFrom="column">
                  <wp:posOffset>1894205</wp:posOffset>
                </wp:positionH>
                <wp:positionV relativeFrom="paragraph">
                  <wp:posOffset>131445</wp:posOffset>
                </wp:positionV>
                <wp:extent cx="1235710" cy="323850"/>
                <wp:effectExtent l="6350" t="6350" r="15240" b="12700"/>
                <wp:wrapNone/>
                <wp:docPr id="26" name="矩形 26"/>
                <wp:cNvGraphicFramePr/>
                <a:graphic xmlns:a="http://schemas.openxmlformats.org/drawingml/2006/main">
                  <a:graphicData uri="http://schemas.microsoft.com/office/word/2010/wordprocessingShape">
                    <wps:wsp>
                      <wps:cNvSpPr/>
                      <wps:spPr>
                        <a:xfrm>
                          <a:off x="0" y="0"/>
                          <a:ext cx="1235710" cy="32385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609F23B4">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8.</w:t>
                            </w:r>
                            <w:r>
                              <w:rPr>
                                <w:rFonts w:hint="eastAsia" w:asciiTheme="minorEastAsia" w:hAnsiTheme="minorEastAsia" w:cstheme="minorEastAsia"/>
                                <w:sz w:val="15"/>
                                <w:szCs w:val="15"/>
                              </w:rPr>
                              <w:t>收回询证函</w:t>
                            </w:r>
                          </w:p>
                          <w:p w14:paraId="6480F4AA">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(回函控制)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9.15pt;margin-top:10.35pt;height:25.5pt;width:97.3pt;z-index:251668480;v-text-anchor:middle;mso-width-relative:page;mso-height-relative:page;" filled="f" stroked="t" coordsize="21600,21600" o:gfxdata="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gGn5J2QAAAAkBAAAPAAAAAAAAAAEAIAAAACIAAABkcnMvZG93bnJl&#10;di54bWxQSwECFAAUAAAACACHTuJAGlmw/24CAADYBAAADgAAAAAAAAABACAAAAAoAQAAZHJzL2Uy&#10;b0RvYy54bWxQSwUGAAAAAAYABgBZAQAACAYAAAAA&#10;">
                <v:fill on="f" focussize="0,0"/>
                <v:stroke weight="1pt" color="#000000 [3213]" miterlimit="8" joinstyle="miter"/>
                <v:imagedata o:title=""/>
                <o:lock v:ext="edit" aspectratio="f"/>
                <v:textbox>
                  <w:txbxContent>
                    <w:p w14:paraId="609F23B4">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8.</w:t>
                      </w:r>
                      <w:r>
                        <w:rPr>
                          <w:rFonts w:hint="eastAsia" w:asciiTheme="minorEastAsia" w:hAnsiTheme="minorEastAsia" w:cstheme="minorEastAsia"/>
                          <w:sz w:val="15"/>
                          <w:szCs w:val="15"/>
                        </w:rPr>
                        <w:t>收回询证函</w:t>
                      </w:r>
                    </w:p>
                    <w:p w14:paraId="6480F4AA">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(回函控制)</w:t>
                      </w:r>
                    </w:p>
                  </w:txbxContent>
                </v:textbox>
              </v:rect>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column">
                  <wp:posOffset>1421130</wp:posOffset>
                </wp:positionH>
                <wp:positionV relativeFrom="paragraph">
                  <wp:posOffset>3810</wp:posOffset>
                </wp:positionV>
                <wp:extent cx="462915" cy="0"/>
                <wp:effectExtent l="0" t="38100" r="13335" b="38100"/>
                <wp:wrapNone/>
                <wp:docPr id="27" name="直接箭头连接符 27"/>
                <wp:cNvGraphicFramePr/>
                <a:graphic xmlns:a="http://schemas.openxmlformats.org/drawingml/2006/main">
                  <a:graphicData uri="http://schemas.microsoft.com/office/word/2010/wordprocessingShape">
                    <wps:wsp>
                      <wps:cNvCnPr/>
                      <wps:spPr>
                        <a:xfrm flipH="1">
                          <a:off x="0" y="0"/>
                          <a:ext cx="462915" cy="0"/>
                        </a:xfrm>
                        <a:prstGeom prst="straightConnector1">
                          <a:avLst/>
                        </a:prstGeom>
                        <a:ln>
                          <a:solidFill>
                            <a:schemeClr val="tx1"/>
                          </a:solidFill>
                          <a:prstDash val="sysDash"/>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11.9pt;margin-top:0.3pt;height:0pt;width:36.45pt;z-index:251669504;mso-width-relative:page;mso-height-relative:page;" filled="f" stroked="t" coordsize="21600,21600" o:gfxdata="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0JM/NMAAAAFAQAADwAAAAAAAAABACAAAAAi&#10;AAAAZHJzL2Rvd25yZXYueG1sUEsBAhQAFAAAAAgAh07iQOMgCsMPAgAA7wMAAA4AAAAAAAAAAQAg&#10;AAAAIgEAAGRycy9lMm9Eb2MueG1sUEsFBgAAAAAGAAYAWQEAAKMFAAAAAA==&#10;">
                <v:fill on="f" focussize="0,0"/>
                <v:stroke weight="1pt" color="#000000 [3213]" miterlimit="8" joinstyle="miter" dashstyle="3 1" endarrow="block"/>
                <v:imagedata o:title=""/>
                <o:lock v:ext="edit" aspectratio="f"/>
              </v:shape>
            </w:pict>
          </mc:Fallback>
        </mc:AlternateContent>
      </w:r>
    </w:p>
    <w:p w14:paraId="0946E863">
      <w:pPr>
        <w:snapToGrid w:val="0"/>
        <w:spacing w:line="360" w:lineRule="auto"/>
        <w:ind w:firstLine="480" w:firstLineChars="200"/>
        <w:jc w:val="left"/>
        <w:outlineLvl w:val="2"/>
        <w:rPr>
          <w:rFonts w:asciiTheme="minorEastAsia" w:hAnsiTheme="minorEastAsia" w:cstheme="minorEastAsia"/>
          <w:b/>
          <w:bCs/>
          <w:sz w:val="24"/>
        </w:rPr>
      </w:pPr>
      <w:r>
        <w:rPr>
          <w:sz w:val="24"/>
        </w:rPr>
        <mc:AlternateContent>
          <mc:Choice Requires="wps">
            <w:drawing>
              <wp:anchor distT="0" distB="0" distL="114300" distR="114300" simplePos="0" relativeHeight="251677696" behindDoc="0" locked="0" layoutInCell="1" allowOverlap="1">
                <wp:simplePos x="0" y="0"/>
                <wp:positionH relativeFrom="column">
                  <wp:posOffset>2469515</wp:posOffset>
                </wp:positionH>
                <wp:positionV relativeFrom="paragraph">
                  <wp:posOffset>194310</wp:posOffset>
                </wp:positionV>
                <wp:extent cx="3810" cy="104775"/>
                <wp:effectExtent l="35560" t="0" r="36830" b="9525"/>
                <wp:wrapNone/>
                <wp:docPr id="53" name="直接箭头连接符 53"/>
                <wp:cNvGraphicFramePr/>
                <a:graphic xmlns:a="http://schemas.openxmlformats.org/drawingml/2006/main">
                  <a:graphicData uri="http://schemas.microsoft.com/office/word/2010/wordprocessingShape">
                    <wps:wsp>
                      <wps:cNvCnPr/>
                      <wps:spPr>
                        <a:xfrm flipH="1">
                          <a:off x="0" y="0"/>
                          <a:ext cx="3810" cy="10477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4.45pt;margin-top:15.3pt;height:8.25pt;width:0.3pt;z-index:251677696;mso-width-relative:page;mso-height-relative:page;" filled="f" stroked="t" coordsize="21600,21600" o:gfxdata="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rA8fWAAAACQEAAA8AAAAAAAAAAQAg&#10;AAAAIgAAAGRycy9kb3ducmV2LnhtbFBLAQIUABQAAAAIAIdO4kBFILMuEAIAAPADAAAOAAAAAAAA&#10;AAEAIAAAACUBAABkcnMvZTJvRG9jLnhtbFBLBQYAAAAABgAGAFkBAACnBQAAAAA=&#10;">
                <v:fill on="f" focussize="0,0"/>
                <v:stroke weight="1pt" color="#000000 [3213]" miterlimit="8" joinstyle="miter" endarrow="block"/>
                <v:imagedata o:title=""/>
                <o:lock v:ext="edit" aspectratio="f"/>
              </v:shape>
            </w:pict>
          </mc:Fallback>
        </mc:AlternateContent>
      </w:r>
    </w:p>
    <w:p w14:paraId="367AA93E">
      <w:pPr>
        <w:snapToGrid w:val="0"/>
        <w:spacing w:line="360" w:lineRule="auto"/>
        <w:ind w:firstLine="480" w:firstLineChars="200"/>
        <w:jc w:val="left"/>
        <w:outlineLvl w:val="2"/>
        <w:rPr>
          <w:rFonts w:asciiTheme="minorEastAsia" w:hAnsiTheme="minorEastAsia" w:cstheme="minorEastAsia"/>
          <w:b/>
          <w:bCs/>
          <w:sz w:val="24"/>
        </w:rPr>
      </w:pPr>
      <w:r>
        <w:rPr>
          <w:sz w:val="24"/>
        </w:rPr>
        <mc:AlternateContent>
          <mc:Choice Requires="wps">
            <w:drawing>
              <wp:anchor distT="0" distB="0" distL="114300" distR="114300" simplePos="0" relativeHeight="251670528" behindDoc="0" locked="0" layoutInCell="1" allowOverlap="1">
                <wp:simplePos x="0" y="0"/>
                <wp:positionH relativeFrom="column">
                  <wp:posOffset>1893570</wp:posOffset>
                </wp:positionH>
                <wp:positionV relativeFrom="paragraph">
                  <wp:posOffset>8255</wp:posOffset>
                </wp:positionV>
                <wp:extent cx="1236980" cy="219075"/>
                <wp:effectExtent l="6350" t="6350" r="13970" b="22225"/>
                <wp:wrapNone/>
                <wp:docPr id="30" name="矩形 30"/>
                <wp:cNvGraphicFramePr/>
                <a:graphic xmlns:a="http://schemas.openxmlformats.org/drawingml/2006/main">
                  <a:graphicData uri="http://schemas.microsoft.com/office/word/2010/wordprocessingShape">
                    <wps:wsp>
                      <wps:cNvSpPr/>
                      <wps:spPr>
                        <a:xfrm>
                          <a:off x="0" y="0"/>
                          <a:ext cx="1236980" cy="21907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00AC53C6">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9.</w:t>
                            </w:r>
                            <w:r>
                              <w:rPr>
                                <w:rFonts w:hint="eastAsia" w:asciiTheme="minorEastAsia" w:hAnsiTheme="minorEastAsia" w:cstheme="minorEastAsia"/>
                                <w:sz w:val="15"/>
                                <w:szCs w:val="15"/>
                              </w:rPr>
                              <w:t>函证结果评价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9.1pt;margin-top:0.65pt;height:17.25pt;width:97.4pt;z-index:251670528;v-text-anchor:middle;mso-width-relative:page;mso-height-relative:page;" filled="f" stroked="t" coordsize="21600,21600" o:gfxdata="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RZVDJ1wAAAAgBAAAPAAAAAAAAAAEAIAAAACIAAABkcnMvZG93bnJldi54&#10;bWxQSwECFAAUAAAACACHTuJAO7C1e20CAADYBAAADgAAAAAAAAABACAAAAAmAQAAZHJzL2Uyb0Rv&#10;Yy54bWxQSwUGAAAAAAYABgBZAQAABQYAAAAA&#10;">
                <v:fill on="f" focussize="0,0"/>
                <v:stroke weight="1pt" color="#000000 [3213]" miterlimit="8" joinstyle="miter"/>
                <v:imagedata o:title=""/>
                <o:lock v:ext="edit" aspectratio="f"/>
                <v:textbox>
                  <w:txbxContent>
                    <w:p w14:paraId="00AC53C6">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9.</w:t>
                      </w:r>
                      <w:r>
                        <w:rPr>
                          <w:rFonts w:hint="eastAsia" w:asciiTheme="minorEastAsia" w:hAnsiTheme="minorEastAsia" w:cstheme="minorEastAsia"/>
                          <w:sz w:val="15"/>
                          <w:szCs w:val="15"/>
                        </w:rPr>
                        <w:t>函证结果评价</w:t>
                      </w:r>
                    </w:p>
                  </w:txbxContent>
                </v:textbox>
              </v:rect>
            </w:pict>
          </mc:Fallback>
        </mc:AlternateContent>
      </w:r>
    </w:p>
    <w:p w14:paraId="2DBCEA15">
      <w:pPr>
        <w:snapToGrid w:val="0"/>
        <w:spacing w:line="360" w:lineRule="auto"/>
        <w:ind w:firstLine="480" w:firstLineChars="200"/>
        <w:jc w:val="left"/>
        <w:outlineLvl w:val="2"/>
        <w:rPr>
          <w:rFonts w:asciiTheme="minorEastAsia" w:hAnsiTheme="minorEastAsia" w:cstheme="minorEastAsia"/>
          <w:b/>
          <w:bCs/>
          <w:sz w:val="24"/>
        </w:rPr>
      </w:pPr>
      <w:r>
        <w:rPr>
          <w:sz w:val="24"/>
        </w:rPr>
        <mc:AlternateContent>
          <mc:Choice Requires="wps">
            <w:drawing>
              <wp:anchor distT="0" distB="0" distL="114300" distR="114300" simplePos="0" relativeHeight="251748352" behindDoc="0" locked="0" layoutInCell="1" allowOverlap="1">
                <wp:simplePos x="0" y="0"/>
                <wp:positionH relativeFrom="column">
                  <wp:posOffset>1811020</wp:posOffset>
                </wp:positionH>
                <wp:positionV relativeFrom="paragraph">
                  <wp:posOffset>95885</wp:posOffset>
                </wp:positionV>
                <wp:extent cx="202565" cy="724535"/>
                <wp:effectExtent l="7620" t="0" r="48895" b="6985"/>
                <wp:wrapNone/>
                <wp:docPr id="61" name="肘形连接符 61"/>
                <wp:cNvGraphicFramePr/>
                <a:graphic xmlns:a="http://schemas.openxmlformats.org/drawingml/2006/main">
                  <a:graphicData uri="http://schemas.microsoft.com/office/word/2010/wordprocessingShape">
                    <wps:wsp>
                      <wps:cNvCnPr/>
                      <wps:spPr>
                        <a:xfrm rot="5400000" flipV="1">
                          <a:off x="2854960" y="8181340"/>
                          <a:ext cx="202565" cy="724535"/>
                        </a:xfrm>
                        <a:prstGeom prst="bentConnector3">
                          <a:avLst>
                            <a:gd name="adj1" fmla="val 50157"/>
                          </a:avLst>
                        </a:prstGeom>
                        <a:ln w="158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142.6pt;margin-top:7.55pt;height:57.05pt;width:15.95pt;rotation:-5898240f;z-index:251748352;mso-width-relative:page;mso-height-relative:page;" filled="f" stroked="t" coordsize="21600,21600" o:gfxdata="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W9XEwtkAAAAKAQAADwAAAAAAAAABACAAAAAiAAAAZHJzL2Rv&#10;d25yZXYueG1sUEsBAhQAFAAAAAgAh07iQAj7wds5AgAALwQAAA4AAAAAAAAAAQAgAAAAKAEAAGRy&#10;cy9lMm9Eb2MueG1sUEsFBgAAAAAGAAYAWQEAANMFAAAAAA==&#10;" adj="10834">
                <v:fill on="f" focussize="0,0"/>
                <v:stroke weight="1.25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747328" behindDoc="0" locked="0" layoutInCell="1" allowOverlap="1">
                <wp:simplePos x="0" y="0"/>
                <wp:positionH relativeFrom="column">
                  <wp:posOffset>1095375</wp:posOffset>
                </wp:positionH>
                <wp:positionV relativeFrom="paragraph">
                  <wp:posOffset>83185</wp:posOffset>
                </wp:positionV>
                <wp:extent cx="180975" cy="728345"/>
                <wp:effectExtent l="52070" t="0" r="19685" b="9525"/>
                <wp:wrapNone/>
                <wp:docPr id="55" name="肘形连接符 55"/>
                <wp:cNvGraphicFramePr/>
                <a:graphic xmlns:a="http://schemas.openxmlformats.org/drawingml/2006/main">
                  <a:graphicData uri="http://schemas.microsoft.com/office/word/2010/wordprocessingShape">
                    <wps:wsp>
                      <wps:cNvCnPr/>
                      <wps:spPr>
                        <a:xfrm rot="5400000">
                          <a:off x="2139315" y="8168640"/>
                          <a:ext cx="180975" cy="728345"/>
                        </a:xfrm>
                        <a:prstGeom prst="bentConnector3">
                          <a:avLst>
                            <a:gd name="adj1" fmla="val 50175"/>
                          </a:avLst>
                        </a:prstGeom>
                        <a:ln w="158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86.25pt;margin-top:6.55pt;height:57.35pt;width:14.25pt;rotation:5898240f;z-index:251747328;mso-width-relative:page;mso-height-relative:page;" filled="f" stroked="t" coordsize="21600,21600" o:gfxdata="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xQvztUAAAAKAQAADwAAAAAAAAABACAAAAAiAAAAZHJzL2Rvd25yZXYueG1sUEsB&#10;AhQAFAAAAAgAh07iQHVaqdYxAgAAJQQAAA4AAAAAAAAAAQAgAAAAJAEAAGRycy9lMm9Eb2MueG1s&#10;UEsFBgAAAAAGAAYAWQEAAMcFAAAAAA==&#10;" adj="10838">
                <v:fill on="f" focussize="0,0"/>
                <v:stroke weight="1.25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78720" behindDoc="0" locked="0" layoutInCell="1" allowOverlap="1">
                <wp:simplePos x="0" y="0"/>
                <wp:positionH relativeFrom="column">
                  <wp:posOffset>922655</wp:posOffset>
                </wp:positionH>
                <wp:positionV relativeFrom="paragraph">
                  <wp:posOffset>128905</wp:posOffset>
                </wp:positionV>
                <wp:extent cx="1254125" cy="228600"/>
                <wp:effectExtent l="6350" t="6350" r="15875" b="12700"/>
                <wp:wrapNone/>
                <wp:docPr id="14" name="矩形 14"/>
                <wp:cNvGraphicFramePr/>
                <a:graphic xmlns:a="http://schemas.openxmlformats.org/drawingml/2006/main">
                  <a:graphicData uri="http://schemas.microsoft.com/office/word/2010/wordprocessingShape">
                    <wps:wsp>
                      <wps:cNvSpPr/>
                      <wps:spPr>
                        <a:xfrm>
                          <a:off x="0" y="0"/>
                          <a:ext cx="1254125" cy="22860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36E46B74">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9.1</w:t>
                            </w:r>
                            <w:r>
                              <w:rPr>
                                <w:rFonts w:hint="eastAsia" w:asciiTheme="minorEastAsia" w:hAnsiTheme="minorEastAsia" w:cstheme="minorEastAsia"/>
                                <w:sz w:val="15"/>
                                <w:szCs w:val="15"/>
                              </w:rPr>
                              <w:t>收到回函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2.65pt;margin-top:10.15pt;height:18pt;width:98.75pt;z-index:251678720;v-text-anchor:middle;mso-width-relative:page;mso-height-relative:page;" filled="f" stroked="t" coordsize="21600,21600" o:gfxdata="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myN0o1wAAAAkBAAAPAAAAAAAAAAEAIAAAACIAAABkcnMvZG93bnJldi54&#10;bWxQSwECFAAUAAAACACHTuJAhZjyxm0CAADYBAAADgAAAAAAAAABACAAAAAmAQAAZHJzL2Uyb0Rv&#10;Yy54bWxQSwUGAAAAAAYABgBZAQAABQYAAAAA&#10;">
                <v:fill on="f" focussize="0,0"/>
                <v:stroke weight="1pt" color="#000000 [3213]" miterlimit="8" joinstyle="miter"/>
                <v:imagedata o:title=""/>
                <o:lock v:ext="edit" aspectratio="f"/>
                <v:textbox>
                  <w:txbxContent>
                    <w:p w14:paraId="36E46B74">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9.1</w:t>
                      </w:r>
                      <w:r>
                        <w:rPr>
                          <w:rFonts w:hint="eastAsia" w:asciiTheme="minorEastAsia" w:hAnsiTheme="minorEastAsia" w:cstheme="minorEastAsia"/>
                          <w:sz w:val="15"/>
                          <w:szCs w:val="15"/>
                        </w:rPr>
                        <w:t>收到回函</w:t>
                      </w:r>
                    </w:p>
                  </w:txbxContent>
                </v:textbox>
              </v:rect>
            </w:pict>
          </mc:Fallback>
        </mc:AlternateContent>
      </w:r>
      <w:r>
        <w:rPr>
          <w:sz w:val="24"/>
        </w:rPr>
        <mc:AlternateContent>
          <mc:Choice Requires="wps">
            <w:drawing>
              <wp:anchor distT="0" distB="0" distL="114300" distR="114300" simplePos="0" relativeHeight="251746304" behindDoc="0" locked="0" layoutInCell="1" allowOverlap="1">
                <wp:simplePos x="0" y="0"/>
                <wp:positionH relativeFrom="column">
                  <wp:posOffset>1631950</wp:posOffset>
                </wp:positionH>
                <wp:positionV relativeFrom="paragraph">
                  <wp:posOffset>-52705</wp:posOffset>
                </wp:positionV>
                <wp:extent cx="451485" cy="2072005"/>
                <wp:effectExtent l="7620" t="0" r="15875" b="253365"/>
                <wp:wrapNone/>
                <wp:docPr id="54" name="肘形连接符 54"/>
                <wp:cNvGraphicFramePr/>
                <a:graphic xmlns:a="http://schemas.openxmlformats.org/drawingml/2006/main">
                  <a:graphicData uri="http://schemas.microsoft.com/office/word/2010/wordprocessingShape">
                    <wps:wsp>
                      <wps:cNvCnPr/>
                      <wps:spPr>
                        <a:xfrm rot="5400000" flipV="1">
                          <a:off x="2766060" y="8122920"/>
                          <a:ext cx="451485" cy="2072005"/>
                        </a:xfrm>
                        <a:prstGeom prst="bentConnector3">
                          <a:avLst>
                            <a:gd name="adj1" fmla="val 152743"/>
                          </a:avLst>
                        </a:prstGeom>
                        <a:ln w="158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128.5pt;margin-top:-4.15pt;height:163.15pt;width:35.55pt;rotation:-5898240f;z-index:251746304;mso-width-relative:page;mso-height-relative:page;" filled="f" stroked="t" coordsize="21600,21600" o:gfxdata="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MsItnaAAAACgEAAA8AAAAAAAAAAQAgAAAAIgAAAGRycy9kb3ducmV2LnhtbFBLAQIU&#10;ABQAAAAIAIdO4kD3qHmkKgIAABUEAAAOAAAAAAAAAAEAIAAAACkBAABkcnMvZTJvRG9jLnhtbFBL&#10;BQYAAAAABgAGAFkBAADFBQAAAAA=&#10;" adj="32992">
                <v:fill on="f" focussize="0,0"/>
                <v:stroke weight="1.25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679744" behindDoc="0" locked="0" layoutInCell="1" allowOverlap="1">
                <wp:simplePos x="0" y="0"/>
                <wp:positionH relativeFrom="column">
                  <wp:posOffset>3048000</wp:posOffset>
                </wp:positionH>
                <wp:positionV relativeFrom="paragraph">
                  <wp:posOffset>102235</wp:posOffset>
                </wp:positionV>
                <wp:extent cx="1283970" cy="219075"/>
                <wp:effectExtent l="6350" t="6350" r="24130" b="22225"/>
                <wp:wrapNone/>
                <wp:docPr id="23" name="矩形 23"/>
                <wp:cNvGraphicFramePr/>
                <a:graphic xmlns:a="http://schemas.openxmlformats.org/drawingml/2006/main">
                  <a:graphicData uri="http://schemas.microsoft.com/office/word/2010/wordprocessingShape">
                    <wps:wsp>
                      <wps:cNvSpPr/>
                      <wps:spPr>
                        <a:xfrm>
                          <a:off x="0" y="0"/>
                          <a:ext cx="1283970" cy="21907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497DED13">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9.2</w:t>
                            </w:r>
                            <w:r>
                              <w:rPr>
                                <w:rFonts w:hint="eastAsia" w:asciiTheme="minorEastAsia" w:hAnsiTheme="minorEastAsia" w:cstheme="minorEastAsia"/>
                                <w:sz w:val="15"/>
                                <w:szCs w:val="15"/>
                              </w:rPr>
                              <w:t>未收到回函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0pt;margin-top:8.05pt;height:17.25pt;width:101.1pt;z-index:251679744;v-text-anchor:middle;mso-width-relative:page;mso-height-relative:page;" filled="f" stroked="t" coordsize="21600,21600" o:gfxdata="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ocjX01gAAAAkBAAAPAAAAAAAAAAEAIAAAACIAAABkcnMvZG93bnJldi54&#10;bWxQSwECFAAUAAAACACHTuJALAgDc24CAADYBAAADgAAAAAAAAABACAAAAAlAQAAZHJzL2Uyb0Rv&#10;Yy54bWxQSwUGAAAAAAYABgBZAQAABQYAAAAA&#10;">
                <v:fill on="f" focussize="0,0"/>
                <v:stroke weight="1pt" color="#000000 [3213]" miterlimit="8" joinstyle="miter"/>
                <v:imagedata o:title=""/>
                <o:lock v:ext="edit" aspectratio="f"/>
                <v:textbox>
                  <w:txbxContent>
                    <w:p w14:paraId="497DED13">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9.2</w:t>
                      </w:r>
                      <w:r>
                        <w:rPr>
                          <w:rFonts w:hint="eastAsia" w:asciiTheme="minorEastAsia" w:hAnsiTheme="minorEastAsia" w:cstheme="minorEastAsia"/>
                          <w:sz w:val="15"/>
                          <w:szCs w:val="15"/>
                        </w:rPr>
                        <w:t>未收到回函</w:t>
                      </w:r>
                    </w:p>
                  </w:txbxContent>
                </v:textbox>
              </v:rect>
            </w:pict>
          </mc:Fallback>
        </mc:AlternateContent>
      </w:r>
    </w:p>
    <w:p w14:paraId="0A730854">
      <w:pPr>
        <w:snapToGrid w:val="0"/>
        <w:spacing w:line="360" w:lineRule="auto"/>
        <w:ind w:firstLine="480" w:firstLineChars="200"/>
        <w:jc w:val="left"/>
        <w:outlineLvl w:val="2"/>
        <w:rPr>
          <w:rFonts w:asciiTheme="minorEastAsia" w:hAnsiTheme="minorEastAsia" w:cstheme="minorEastAsia"/>
          <w:b/>
          <w:bCs/>
          <w:sz w:val="24"/>
        </w:rPr>
      </w:pPr>
      <w:r>
        <w:rPr>
          <w:sz w:val="24"/>
        </w:rPr>
        <mc:AlternateContent>
          <mc:Choice Requires="wps">
            <w:drawing>
              <wp:anchor distT="0" distB="0" distL="114300" distR="114300" simplePos="0" relativeHeight="251743232" behindDoc="0" locked="0" layoutInCell="1" allowOverlap="1">
                <wp:simplePos x="0" y="0"/>
                <wp:positionH relativeFrom="column">
                  <wp:posOffset>3712845</wp:posOffset>
                </wp:positionH>
                <wp:positionV relativeFrom="paragraph">
                  <wp:posOffset>26670</wp:posOffset>
                </wp:positionV>
                <wp:extent cx="0" cy="190500"/>
                <wp:effectExtent l="38100" t="0" r="38100" b="0"/>
                <wp:wrapNone/>
                <wp:docPr id="36" name="直接箭头连接符 36"/>
                <wp:cNvGraphicFramePr/>
                <a:graphic xmlns:a="http://schemas.openxmlformats.org/drawingml/2006/main">
                  <a:graphicData uri="http://schemas.microsoft.com/office/word/2010/wordprocessingShape">
                    <wps:wsp>
                      <wps:cNvCnPr/>
                      <wps:spPr>
                        <a:xfrm>
                          <a:off x="4737735" y="8048625"/>
                          <a:ext cx="0" cy="190500"/>
                        </a:xfrm>
                        <a:prstGeom prst="straightConnector1">
                          <a:avLst/>
                        </a:prstGeom>
                        <a:ln w="158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92.35pt;margin-top:2.1pt;height:15pt;width:0pt;z-index:251743232;mso-width-relative:page;mso-height-relative:page;" filled="f" stroked="t" coordsize="21600,21600" o:gfxdata="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EeLsdUAAAAIAQAADwAAAAAA&#10;AAABACAAAAAiAAAAZHJzL2Rvd25yZXYueG1sUEsBAhQAFAAAAAgAh07iQFTYkRcWAgAA7wMAAA4A&#10;AAAAAAAAAQAgAAAAJAEAAGRycy9lMm9Eb2MueG1sUEsFBgAAAAAGAAYAWQEAAKwFAAAAAA==&#10;">
                <v:fill on="f" focussize="0,0"/>
                <v:stroke weight="1.25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81792" behindDoc="0" locked="0" layoutInCell="1" allowOverlap="1">
                <wp:simplePos x="0" y="0"/>
                <wp:positionH relativeFrom="column">
                  <wp:posOffset>1751965</wp:posOffset>
                </wp:positionH>
                <wp:positionV relativeFrom="paragraph">
                  <wp:posOffset>263525</wp:posOffset>
                </wp:positionV>
                <wp:extent cx="1045210" cy="351155"/>
                <wp:effectExtent l="6350" t="6350" r="15240" b="23495"/>
                <wp:wrapNone/>
                <wp:docPr id="34" name="矩形 34"/>
                <wp:cNvGraphicFramePr/>
                <a:graphic xmlns:a="http://schemas.openxmlformats.org/drawingml/2006/main">
                  <a:graphicData uri="http://schemas.microsoft.com/office/word/2010/wordprocessingShape">
                    <wps:wsp>
                      <wps:cNvSpPr/>
                      <wps:spPr>
                        <a:xfrm>
                          <a:off x="0" y="0"/>
                          <a:ext cx="1045210" cy="35115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5E992174">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9.1.2</w:t>
                            </w:r>
                            <w:r>
                              <w:rPr>
                                <w:rFonts w:hint="eastAsia" w:asciiTheme="minorEastAsia" w:hAnsiTheme="minorEastAsia" w:cstheme="minorEastAsia"/>
                                <w:sz w:val="15"/>
                                <w:szCs w:val="15"/>
                              </w:rPr>
                              <w:t>核对不符或不完全相符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7.95pt;margin-top:20.75pt;height:27.65pt;width:82.3pt;z-index:251681792;v-text-anchor:middle;mso-width-relative:page;mso-height-relative:page;" filled="f" stroked="t" coordsize="21600,21600" o:gfxdata="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lPdvnYAAAACQEAAA8AAAAAAAAAAQAgAAAAIgAAAGRycy9kb3ducmV2&#10;LnhtbFBLAQIUABQAAAAIAIdO4kA2XVYQbgIAANgEAAAOAAAAAAAAAAEAIAAAACcBAABkcnMvZTJv&#10;RG9jLnhtbFBLBQYAAAAABgAGAFkBAAAHBgAAAAA=&#10;">
                <v:fill on="f" focussize="0,0"/>
                <v:stroke weight="1pt" color="#000000 [3213]" miterlimit="8" joinstyle="miter"/>
                <v:imagedata o:title=""/>
                <o:lock v:ext="edit" aspectratio="f"/>
                <v:textbox>
                  <w:txbxContent>
                    <w:p w14:paraId="5E992174">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9.1.2</w:t>
                      </w:r>
                      <w:r>
                        <w:rPr>
                          <w:rFonts w:hint="eastAsia" w:asciiTheme="minorEastAsia" w:hAnsiTheme="minorEastAsia" w:cstheme="minorEastAsia"/>
                          <w:sz w:val="15"/>
                          <w:szCs w:val="15"/>
                        </w:rPr>
                        <w:t>核对不符或不完全相符</w:t>
                      </w:r>
                    </w:p>
                  </w:txbxContent>
                </v:textbox>
              </v:rect>
            </w:pict>
          </mc:Fallback>
        </mc:AlternateContent>
      </w:r>
      <w:r>
        <w:rPr>
          <w:sz w:val="24"/>
        </w:rPr>
        <mc:AlternateContent>
          <mc:Choice Requires="wps">
            <w:drawing>
              <wp:anchor distT="0" distB="0" distL="114300" distR="114300" simplePos="0" relativeHeight="251680768" behindDoc="0" locked="0" layoutInCell="1" allowOverlap="1">
                <wp:simplePos x="0" y="0"/>
                <wp:positionH relativeFrom="column">
                  <wp:posOffset>312420</wp:posOffset>
                </wp:positionH>
                <wp:positionV relativeFrom="paragraph">
                  <wp:posOffset>241935</wp:posOffset>
                </wp:positionV>
                <wp:extent cx="1017905" cy="219075"/>
                <wp:effectExtent l="6350" t="6350" r="23495" b="22225"/>
                <wp:wrapNone/>
                <wp:docPr id="33" name="矩形 33"/>
                <wp:cNvGraphicFramePr/>
                <a:graphic xmlns:a="http://schemas.openxmlformats.org/drawingml/2006/main">
                  <a:graphicData uri="http://schemas.microsoft.com/office/word/2010/wordprocessingShape">
                    <wps:wsp>
                      <wps:cNvSpPr/>
                      <wps:spPr>
                        <a:xfrm>
                          <a:off x="0" y="0"/>
                          <a:ext cx="1017905" cy="21907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35DA231B">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9.1.1</w:t>
                            </w:r>
                            <w:r>
                              <w:rPr>
                                <w:rFonts w:hint="eastAsia" w:asciiTheme="minorEastAsia" w:hAnsiTheme="minorEastAsia" w:cstheme="minorEastAsia"/>
                                <w:sz w:val="15"/>
                                <w:szCs w:val="15"/>
                              </w:rPr>
                              <w:t>核对相符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6pt;margin-top:19.05pt;height:17.25pt;width:80.15pt;z-index:251680768;v-text-anchor:middle;mso-width-relative:page;mso-height-relative:page;" filled="f" stroked="t" coordsize="21600,21600" o:gfxdata="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oS1RHNgAAAAIAQAADwAAAAAAAAABACAAAAAiAAAAZHJzL2Rvd25y&#10;ZXYueG1sUEsBAhQAFAAAAAgAh07iQK6LTU9wAgAA2AQAAA4AAAAAAAAAAQAgAAAAJwEAAGRycy9l&#10;Mm9Eb2MueG1sUEsFBgAAAAAGAAYAWQEAAAkGAAAAAA==&#10;">
                <v:fill on="f" focussize="0,0"/>
                <v:stroke weight="1pt" color="#000000 [3213]" miterlimit="8" joinstyle="miter"/>
                <v:imagedata o:title=""/>
                <o:lock v:ext="edit" aspectratio="f"/>
                <v:textbox>
                  <w:txbxContent>
                    <w:p w14:paraId="35DA231B">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9.1.1</w:t>
                      </w:r>
                      <w:r>
                        <w:rPr>
                          <w:rFonts w:hint="eastAsia" w:asciiTheme="minorEastAsia" w:hAnsiTheme="minorEastAsia" w:cstheme="minorEastAsia"/>
                          <w:sz w:val="15"/>
                          <w:szCs w:val="15"/>
                        </w:rPr>
                        <w:t>核对相符</w:t>
                      </w:r>
                    </w:p>
                  </w:txbxContent>
                </v:textbox>
              </v:rect>
            </w:pict>
          </mc:Fallback>
        </mc:AlternateContent>
      </w:r>
      <w:r>
        <w:rPr>
          <w:sz w:val="24"/>
        </w:rPr>
        <mc:AlternateContent>
          <mc:Choice Requires="wps">
            <w:drawing>
              <wp:anchor distT="0" distB="0" distL="114300" distR="114300" simplePos="0" relativeHeight="251682816" behindDoc="0" locked="0" layoutInCell="1" allowOverlap="1">
                <wp:simplePos x="0" y="0"/>
                <wp:positionH relativeFrom="column">
                  <wp:posOffset>3237230</wp:posOffset>
                </wp:positionH>
                <wp:positionV relativeFrom="paragraph">
                  <wp:posOffset>213360</wp:posOffset>
                </wp:positionV>
                <wp:extent cx="1026795" cy="248920"/>
                <wp:effectExtent l="6350" t="6350" r="14605" b="11430"/>
                <wp:wrapNone/>
                <wp:docPr id="37" name="矩形 37"/>
                <wp:cNvGraphicFramePr/>
                <a:graphic xmlns:a="http://schemas.openxmlformats.org/drawingml/2006/main">
                  <a:graphicData uri="http://schemas.microsoft.com/office/word/2010/wordprocessingShape">
                    <wps:wsp>
                      <wps:cNvSpPr/>
                      <wps:spPr>
                        <a:xfrm>
                          <a:off x="0" y="0"/>
                          <a:ext cx="1026795" cy="24892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47B67D65">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9.3</w:t>
                            </w:r>
                            <w:r>
                              <w:rPr>
                                <w:rFonts w:hint="eastAsia" w:asciiTheme="minorEastAsia" w:hAnsiTheme="minorEastAsia" w:cstheme="minorEastAsia"/>
                                <w:sz w:val="15"/>
                                <w:szCs w:val="15"/>
                              </w:rPr>
                              <w:t>采取应对措施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4.9pt;margin-top:16.8pt;height:19.6pt;width:80.85pt;z-index:251682816;v-text-anchor:middle;mso-width-relative:page;mso-height-relative:page;" filled="f" stroked="t" coordsize="21600,21600" o:gfxdata="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4Zhek2QAAAAkBAAAPAAAAAAAAAAEAIAAAACIAAABkcnMvZG93&#10;bnJldi54bWxQSwECFAAUAAAACACHTuJAl7b4RnECAADYBAAADgAAAAAAAAABACAAAAAoAQAAZHJz&#10;L2Uyb0RvYy54bWxQSwUGAAAAAAYABgBZAQAACwYAAAAA&#10;">
                <v:fill on="f" focussize="0,0"/>
                <v:stroke weight="1pt" color="#000000 [3213]" miterlimit="8" joinstyle="miter"/>
                <v:imagedata o:title=""/>
                <o:lock v:ext="edit" aspectratio="f"/>
                <v:textbox>
                  <w:txbxContent>
                    <w:p w14:paraId="47B67D65">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9.3</w:t>
                      </w:r>
                      <w:r>
                        <w:rPr>
                          <w:rFonts w:hint="eastAsia" w:asciiTheme="minorEastAsia" w:hAnsiTheme="minorEastAsia" w:cstheme="minorEastAsia"/>
                          <w:sz w:val="15"/>
                          <w:szCs w:val="15"/>
                        </w:rPr>
                        <w:t>采取应对措施</w:t>
                      </w:r>
                    </w:p>
                  </w:txbxContent>
                </v:textbox>
              </v:rect>
            </w:pict>
          </mc:Fallback>
        </mc:AlternateContent>
      </w:r>
      <w:r>
        <w:rPr>
          <w:sz w:val="24"/>
        </w:rPr>
        <mc:AlternateContent>
          <mc:Choice Requires="wps">
            <w:drawing>
              <wp:anchor distT="0" distB="0" distL="114300" distR="114300" simplePos="0" relativeHeight="251745280" behindDoc="0" locked="0" layoutInCell="1" allowOverlap="1">
                <wp:simplePos x="0" y="0"/>
                <wp:positionH relativeFrom="column">
                  <wp:posOffset>4022090</wp:posOffset>
                </wp:positionH>
                <wp:positionV relativeFrom="paragraph">
                  <wp:posOffset>191770</wp:posOffset>
                </wp:positionV>
                <wp:extent cx="229235" cy="770890"/>
                <wp:effectExtent l="8255" t="0" r="40005" b="18415"/>
                <wp:wrapNone/>
                <wp:docPr id="42" name="肘形连接符 42"/>
                <wp:cNvGraphicFramePr/>
                <a:graphic xmlns:a="http://schemas.openxmlformats.org/drawingml/2006/main">
                  <a:graphicData uri="http://schemas.microsoft.com/office/word/2010/wordprocessingShape">
                    <wps:wsp>
                      <wps:cNvCnPr/>
                      <wps:spPr>
                        <a:xfrm rot="5400000" flipV="1">
                          <a:off x="4952365" y="8326755"/>
                          <a:ext cx="229235" cy="770890"/>
                        </a:xfrm>
                        <a:prstGeom prst="bentConnector3">
                          <a:avLst>
                            <a:gd name="adj1" fmla="val 50000"/>
                          </a:avLst>
                        </a:prstGeom>
                        <a:ln w="158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316.7pt;margin-top:15.1pt;height:60.7pt;width:18.05pt;rotation:-5898240f;z-index:251745280;mso-width-relative:page;mso-height-relative:page;" filled="f" stroked="t" coordsize="21600,21600" o:gfxdata="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F/FNkAAAAKAQAADwAAAAAAAAABACAAAAAiAAAAZHJzL2Rv&#10;d25yZXYueG1sUEsBAhQAFAAAAAgAh07iQLS8Cok5AgAALwQAAA4AAAAAAAAAAQAgAAAAKAEAAGRy&#10;cy9lMm9Eb2MueG1sUEsFBgAAAAAGAAYAWQEAANMFAAAAAA==&#10;" adj="10800">
                <v:fill on="f" focussize="0,0"/>
                <v:stroke weight="1.25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744256" behindDoc="0" locked="0" layoutInCell="1" allowOverlap="1">
                <wp:simplePos x="0" y="0"/>
                <wp:positionH relativeFrom="column">
                  <wp:posOffset>3202940</wp:posOffset>
                </wp:positionH>
                <wp:positionV relativeFrom="paragraph">
                  <wp:posOffset>153035</wp:posOffset>
                </wp:positionV>
                <wp:extent cx="238760" cy="857250"/>
                <wp:effectExtent l="38100" t="0" r="19050" b="8890"/>
                <wp:wrapNone/>
                <wp:docPr id="38" name="肘形连接符 38"/>
                <wp:cNvGraphicFramePr/>
                <a:graphic xmlns:a="http://schemas.openxmlformats.org/drawingml/2006/main">
                  <a:graphicData uri="http://schemas.microsoft.com/office/word/2010/wordprocessingShape">
                    <wps:wsp>
                      <wps:cNvCnPr/>
                      <wps:spPr>
                        <a:xfrm rot="5400000">
                          <a:off x="4204970" y="8235950"/>
                          <a:ext cx="238760" cy="857250"/>
                        </a:xfrm>
                        <a:prstGeom prst="bentConnector3">
                          <a:avLst>
                            <a:gd name="adj1" fmla="val 50000"/>
                          </a:avLst>
                        </a:prstGeom>
                        <a:ln w="158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252.2pt;margin-top:12.05pt;height:67.5pt;width:18.8pt;rotation:5898240f;z-index:251744256;mso-width-relative:page;mso-height-relative:page;" filled="f" stroked="t" coordsize="21600,21600" o:gfxdata="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HRyu32gAAAAoBAAAPAAAAAAAAAAEAIAAAACIAAABkcnMvZG93bnJldi54&#10;bWxQSwECFAAUAAAACACHTuJASchacDECAAAlBAAADgAAAAAAAAABACAAAAApAQAAZHJzL2Uyb0Rv&#10;Yy54bWxQSwUGAAAAAAYABgBZAQAAzAUAAAAA&#10;" adj="10800">
                <v:fill on="f" focussize="0,0"/>
                <v:stroke weight="1.25pt" color="#000000 [3213]" miterlimit="8" joinstyle="miter" endarrow="block"/>
                <v:imagedata o:title=""/>
                <o:lock v:ext="edit" aspectratio="f"/>
              </v:shape>
            </w:pict>
          </mc:Fallback>
        </mc:AlternateContent>
      </w:r>
    </w:p>
    <w:p w14:paraId="7F8CF340">
      <w:pPr>
        <w:snapToGrid w:val="0"/>
        <w:spacing w:line="360" w:lineRule="auto"/>
        <w:ind w:firstLine="480" w:firstLineChars="200"/>
        <w:jc w:val="left"/>
        <w:outlineLvl w:val="2"/>
        <w:rPr>
          <w:rFonts w:asciiTheme="minorEastAsia" w:hAnsiTheme="minorEastAsia" w:cstheme="minorEastAsia"/>
          <w:b/>
          <w:bCs/>
          <w:sz w:val="24"/>
        </w:rPr>
      </w:pPr>
      <w:r>
        <w:rPr>
          <w:sz w:val="24"/>
        </w:rPr>
        <mc:AlternateContent>
          <mc:Choice Requires="wps">
            <w:drawing>
              <wp:anchor distT="0" distB="0" distL="114300" distR="114300" simplePos="0" relativeHeight="251749376" behindDoc="0" locked="0" layoutInCell="1" allowOverlap="1">
                <wp:simplePos x="0" y="0"/>
                <wp:positionH relativeFrom="column">
                  <wp:posOffset>2806700</wp:posOffset>
                </wp:positionH>
                <wp:positionV relativeFrom="paragraph">
                  <wp:posOffset>57150</wp:posOffset>
                </wp:positionV>
                <wp:extent cx="420370" cy="0"/>
                <wp:effectExtent l="0" t="38100" r="17780" b="38100"/>
                <wp:wrapNone/>
                <wp:docPr id="62" name="直接箭头连接符 62"/>
                <wp:cNvGraphicFramePr/>
                <a:graphic xmlns:a="http://schemas.openxmlformats.org/drawingml/2006/main">
                  <a:graphicData uri="http://schemas.microsoft.com/office/word/2010/wordprocessingShape">
                    <wps:wsp>
                      <wps:cNvCnPr/>
                      <wps:spPr>
                        <a:xfrm>
                          <a:off x="3841115" y="8821420"/>
                          <a:ext cx="420370" cy="0"/>
                        </a:xfrm>
                        <a:prstGeom prst="straightConnector1">
                          <a:avLst/>
                        </a:prstGeom>
                        <a:ln w="158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21pt;margin-top:4.5pt;height:0pt;width:33.1pt;z-index:251749376;mso-width-relative:page;mso-height-relative:page;" filled="f" stroked="t" coordsize="21600,21600" o:gfxdata="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5kTLMNUAAAAHAQAADwAAAAAAAAAB&#10;ACAAAAAiAAAAZHJzL2Rvd25yZXYueG1sUEsBAhQAFAAAAAgAh07iQJpm4mwTAgAA7wMAAA4AAAAA&#10;AAAAAQAgAAAAJAEAAGRycy9lMm9Eb2MueG1sUEsFBgAAAAAGAAYAWQEAAKkFAAAAAA==&#10;">
                <v:fill on="f" focussize="0,0"/>
                <v:stroke weight="1.25pt" color="#000000 [3213]" miterlimit="8" joinstyle="miter" endarrow="block"/>
                <v:imagedata o:title=""/>
                <o:lock v:ext="edit" aspectratio="f"/>
              </v:shape>
            </w:pict>
          </mc:Fallback>
        </mc:AlternateContent>
      </w:r>
    </w:p>
    <w:p w14:paraId="2FDFD193">
      <w:pPr>
        <w:snapToGrid w:val="0"/>
        <w:spacing w:line="360" w:lineRule="auto"/>
        <w:ind w:firstLine="480" w:firstLineChars="200"/>
        <w:jc w:val="left"/>
        <w:outlineLvl w:val="2"/>
        <w:rPr>
          <w:rFonts w:asciiTheme="minorEastAsia" w:hAnsiTheme="minorEastAsia" w:cstheme="minorEastAsia"/>
          <w:b/>
          <w:bCs/>
          <w:sz w:val="24"/>
        </w:rPr>
      </w:pPr>
      <w:r>
        <w:rPr>
          <w:sz w:val="24"/>
        </w:rPr>
        <mc:AlternateContent>
          <mc:Choice Requires="wps">
            <w:drawing>
              <wp:anchor distT="0" distB="0" distL="114300" distR="114300" simplePos="0" relativeHeight="251684864" behindDoc="0" locked="0" layoutInCell="1" allowOverlap="1">
                <wp:simplePos x="0" y="0"/>
                <wp:positionH relativeFrom="column">
                  <wp:posOffset>4036695</wp:posOffset>
                </wp:positionH>
                <wp:positionV relativeFrom="paragraph">
                  <wp:posOffset>98425</wp:posOffset>
                </wp:positionV>
                <wp:extent cx="969645" cy="209550"/>
                <wp:effectExtent l="6350" t="6350" r="14605" b="12700"/>
                <wp:wrapNone/>
                <wp:docPr id="41" name="矩形 41"/>
                <wp:cNvGraphicFramePr/>
                <a:graphic xmlns:a="http://schemas.openxmlformats.org/drawingml/2006/main">
                  <a:graphicData uri="http://schemas.microsoft.com/office/word/2010/wordprocessingShape">
                    <wps:wsp>
                      <wps:cNvSpPr/>
                      <wps:spPr>
                        <a:xfrm>
                          <a:off x="0" y="0"/>
                          <a:ext cx="969645" cy="20955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71047ED3">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9.3.2</w:t>
                            </w:r>
                            <w:r>
                              <w:rPr>
                                <w:rFonts w:hint="eastAsia" w:asciiTheme="minorEastAsia" w:hAnsiTheme="minorEastAsia" w:cstheme="minorEastAsia"/>
                                <w:sz w:val="15"/>
                                <w:szCs w:val="15"/>
                              </w:rPr>
                              <w:t>再次发函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7.85pt;margin-top:7.75pt;height:16.5pt;width:76.35pt;z-index:251684864;v-text-anchor:middle;mso-width-relative:page;mso-height-relative:page;" filled="f" stroked="t" coordsize="21600,21600" o:gfxdata="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zKi012AAAAAkBAAAPAAAAAAAAAAEAIAAAACIAAABkcnMvZG93bnJl&#10;di54bWxQSwECFAAUAAAACACHTuJAWNMTmG8CAADXBAAADgAAAAAAAAABACAAAAAnAQAAZHJzL2Uy&#10;b0RvYy54bWxQSwUGAAAAAAYABgBZAQAACAYAAAAA&#10;">
                <v:fill on="f" focussize="0,0"/>
                <v:stroke weight="1pt" color="#000000 [3213]" miterlimit="8" joinstyle="miter"/>
                <v:imagedata o:title=""/>
                <o:lock v:ext="edit" aspectratio="f"/>
                <v:textbox>
                  <w:txbxContent>
                    <w:p w14:paraId="71047ED3">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9.3.2</w:t>
                      </w:r>
                      <w:r>
                        <w:rPr>
                          <w:rFonts w:hint="eastAsia" w:asciiTheme="minorEastAsia" w:hAnsiTheme="minorEastAsia" w:cstheme="minorEastAsia"/>
                          <w:sz w:val="15"/>
                          <w:szCs w:val="15"/>
                        </w:rPr>
                        <w:t>再次发函</w:t>
                      </w:r>
                    </w:p>
                  </w:txbxContent>
                </v:textbox>
              </v:rect>
            </w:pict>
          </mc:Fallback>
        </mc:AlternateContent>
      </w:r>
      <w:r>
        <w:rPr>
          <w:sz w:val="24"/>
        </w:rPr>
        <mc:AlternateContent>
          <mc:Choice Requires="wps">
            <w:drawing>
              <wp:anchor distT="0" distB="0" distL="114300" distR="114300" simplePos="0" relativeHeight="251683840" behindDoc="0" locked="0" layoutInCell="1" allowOverlap="1">
                <wp:simplePos x="0" y="0"/>
                <wp:positionH relativeFrom="column">
                  <wp:posOffset>2380615</wp:posOffset>
                </wp:positionH>
                <wp:positionV relativeFrom="paragraph">
                  <wp:posOffset>107950</wp:posOffset>
                </wp:positionV>
                <wp:extent cx="1026160" cy="211455"/>
                <wp:effectExtent l="6350" t="6350" r="15240" b="10795"/>
                <wp:wrapNone/>
                <wp:docPr id="40" name="矩形 40"/>
                <wp:cNvGraphicFramePr/>
                <a:graphic xmlns:a="http://schemas.openxmlformats.org/drawingml/2006/main">
                  <a:graphicData uri="http://schemas.microsoft.com/office/word/2010/wordprocessingShape">
                    <wps:wsp>
                      <wps:cNvSpPr/>
                      <wps:spPr>
                        <a:xfrm>
                          <a:off x="0" y="0"/>
                          <a:ext cx="1026160" cy="21145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7CA95F0D">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9.3.1</w:t>
                            </w:r>
                            <w:r>
                              <w:rPr>
                                <w:rFonts w:hint="eastAsia" w:asciiTheme="minorEastAsia" w:hAnsiTheme="minorEastAsia" w:cstheme="minorEastAsia"/>
                                <w:sz w:val="15"/>
                                <w:szCs w:val="15"/>
                              </w:rPr>
                              <w:t>替代程序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7.45pt;margin-top:8.5pt;height:16.65pt;width:80.8pt;z-index:251683840;v-text-anchor:middle;mso-width-relative:page;mso-height-relative:page;" filled="f" stroked="t" coordsize="21600,21600" o:gfxdata="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JHEmLtgAAAAJAQAADwAAAAAAAAABACAAAAAiAAAAZHJzL2Rvd25yZXYu&#10;eG1sUEsBAhQAFAAAAAgAh07iQIAU9yttAgAA2AQAAA4AAAAAAAAAAQAgAAAAJwEAAGRycy9lMm9E&#10;b2MueG1sUEsFBgAAAAAGAAYAWQEAAAYGAAAAAA==&#10;">
                <v:fill on="f" focussize="0,0"/>
                <v:stroke weight="1pt" color="#000000 [3213]" miterlimit="8" joinstyle="miter"/>
                <v:imagedata o:title=""/>
                <o:lock v:ext="edit" aspectratio="f"/>
                <v:textbox>
                  <w:txbxContent>
                    <w:p w14:paraId="7CA95F0D">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9.3.1</w:t>
                      </w:r>
                      <w:r>
                        <w:rPr>
                          <w:rFonts w:hint="eastAsia" w:asciiTheme="minorEastAsia" w:hAnsiTheme="minorEastAsia" w:cstheme="minorEastAsia"/>
                          <w:sz w:val="15"/>
                          <w:szCs w:val="15"/>
                        </w:rPr>
                        <w:t>替代程序</w:t>
                      </w:r>
                    </w:p>
                  </w:txbxContent>
                </v:textbox>
              </v:rect>
            </w:pict>
          </mc:Fallback>
        </mc:AlternateContent>
      </w:r>
    </w:p>
    <w:p w14:paraId="30AAD15E">
      <w:pPr>
        <w:snapToGrid w:val="0"/>
        <w:spacing w:line="360" w:lineRule="auto"/>
        <w:ind w:firstLine="482" w:firstLineChars="200"/>
        <w:jc w:val="left"/>
        <w:outlineLvl w:val="2"/>
        <w:rPr>
          <w:rFonts w:asciiTheme="minorEastAsia" w:hAnsiTheme="minorEastAsia" w:cstheme="minorEastAsia"/>
          <w:b/>
          <w:bCs/>
          <w:sz w:val="24"/>
        </w:rPr>
      </w:pPr>
    </w:p>
    <w:p w14:paraId="13227C5A">
      <w:pPr>
        <w:snapToGrid w:val="0"/>
        <w:spacing w:line="360" w:lineRule="auto"/>
        <w:ind w:firstLine="480" w:firstLineChars="200"/>
        <w:jc w:val="left"/>
        <w:outlineLvl w:val="2"/>
        <w:rPr>
          <w:rFonts w:asciiTheme="minorEastAsia" w:hAnsiTheme="minorEastAsia" w:cstheme="minorEastAsia"/>
          <w:b/>
          <w:bCs/>
          <w:sz w:val="24"/>
        </w:rPr>
      </w:pPr>
      <w:r>
        <w:rPr>
          <w:sz w:val="24"/>
        </w:rPr>
        <mc:AlternateContent>
          <mc:Choice Requires="wps">
            <w:drawing>
              <wp:anchor distT="0" distB="0" distL="114300" distR="114300" simplePos="0" relativeHeight="251686912" behindDoc="0" locked="0" layoutInCell="1" allowOverlap="1">
                <wp:simplePos x="0" y="0"/>
                <wp:positionH relativeFrom="column">
                  <wp:posOffset>2049145</wp:posOffset>
                </wp:positionH>
                <wp:positionV relativeFrom="paragraph">
                  <wp:posOffset>4445</wp:posOffset>
                </wp:positionV>
                <wp:extent cx="3810" cy="104775"/>
                <wp:effectExtent l="35560" t="0" r="36830" b="9525"/>
                <wp:wrapNone/>
                <wp:docPr id="59" name="直接箭头连接符 59"/>
                <wp:cNvGraphicFramePr/>
                <a:graphic xmlns:a="http://schemas.openxmlformats.org/drawingml/2006/main">
                  <a:graphicData uri="http://schemas.microsoft.com/office/word/2010/wordprocessingShape">
                    <wps:wsp>
                      <wps:cNvCnPr/>
                      <wps:spPr>
                        <a:xfrm flipH="1">
                          <a:off x="0" y="0"/>
                          <a:ext cx="3810" cy="10477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61.35pt;margin-top:0.35pt;height:8.25pt;width:0.3pt;z-index:251686912;mso-width-relative:page;mso-height-relative:page;" filled="f" stroked="t" coordsize="21600,21600" o:gfxdata="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Hb2AfTAAAABwEAAA8AAAAAAAAAAQAgAAAA&#10;IgAAAGRycy9kb3ducmV2LnhtbFBLAQIUABQAAAAIAIdO4kC2s6qqEAIAAPADAAAOAAAAAAAAAAEA&#10;IAAAACIBAABkcnMvZTJvRG9jLnhtbFBLBQYAAAAABgAGAFkBAACkBQAAAAA=&#10;">
                <v:fill on="f" focussize="0,0"/>
                <v:stroke weight="1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87936" behindDoc="0" locked="0" layoutInCell="1" allowOverlap="1">
                <wp:simplePos x="0" y="0"/>
                <wp:positionH relativeFrom="column">
                  <wp:posOffset>1494155</wp:posOffset>
                </wp:positionH>
                <wp:positionV relativeFrom="paragraph">
                  <wp:posOffset>113665</wp:posOffset>
                </wp:positionV>
                <wp:extent cx="1082675" cy="210185"/>
                <wp:effectExtent l="6350" t="6350" r="15875" b="12065"/>
                <wp:wrapNone/>
                <wp:docPr id="63" name="矩形 63"/>
                <wp:cNvGraphicFramePr/>
                <a:graphic xmlns:a="http://schemas.openxmlformats.org/drawingml/2006/main">
                  <a:graphicData uri="http://schemas.microsoft.com/office/word/2010/wordprocessingShape">
                    <wps:wsp>
                      <wps:cNvSpPr/>
                      <wps:spPr>
                        <a:xfrm>
                          <a:off x="0" y="0"/>
                          <a:ext cx="1082675" cy="21018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6BF341D9">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9.4</w:t>
                            </w:r>
                            <w:r>
                              <w:rPr>
                                <w:rFonts w:hint="eastAsia" w:asciiTheme="minorEastAsia" w:hAnsiTheme="minorEastAsia" w:cstheme="minorEastAsia"/>
                                <w:sz w:val="15"/>
                                <w:szCs w:val="15"/>
                              </w:rPr>
                              <w:t>总体评价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7.65pt;margin-top:8.95pt;height:16.55pt;width:85.25pt;z-index:251687936;v-text-anchor:middle;mso-width-relative:page;mso-height-relative:page;" filled="f" stroked="t" coordsize="21600,21600" o:gfxdata="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DH7ma9gAAAAJAQAADwAAAAAAAAABACAAAAAiAAAAZHJzL2Rvd25y&#10;ZXYueG1sUEsBAhQAFAAAAAgAh07iQKysvwVwAgAA2AQAAA4AAAAAAAAAAQAgAAAAJwEAAGRycy9l&#10;Mm9Eb2MueG1sUEsFBgAAAAAGAAYAWQEAAAkGAAAAAA==&#10;">
                <v:fill on="f" focussize="0,0"/>
                <v:stroke weight="1pt" color="#000000 [3213]" miterlimit="8" joinstyle="miter"/>
                <v:imagedata o:title=""/>
                <o:lock v:ext="edit" aspectratio="f"/>
                <v:textbox>
                  <w:txbxContent>
                    <w:p w14:paraId="6BF341D9">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9.4</w:t>
                      </w:r>
                      <w:r>
                        <w:rPr>
                          <w:rFonts w:hint="eastAsia" w:asciiTheme="minorEastAsia" w:hAnsiTheme="minorEastAsia" w:cstheme="minorEastAsia"/>
                          <w:sz w:val="15"/>
                          <w:szCs w:val="15"/>
                        </w:rPr>
                        <w:t>总体评价</w:t>
                      </w:r>
                    </w:p>
                  </w:txbxContent>
                </v:textbox>
              </v:rect>
            </w:pict>
          </mc:Fallback>
        </mc:AlternateContent>
      </w:r>
    </w:p>
    <w:p w14:paraId="1FA5A532">
      <w:pPr>
        <w:snapToGrid w:val="0"/>
        <w:spacing w:line="360" w:lineRule="auto"/>
        <w:ind w:firstLine="480" w:firstLineChars="200"/>
        <w:jc w:val="left"/>
        <w:outlineLvl w:val="2"/>
        <w:rPr>
          <w:rFonts w:asciiTheme="minorEastAsia" w:hAnsiTheme="minorEastAsia" w:eastAsiaTheme="minorEastAsia" w:cstheme="minorEastAsia"/>
          <w:b/>
          <w:bCs/>
          <w:sz w:val="24"/>
        </w:rPr>
      </w:pPr>
      <w:r>
        <w:rPr>
          <w:sz w:val="24"/>
        </w:rPr>
        <mc:AlternateContent>
          <mc:Choice Requires="wps">
            <w:drawing>
              <wp:anchor distT="0" distB="0" distL="114300" distR="114300" simplePos="0" relativeHeight="251699200" behindDoc="0" locked="0" layoutInCell="1" allowOverlap="1">
                <wp:simplePos x="0" y="0"/>
                <wp:positionH relativeFrom="column">
                  <wp:posOffset>2019300</wp:posOffset>
                </wp:positionH>
                <wp:positionV relativeFrom="paragraph">
                  <wp:posOffset>254000</wp:posOffset>
                </wp:positionV>
                <wp:extent cx="1463675" cy="236855"/>
                <wp:effectExtent l="6350" t="6350" r="15875" b="23495"/>
                <wp:wrapNone/>
                <wp:docPr id="168" name="矩形 168"/>
                <wp:cNvGraphicFramePr/>
                <a:graphic xmlns:a="http://schemas.openxmlformats.org/drawingml/2006/main">
                  <a:graphicData uri="http://schemas.microsoft.com/office/word/2010/wordprocessingShape">
                    <wps:wsp>
                      <wps:cNvSpPr/>
                      <wps:spPr>
                        <a:xfrm>
                          <a:off x="0" y="0"/>
                          <a:ext cx="1463675" cy="23685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2A6E4659">
                            <w:pPr>
                              <w:spacing w:line="160" w:lineRule="exact"/>
                              <w:jc w:val="center"/>
                              <w:rPr>
                                <w:rFonts w:asciiTheme="minorEastAsia" w:hAnsiTheme="minorEastAsia" w:cstheme="minorEastAsia"/>
                                <w:sz w:val="15"/>
                                <w:szCs w:val="15"/>
                              </w:rPr>
                            </w:pPr>
                            <w:r>
                              <w:rPr>
                                <w:rFonts w:asciiTheme="minorEastAsia" w:hAnsiTheme="minorEastAsia" w:cstheme="minorEastAsia"/>
                                <w:sz w:val="15"/>
                                <w:szCs w:val="15"/>
                              </w:rPr>
                              <w:t>1.制定函证计</w:t>
                            </w:r>
                            <w:r>
                              <w:rPr>
                                <w:rFonts w:hint="eastAsia" w:asciiTheme="minorEastAsia" w:hAnsiTheme="minorEastAsia" w:cstheme="minorEastAsia"/>
                                <w:sz w:val="15"/>
                                <w:szCs w:val="15"/>
                              </w:rPr>
                              <w:t>划</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9pt;margin-top:20pt;height:18.65pt;width:115.25pt;z-index:251699200;v-text-anchor:middle;mso-width-relative:page;mso-height-relative:page;" filled="f" stroked="t" coordsize="21600,21600" o:gfxdata="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OsIKLfYAAAACQEAAA8AAAAAAAAAAQAgAAAAIgAAAGRycy9kb3du&#10;cmV2LnhtbFBLAQIUABQAAAAIAIdO4kC0eG58cQIAANoEAAAOAAAAAAAAAAEAIAAAACcBAABkcnMv&#10;ZTJvRG9jLnhtbFBLBQYAAAAABgAGAFkBAAAKBgAAAAA=&#10;">
                <v:fill on="f" focussize="0,0"/>
                <v:stroke weight="1pt" color="#000000 [3213]" miterlimit="8" joinstyle="miter"/>
                <v:imagedata o:title=""/>
                <o:lock v:ext="edit" aspectratio="f"/>
                <v:textbox>
                  <w:txbxContent>
                    <w:p w14:paraId="2A6E4659">
                      <w:pPr>
                        <w:spacing w:line="160" w:lineRule="exact"/>
                        <w:jc w:val="center"/>
                        <w:rPr>
                          <w:rFonts w:asciiTheme="minorEastAsia" w:hAnsiTheme="minorEastAsia" w:cstheme="minorEastAsia"/>
                          <w:sz w:val="15"/>
                          <w:szCs w:val="15"/>
                        </w:rPr>
                      </w:pPr>
                      <w:r>
                        <w:rPr>
                          <w:rFonts w:asciiTheme="minorEastAsia" w:hAnsiTheme="minorEastAsia" w:cstheme="minorEastAsia"/>
                          <w:sz w:val="15"/>
                          <w:szCs w:val="15"/>
                        </w:rPr>
                        <w:t>1.制定函证计</w:t>
                      </w:r>
                      <w:r>
                        <w:rPr>
                          <w:rFonts w:hint="eastAsia" w:asciiTheme="minorEastAsia" w:hAnsiTheme="minorEastAsia" w:cstheme="minorEastAsia"/>
                          <w:sz w:val="15"/>
                          <w:szCs w:val="15"/>
                        </w:rPr>
                        <w:t>划</w:t>
                      </w:r>
                    </w:p>
                  </w:txbxContent>
                </v:textbox>
              </v:rect>
            </w:pict>
          </mc:Fallback>
        </mc:AlternateContent>
      </w:r>
      <w:r>
        <w:rPr>
          <w:rFonts w:hint="eastAsia" w:asciiTheme="minorEastAsia" w:hAnsiTheme="minorEastAsia" w:eastAsiaTheme="minorEastAsia" w:cstheme="minorEastAsia"/>
          <w:b/>
          <w:bCs/>
          <w:sz w:val="24"/>
        </w:rPr>
        <w:t>（二）企业函证</w:t>
      </w:r>
    </w:p>
    <w:p w14:paraId="1F6FBF98">
      <w:pPr>
        <w:snapToGrid w:val="0"/>
        <w:spacing w:line="360" w:lineRule="auto"/>
        <w:ind w:firstLine="480" w:firstLineChars="200"/>
        <w:outlineLvl w:val="2"/>
        <w:rPr>
          <w:rFonts w:asciiTheme="minorEastAsia" w:hAnsiTheme="minorEastAsia" w:cstheme="minorEastAsia"/>
          <w:b/>
          <w:bCs/>
          <w:sz w:val="24"/>
        </w:rPr>
      </w:pPr>
      <w:r>
        <w:rPr>
          <w:sz w:val="24"/>
        </w:rPr>
        <mc:AlternateContent>
          <mc:Choice Requires="wps">
            <w:drawing>
              <wp:anchor distT="0" distB="0" distL="114300" distR="114300" simplePos="0" relativeHeight="251739136" behindDoc="0" locked="0" layoutInCell="1" allowOverlap="1">
                <wp:simplePos x="0" y="0"/>
                <wp:positionH relativeFrom="column">
                  <wp:posOffset>3405505</wp:posOffset>
                </wp:positionH>
                <wp:positionV relativeFrom="paragraph">
                  <wp:posOffset>188595</wp:posOffset>
                </wp:positionV>
                <wp:extent cx="209550" cy="1518285"/>
                <wp:effectExtent l="8255" t="0" r="54610" b="0"/>
                <wp:wrapNone/>
                <wp:docPr id="262" name="肘形连接符 262"/>
                <wp:cNvGraphicFramePr/>
                <a:graphic xmlns:a="http://schemas.openxmlformats.org/drawingml/2006/main">
                  <a:graphicData uri="http://schemas.microsoft.com/office/word/2010/wordprocessingShape">
                    <wps:wsp>
                      <wps:cNvCnPr/>
                      <wps:spPr>
                        <a:xfrm rot="5400000" flipV="1">
                          <a:off x="4449445" y="1276350"/>
                          <a:ext cx="209550" cy="1518285"/>
                        </a:xfrm>
                        <a:prstGeom prst="bentConnector3">
                          <a:avLst>
                            <a:gd name="adj1" fmla="val 49848"/>
                          </a:avLst>
                        </a:prstGeom>
                        <a:ln w="158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268.15pt;margin-top:14.85pt;height:119.55pt;width:16.5pt;rotation:-5898240f;z-index:251739136;mso-width-relative:page;mso-height-relative:page;" filled="f" stroked="t" coordsize="21600,21600" o:gfxdata="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&#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VeMOvaAAAACgEAAA8AAAAAAAAAAQAgAAAAIgAAAGRy&#10;cy9kb3ducmV2LnhtbFBLAQIUABQAAAAIAIdO4kDC4h6+PAIAADIEAAAOAAAAAAAAAAEAIAAAACkB&#10;AABkcnMvZTJvRG9jLnhtbFBLBQYAAAAABgAGAFkBAADXBQAAAAA=&#10;" adj="10767">
                <v:fill on="f" focussize="0,0"/>
                <v:stroke weight="1.25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700224" behindDoc="0" locked="0" layoutInCell="1" allowOverlap="1">
                <wp:simplePos x="0" y="0"/>
                <wp:positionH relativeFrom="column">
                  <wp:posOffset>2774315</wp:posOffset>
                </wp:positionH>
                <wp:positionV relativeFrom="paragraph">
                  <wp:posOffset>210820</wp:posOffset>
                </wp:positionV>
                <wp:extent cx="3810" cy="104775"/>
                <wp:effectExtent l="35560" t="0" r="36830" b="9525"/>
                <wp:wrapNone/>
                <wp:docPr id="169" name="直接箭头连接符 169"/>
                <wp:cNvGraphicFramePr/>
                <a:graphic xmlns:a="http://schemas.openxmlformats.org/drawingml/2006/main">
                  <a:graphicData uri="http://schemas.microsoft.com/office/word/2010/wordprocessingShape">
                    <wps:wsp>
                      <wps:cNvCnPr/>
                      <wps:spPr>
                        <a:xfrm flipH="1">
                          <a:off x="0" y="0"/>
                          <a:ext cx="3810" cy="10477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18.45pt;margin-top:16.6pt;height:8.25pt;width:0.3pt;z-index:251700224;mso-width-relative:page;mso-height-relative:page;" filled="f" stroked="t" coordsize="21600,21600" o:gfxdata="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TLafnWAAAACQEAAA8AAAAAAAAAAQAg&#10;AAAAIgAAAGRycy9kb3ducmV2LnhtbFBLAQIUABQAAAAIAIdO4kBNuVhDEAIAAPIDAAAOAAAAAAAA&#10;AAEAIAAAACUBAABkcnMvZTJvRG9jLnhtbFBLBQYAAAAABgAGAFkBAACnBQAAAAA=&#10;">
                <v:fill on="f" focussize="0,0"/>
                <v:stroke weight="1pt" color="#000000 [3213]" miterlimit="8" joinstyle="miter" endarrow="block"/>
                <v:imagedata o:title=""/>
                <o:lock v:ext="edit" aspectratio="f"/>
              </v:shape>
            </w:pict>
          </mc:Fallback>
        </mc:AlternateContent>
      </w:r>
    </w:p>
    <w:p w14:paraId="5F7A810F">
      <w:pPr>
        <w:snapToGrid w:val="0"/>
        <w:spacing w:line="360" w:lineRule="auto"/>
        <w:jc w:val="center"/>
        <w:outlineLvl w:val="2"/>
        <w:rPr>
          <w:rFonts w:ascii="Arial" w:hAnsi="Arial" w:cs="Arial"/>
          <w:b/>
          <w:bCs/>
          <w:sz w:val="24"/>
        </w:rPr>
      </w:pPr>
      <w:r>
        <w:rPr>
          <w:sz w:val="24"/>
        </w:rPr>
        <mc:AlternateContent>
          <mc:Choice Requires="wps">
            <w:drawing>
              <wp:anchor distT="0" distB="0" distL="114300" distR="114300" simplePos="0" relativeHeight="251694080" behindDoc="0" locked="0" layoutInCell="1" allowOverlap="1">
                <wp:simplePos x="0" y="0"/>
                <wp:positionH relativeFrom="column">
                  <wp:posOffset>2764790</wp:posOffset>
                </wp:positionH>
                <wp:positionV relativeFrom="paragraph">
                  <wp:posOffset>228600</wp:posOffset>
                </wp:positionV>
                <wp:extent cx="3810" cy="104775"/>
                <wp:effectExtent l="35560" t="0" r="36830" b="9525"/>
                <wp:wrapNone/>
                <wp:docPr id="129" name="直接箭头连接符 129"/>
                <wp:cNvGraphicFramePr/>
                <a:graphic xmlns:a="http://schemas.openxmlformats.org/drawingml/2006/main">
                  <a:graphicData uri="http://schemas.microsoft.com/office/word/2010/wordprocessingShape">
                    <wps:wsp>
                      <wps:cNvCnPr/>
                      <wps:spPr>
                        <a:xfrm flipH="1">
                          <a:off x="3556635" y="4601210"/>
                          <a:ext cx="3810" cy="10477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17.7pt;margin-top:18pt;height:8.25pt;width:0.3pt;z-index:251694080;mso-width-relative:page;mso-height-relative:page;" filled="f" stroked="t" coordsize="21600,21600" o:gfxdata="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9RNBtUAAAAJAQAA&#10;DwAAAAAAAAABACAAAAAiAAAAZHJzL2Rvd25yZXYueG1sUEsBAhQAFAAAAAgAh07iQMJ6jpocAgAA&#10;/gMAAA4AAAAAAAAAAQAgAAAAJAEAAGRycy9lMm9Eb2MueG1sUEsFBgAAAAAGAAYAWQEAALIFAAAA&#10;AA==&#10;">
                <v:fill on="f" focussize="0,0"/>
                <v:stroke weight="1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89984" behindDoc="0" locked="0" layoutInCell="1" allowOverlap="1">
                <wp:simplePos x="0" y="0"/>
                <wp:positionH relativeFrom="column">
                  <wp:posOffset>2018030</wp:posOffset>
                </wp:positionH>
                <wp:positionV relativeFrom="paragraph">
                  <wp:posOffset>5080</wp:posOffset>
                </wp:positionV>
                <wp:extent cx="1465580" cy="209550"/>
                <wp:effectExtent l="6350" t="6350" r="13970" b="12700"/>
                <wp:wrapNone/>
                <wp:docPr id="130" name="矩形 130"/>
                <wp:cNvGraphicFramePr/>
                <a:graphic xmlns:a="http://schemas.openxmlformats.org/drawingml/2006/main">
                  <a:graphicData uri="http://schemas.microsoft.com/office/word/2010/wordprocessingShape">
                    <wps:wsp>
                      <wps:cNvSpPr/>
                      <wps:spPr>
                        <a:xfrm>
                          <a:off x="0" y="0"/>
                          <a:ext cx="1465580" cy="20955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4BAC964E">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2.确定函证事</w:t>
                            </w:r>
                            <w:r>
                              <w:rPr>
                                <w:rFonts w:hint="eastAsia" w:asciiTheme="minorEastAsia" w:hAnsiTheme="minorEastAsia" w:cstheme="minorEastAsia"/>
                                <w:sz w:val="15"/>
                                <w:szCs w:val="15"/>
                              </w:rPr>
                              <w:t>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8.9pt;margin-top:0.4pt;height:16.5pt;width:115.4pt;z-index:251689984;v-text-anchor:middle;mso-width-relative:page;mso-height-relative:page;" filled="f" stroked="t" coordsize="21600,21600" o:gfxdata="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z5Y1aNcAAAAHAQAADwAAAAAAAAABACAAAAAiAAAAZHJzL2Rvd25yZXYu&#10;eG1sUEsBAhQAFAAAAAgAh07iQO6IhpZuAgAA2gQAAA4AAAAAAAAAAQAgAAAAJgEAAGRycy9lMm9E&#10;b2MueG1sUEsFBgAAAAAGAAYAWQEAAAYGAAAAAA==&#10;">
                <v:fill on="f" focussize="0,0"/>
                <v:stroke weight="1pt" color="#000000 [3213]" miterlimit="8" joinstyle="miter"/>
                <v:imagedata o:title=""/>
                <o:lock v:ext="edit" aspectratio="f"/>
                <v:textbox>
                  <w:txbxContent>
                    <w:p w14:paraId="4BAC964E">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2.确定函证事</w:t>
                      </w:r>
                      <w:r>
                        <w:rPr>
                          <w:rFonts w:hint="eastAsia" w:asciiTheme="minorEastAsia" w:hAnsiTheme="minorEastAsia" w:cstheme="minorEastAsia"/>
                          <w:sz w:val="15"/>
                          <w:szCs w:val="15"/>
                        </w:rPr>
                        <w:t>项</w:t>
                      </w:r>
                    </w:p>
                  </w:txbxContent>
                </v:textbox>
              </v:rect>
            </w:pict>
          </mc:Fallback>
        </mc:AlternateContent>
      </w:r>
    </w:p>
    <w:p w14:paraId="3FD679E8">
      <w:pPr>
        <w:snapToGrid w:val="0"/>
        <w:spacing w:line="360" w:lineRule="auto"/>
        <w:jc w:val="both"/>
        <w:outlineLvl w:val="2"/>
        <w:rPr>
          <w:rFonts w:ascii="Arial" w:hAnsi="Arial" w:cs="Arial"/>
          <w:b/>
          <w:bCs/>
          <w:sz w:val="24"/>
        </w:rPr>
      </w:pPr>
      <w:r>
        <w:rPr>
          <w:sz w:val="24"/>
        </w:rPr>
        <mc:AlternateContent>
          <mc:Choice Requires="wps">
            <w:drawing>
              <wp:anchor distT="0" distB="0" distL="114300" distR="114300" simplePos="0" relativeHeight="251701248" behindDoc="0" locked="0" layoutInCell="1" allowOverlap="1">
                <wp:simplePos x="0" y="0"/>
                <wp:positionH relativeFrom="column">
                  <wp:posOffset>2019300</wp:posOffset>
                </wp:positionH>
                <wp:positionV relativeFrom="paragraph">
                  <wp:posOffset>64770</wp:posOffset>
                </wp:positionV>
                <wp:extent cx="1463675" cy="219075"/>
                <wp:effectExtent l="6350" t="6350" r="15875" b="22225"/>
                <wp:wrapNone/>
                <wp:docPr id="170" name="矩形 170"/>
                <wp:cNvGraphicFramePr/>
                <a:graphic xmlns:a="http://schemas.openxmlformats.org/drawingml/2006/main">
                  <a:graphicData uri="http://schemas.microsoft.com/office/word/2010/wordprocessingShape">
                    <wps:wsp>
                      <wps:cNvSpPr/>
                      <wps:spPr>
                        <a:xfrm>
                          <a:off x="0" y="0"/>
                          <a:ext cx="1463675" cy="21907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19575495">
                            <w:pPr>
                              <w:spacing w:line="160" w:lineRule="exact"/>
                              <w:jc w:val="center"/>
                              <w:rPr>
                                <w:rFonts w:asciiTheme="minorEastAsia" w:hAnsiTheme="minorEastAsia" w:cstheme="minorEastAsia"/>
                                <w:sz w:val="15"/>
                                <w:szCs w:val="15"/>
                              </w:rPr>
                            </w:pPr>
                            <w:r>
                              <w:rPr>
                                <w:rFonts w:asciiTheme="minorEastAsia" w:hAnsiTheme="minorEastAsia" w:cstheme="minorEastAsia"/>
                                <w:sz w:val="15"/>
                                <w:szCs w:val="15"/>
                              </w:rPr>
                              <w:t>3.</w:t>
                            </w:r>
                            <w:r>
                              <w:rPr>
                                <w:rFonts w:hint="eastAsia" w:asciiTheme="minorEastAsia" w:hAnsiTheme="minorEastAsia" w:cstheme="minorEastAsia"/>
                                <w:sz w:val="15"/>
                                <w:szCs w:val="15"/>
                              </w:rPr>
                              <w:t>确定函证项目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9pt;margin-top:5.1pt;height:17.25pt;width:115.25pt;z-index:251701248;v-text-anchor:middle;mso-width-relative:page;mso-height-relative:page;" filled="f" stroked="t" coordsize="21600,21600" o:gfxdata="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OJlX63XAAAACQEAAA8AAAAAAAAAAQAgAAAAIgAAAGRycy9kb3ducmV2&#10;LnhtbFBLAQIUABQAAAAIAIdO4kDWSFdcbwIAANoEAAAOAAAAAAAAAAEAIAAAACYBAABkcnMvZTJv&#10;RG9jLnhtbFBLBQYAAAAABgAGAFkBAAAHBgAAAAA=&#10;">
                <v:fill on="f" focussize="0,0"/>
                <v:stroke weight="1pt" color="#000000 [3213]" miterlimit="8" joinstyle="miter"/>
                <v:imagedata o:title=""/>
                <o:lock v:ext="edit" aspectratio="f"/>
                <v:textbox>
                  <w:txbxContent>
                    <w:p w14:paraId="19575495">
                      <w:pPr>
                        <w:spacing w:line="160" w:lineRule="exact"/>
                        <w:jc w:val="center"/>
                        <w:rPr>
                          <w:rFonts w:asciiTheme="minorEastAsia" w:hAnsiTheme="minorEastAsia" w:cstheme="minorEastAsia"/>
                          <w:sz w:val="15"/>
                          <w:szCs w:val="15"/>
                        </w:rPr>
                      </w:pPr>
                      <w:r>
                        <w:rPr>
                          <w:rFonts w:asciiTheme="minorEastAsia" w:hAnsiTheme="minorEastAsia" w:cstheme="minorEastAsia"/>
                          <w:sz w:val="15"/>
                          <w:szCs w:val="15"/>
                        </w:rPr>
                        <w:t>3.</w:t>
                      </w:r>
                      <w:r>
                        <w:rPr>
                          <w:rFonts w:hint="eastAsia" w:asciiTheme="minorEastAsia" w:hAnsiTheme="minorEastAsia" w:cstheme="minorEastAsia"/>
                          <w:sz w:val="15"/>
                          <w:szCs w:val="15"/>
                        </w:rPr>
                        <w:t>确定函证项目</w:t>
                      </w:r>
                    </w:p>
                  </w:txbxContent>
                </v:textbox>
              </v:rect>
            </w:pict>
          </mc:Fallback>
        </mc:AlternateContent>
      </w:r>
    </w:p>
    <w:p w14:paraId="068E385F">
      <w:pPr>
        <w:snapToGrid w:val="0"/>
        <w:spacing w:line="360" w:lineRule="auto"/>
        <w:jc w:val="center"/>
        <w:outlineLvl w:val="2"/>
        <w:rPr>
          <w:rFonts w:asciiTheme="minorEastAsia" w:hAnsiTheme="minorEastAsia" w:cstheme="minorEastAsia"/>
          <w:b/>
          <w:bCs/>
          <w:sz w:val="24"/>
        </w:rPr>
      </w:pPr>
      <w:r>
        <w:rPr>
          <w:sz w:val="24"/>
        </w:rPr>
        <mc:AlternateContent>
          <mc:Choice Requires="wps">
            <w:drawing>
              <wp:anchor distT="0" distB="0" distL="114300" distR="114300" simplePos="0" relativeHeight="251703296" behindDoc="0" locked="0" layoutInCell="1" allowOverlap="1">
                <wp:simplePos x="0" y="0"/>
                <wp:positionH relativeFrom="column">
                  <wp:posOffset>3799840</wp:posOffset>
                </wp:positionH>
                <wp:positionV relativeFrom="paragraph">
                  <wp:posOffset>230505</wp:posOffset>
                </wp:positionV>
                <wp:extent cx="939800" cy="200025"/>
                <wp:effectExtent l="6350" t="6350" r="6350" b="22225"/>
                <wp:wrapNone/>
                <wp:docPr id="173" name="矩形 173"/>
                <wp:cNvGraphicFramePr/>
                <a:graphic xmlns:a="http://schemas.openxmlformats.org/drawingml/2006/main">
                  <a:graphicData uri="http://schemas.microsoft.com/office/word/2010/wordprocessingShape">
                    <wps:wsp>
                      <wps:cNvSpPr/>
                      <wps:spPr>
                        <a:xfrm>
                          <a:off x="0" y="0"/>
                          <a:ext cx="939800" cy="20002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07AE92DF">
                            <w:pPr>
                              <w:spacing w:line="16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函证很可能无效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9.2pt;margin-top:18.15pt;height:15.75pt;width:74pt;z-index:251703296;v-text-anchor:middle;mso-width-relative:page;mso-height-relative:page;" filled="f" stroked="t" coordsize="21600,21600" o:gfxdata="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Md9IFtkAAAAJAQAADwAAAAAAAAABACAAAAAiAAAAZHJzL2Rvd25y&#10;ZXYueG1sUEsBAhQAFAAAAAgAh07iQEm42Z9vAgAA2QQAAA4AAAAAAAAAAQAgAAAAKAEAAGRycy9l&#10;Mm9Eb2MueG1sUEsFBgAAAAAGAAYAWQEAAAkGAAAAAA==&#10;">
                <v:fill on="f" focussize="0,0"/>
                <v:stroke weight="1pt" color="#000000 [3213]" miterlimit="8" joinstyle="miter"/>
                <v:imagedata o:title=""/>
                <o:lock v:ext="edit" aspectratio="f"/>
                <v:textbox>
                  <w:txbxContent>
                    <w:p w14:paraId="07AE92DF">
                      <w:pPr>
                        <w:spacing w:line="16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函证很可能无效</w:t>
                      </w:r>
                    </w:p>
                  </w:txbxContent>
                </v:textbox>
              </v:rect>
            </w:pict>
          </mc:Fallback>
        </mc:AlternateContent>
      </w:r>
      <w:r>
        <w:rPr>
          <w:sz w:val="24"/>
        </w:rPr>
        <mc:AlternateContent>
          <mc:Choice Requires="wps">
            <w:drawing>
              <wp:anchor distT="0" distB="0" distL="114300" distR="114300" simplePos="0" relativeHeight="251702272" behindDoc="0" locked="0" layoutInCell="1" allowOverlap="1">
                <wp:simplePos x="0" y="0"/>
                <wp:positionH relativeFrom="column">
                  <wp:posOffset>817880</wp:posOffset>
                </wp:positionH>
                <wp:positionV relativeFrom="paragraph">
                  <wp:posOffset>220980</wp:posOffset>
                </wp:positionV>
                <wp:extent cx="1083945" cy="200025"/>
                <wp:effectExtent l="6350" t="6350" r="14605" b="22225"/>
                <wp:wrapNone/>
                <wp:docPr id="172" name="矩形 172"/>
                <wp:cNvGraphicFramePr/>
                <a:graphic xmlns:a="http://schemas.openxmlformats.org/drawingml/2006/main">
                  <a:graphicData uri="http://schemas.microsoft.com/office/word/2010/wordprocessingShape">
                    <wps:wsp>
                      <wps:cNvSpPr/>
                      <wps:spPr>
                        <a:xfrm>
                          <a:off x="0" y="0"/>
                          <a:ext cx="1083945" cy="20002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6B6AF42D">
                            <w:pPr>
                              <w:spacing w:line="16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函证有效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4.4pt;margin-top:17.4pt;height:15.75pt;width:85.35pt;z-index:251702272;v-text-anchor:middle;mso-width-relative:page;mso-height-relative:page;" filled="f" stroked="t" coordsize="21600,21600" o:gfxdata="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0v+Es9gAAAAJAQAADwAAAAAAAAABACAAAAAiAAAAZHJzL2Rvd25y&#10;ZXYueG1sUEsBAhQAFAAAAAgAh07iQBKkEfFwAgAA2gQAAA4AAAAAAAAAAQAgAAAAJwEAAGRycy9l&#10;Mm9Eb2MueG1sUEsFBgAAAAAGAAYAWQEAAAkGAAAAAA==&#10;">
                <v:fill on="f" focussize="0,0"/>
                <v:stroke weight="1pt" color="#000000 [3213]" miterlimit="8" joinstyle="miter"/>
                <v:imagedata o:title=""/>
                <o:lock v:ext="edit" aspectratio="f"/>
                <v:textbox>
                  <w:txbxContent>
                    <w:p w14:paraId="6B6AF42D">
                      <w:pPr>
                        <w:spacing w:line="16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函证有效</w:t>
                      </w:r>
                    </w:p>
                  </w:txbxContent>
                </v:textbox>
              </v:rect>
            </w:pict>
          </mc:Fallback>
        </mc:AlternateContent>
      </w:r>
      <w:r>
        <w:rPr>
          <w:sz w:val="24"/>
        </w:rPr>
        <mc:AlternateContent>
          <mc:Choice Requires="wps">
            <w:drawing>
              <wp:anchor distT="0" distB="0" distL="114300" distR="114300" simplePos="0" relativeHeight="251738112" behindDoc="0" locked="0" layoutInCell="1" allowOverlap="1">
                <wp:simplePos x="0" y="0"/>
                <wp:positionH relativeFrom="column">
                  <wp:posOffset>1951355</wp:posOffset>
                </wp:positionH>
                <wp:positionV relativeFrom="paragraph">
                  <wp:posOffset>-570230</wp:posOffset>
                </wp:positionV>
                <wp:extent cx="200025" cy="1381760"/>
                <wp:effectExtent l="38100" t="0" r="8890" b="9525"/>
                <wp:wrapNone/>
                <wp:docPr id="260" name="肘形连接符 260"/>
                <wp:cNvGraphicFramePr/>
                <a:graphic xmlns:a="http://schemas.openxmlformats.org/drawingml/2006/main">
                  <a:graphicData uri="http://schemas.microsoft.com/office/word/2010/wordprocessingShape">
                    <wps:wsp>
                      <wps:cNvCnPr/>
                      <wps:spPr>
                        <a:xfrm rot="5400000">
                          <a:off x="3004820" y="1339850"/>
                          <a:ext cx="200025" cy="1381760"/>
                        </a:xfrm>
                        <a:prstGeom prst="bentConnector3">
                          <a:avLst>
                            <a:gd name="adj1" fmla="val 50000"/>
                          </a:avLst>
                        </a:prstGeom>
                        <a:ln w="158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153.65pt;margin-top:-44.9pt;height:108.8pt;width:15.75pt;rotation:5898240f;z-index:251738112;mso-width-relative:page;mso-height-relative:page;" filled="f" stroked="t" coordsize="21600,21600" o:gfxdata="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n7cmYNsAAAALAQAADwAAAAAAAAABACAAAAAiAAAAZHJzL2Rvd25yZXYu&#10;eG1sUEsBAhQAFAAAAAgAh07iQNe3/xUxAgAAKAQAAA4AAAAAAAAAAQAgAAAAKgEAAGRycy9lMm9E&#10;b2MueG1sUEsFBgAAAAAGAAYAWQEAAM0FAAAAAA==&#10;" adj="10800">
                <v:fill on="f" focussize="0,0"/>
                <v:stroke weight="1.25pt" color="#000000 [3213]" miterlimit="8" joinstyle="miter" endarrow="block"/>
                <v:imagedata o:title=""/>
                <o:lock v:ext="edit" aspectratio="f"/>
              </v:shape>
            </w:pict>
          </mc:Fallback>
        </mc:AlternateContent>
      </w:r>
    </w:p>
    <w:p w14:paraId="4EEC91DA">
      <w:pPr>
        <w:rPr>
          <w:rFonts w:asciiTheme="minorEastAsia" w:hAnsiTheme="minorEastAsia" w:cstheme="minorEastAsia"/>
          <w:b/>
          <w:bCs/>
          <w:sz w:val="24"/>
        </w:rPr>
      </w:pPr>
      <w:r>
        <w:rPr>
          <w:sz w:val="24"/>
        </w:rPr>
        <mc:AlternateContent>
          <mc:Choice Requires="wps">
            <w:drawing>
              <wp:anchor distT="0" distB="0" distL="114300" distR="114300" simplePos="0" relativeHeight="251730944" behindDoc="0" locked="0" layoutInCell="1" allowOverlap="1">
                <wp:simplePos x="0" y="0"/>
                <wp:positionH relativeFrom="column">
                  <wp:posOffset>3081655</wp:posOffset>
                </wp:positionH>
                <wp:positionV relativeFrom="paragraph">
                  <wp:posOffset>100965</wp:posOffset>
                </wp:positionV>
                <wp:extent cx="1657985" cy="4298950"/>
                <wp:effectExtent l="0" t="7620" r="247015" b="55880"/>
                <wp:wrapNone/>
                <wp:docPr id="229" name="肘形连接符 229"/>
                <wp:cNvGraphicFramePr/>
                <a:graphic xmlns:a="http://schemas.openxmlformats.org/drawingml/2006/main">
                  <a:graphicData uri="http://schemas.microsoft.com/office/word/2010/wordprocessingShape">
                    <wps:wsp>
                      <wps:cNvCnPr/>
                      <wps:spPr>
                        <a:xfrm flipH="1">
                          <a:off x="5068570" y="2307590"/>
                          <a:ext cx="1657985" cy="4298950"/>
                        </a:xfrm>
                        <a:prstGeom prst="bentConnector3">
                          <a:avLst>
                            <a:gd name="adj1" fmla="val -14362"/>
                          </a:avLst>
                        </a:prstGeom>
                        <a:ln w="158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x;margin-left:242.65pt;margin-top:7.95pt;height:338.5pt;width:130.55pt;z-index:251730944;mso-width-relative:page;mso-height-relative:page;" filled="f" stroked="t" coordsize="21600,21600" o:gfxdata="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5anILZAAAACgEAAA8AAAAAAAAAAQAgAAAAIgAAAGRycy9kb3du&#10;cmV2LnhtbFBLAQIUABQAAAAIAIdO4kAN0msJNwIAACYEAAAOAAAAAAAAAAEAIAAAACgBAABkcnMv&#10;ZTJvRG9jLnhtbFBLBQYAAAAABgAGAFkBAADRBQAAAAA=&#10;" adj="-3102">
                <v:fill on="f" focussize="0,0"/>
                <v:stroke weight="1.25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707392" behindDoc="0" locked="0" layoutInCell="1" allowOverlap="1">
                <wp:simplePos x="0" y="0"/>
                <wp:positionH relativeFrom="column">
                  <wp:posOffset>1843405</wp:posOffset>
                </wp:positionH>
                <wp:positionV relativeFrom="paragraph">
                  <wp:posOffset>-250190</wp:posOffset>
                </wp:positionV>
                <wp:extent cx="200025" cy="957580"/>
                <wp:effectExtent l="6350" t="0" r="45720" b="9525"/>
                <wp:wrapNone/>
                <wp:docPr id="190" name="肘形连接符 190"/>
                <wp:cNvGraphicFramePr/>
                <a:graphic xmlns:a="http://schemas.openxmlformats.org/drawingml/2006/main">
                  <a:graphicData uri="http://schemas.microsoft.com/office/word/2010/wordprocessingShape">
                    <wps:wsp>
                      <wps:cNvCnPr/>
                      <wps:spPr>
                        <a:xfrm rot="5400000" flipV="1">
                          <a:off x="0" y="0"/>
                          <a:ext cx="200025" cy="957580"/>
                        </a:xfrm>
                        <a:prstGeom prst="bentConnector3">
                          <a:avLst>
                            <a:gd name="adj1" fmla="val 50000"/>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145.15pt;margin-top:-19.7pt;height:75.4pt;width:15.75pt;rotation:-5898240f;z-index:251707392;mso-width-relative:page;mso-height-relative:page;" filled="f" stroked="t" coordsize="21600,21600" o:gfxdata="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2pG2W2AAAAAsBAAAPAAAAAAAAAAEAIAAAACIAAABkcnMvZG93bnJldi54bWxQSwECFAAU&#10;AAAACACHTuJA9CIllCoCAAAlBAAADgAAAAAAAAABACAAAAAnAQAAZHJzL2Uyb0RvYy54bWxQSwUG&#10;AAAAAAYABgBZAQAAwwUAAAAA&#10;" adj="10800">
                <v:fill on="f" focussize="0,0"/>
                <v:stroke weight="1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706368" behindDoc="0" locked="0" layoutInCell="1" allowOverlap="1">
                <wp:simplePos x="0" y="0"/>
                <wp:positionH relativeFrom="column">
                  <wp:posOffset>911860</wp:posOffset>
                </wp:positionH>
                <wp:positionV relativeFrom="paragraph">
                  <wp:posOffset>-224155</wp:posOffset>
                </wp:positionV>
                <wp:extent cx="200025" cy="904875"/>
                <wp:effectExtent l="38100" t="0" r="9525" b="9525"/>
                <wp:wrapNone/>
                <wp:docPr id="189" name="肘形连接符 189"/>
                <wp:cNvGraphicFramePr/>
                <a:graphic xmlns:a="http://schemas.openxmlformats.org/drawingml/2006/main">
                  <a:graphicData uri="http://schemas.microsoft.com/office/word/2010/wordprocessingShape">
                    <wps:wsp>
                      <wps:cNvCnPr/>
                      <wps:spPr>
                        <a:xfrm rot="5400000">
                          <a:off x="0" y="0"/>
                          <a:ext cx="200025" cy="904875"/>
                        </a:xfrm>
                        <a:prstGeom prst="bentConnector3">
                          <a:avLst>
                            <a:gd name="adj1" fmla="val 50159"/>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71.8pt;margin-top:-17.65pt;height:71.25pt;width:15.75pt;rotation:5898240f;z-index:251706368;mso-width-relative:page;mso-height-relative:page;" filled="f" stroked="t" coordsize="21600,21600" o:gfxdata="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R7FUzbAAAACwEAAA8AAAAAAAAAAQAgAAAAIgAAAGRycy9kb3ducmV2LnhtbFBLAQIUABQA&#10;AAAIAIdO4kBeYnVHJgIAABsEAAAOAAAAAAAAAAEAIAAAACoBAABkcnMvZTJvRG9jLnhtbFBLBQYA&#10;AAAABgAGAFkBAADCBQAAAAA=&#10;" adj="10834">
                <v:fill on="f" focussize="0,0"/>
                <v:stroke weight="1pt" color="#000000 [3213]" miterlimit="8" joinstyle="miter" endarrow="block"/>
                <v:imagedata o:title=""/>
                <o:lock v:ext="edit" aspectratio="f"/>
              </v:shape>
            </w:pict>
          </mc:Fallback>
        </mc:AlternateContent>
      </w:r>
    </w:p>
    <w:p w14:paraId="4A1C74D0">
      <w:pPr>
        <w:snapToGrid w:val="0"/>
        <w:spacing w:line="360" w:lineRule="auto"/>
        <w:rPr>
          <w:rFonts w:asciiTheme="minorEastAsia" w:hAnsiTheme="minorEastAsia" w:cstheme="minorEastAsia"/>
          <w:sz w:val="24"/>
        </w:rPr>
      </w:pPr>
      <w:r>
        <w:rPr>
          <w:sz w:val="24"/>
        </w:rPr>
        <mc:AlternateContent>
          <mc:Choice Requires="wps">
            <w:drawing>
              <wp:anchor distT="0" distB="0" distL="114300" distR="114300" simplePos="0" relativeHeight="251705344" behindDoc="0" locked="0" layoutInCell="1" allowOverlap="1">
                <wp:simplePos x="0" y="0"/>
                <wp:positionH relativeFrom="column">
                  <wp:posOffset>2037715</wp:posOffset>
                </wp:positionH>
                <wp:positionV relativeFrom="paragraph">
                  <wp:posOffset>126365</wp:posOffset>
                </wp:positionV>
                <wp:extent cx="1425575" cy="313690"/>
                <wp:effectExtent l="6350" t="6350" r="15875" b="22860"/>
                <wp:wrapNone/>
                <wp:docPr id="177" name="矩形 177"/>
                <wp:cNvGraphicFramePr/>
                <a:graphic xmlns:a="http://schemas.openxmlformats.org/drawingml/2006/main">
                  <a:graphicData uri="http://schemas.microsoft.com/office/word/2010/wordprocessingShape">
                    <wps:wsp>
                      <wps:cNvSpPr/>
                      <wps:spPr>
                        <a:xfrm>
                          <a:off x="0" y="0"/>
                          <a:ext cx="1425575" cy="31369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028EA9B4">
                            <w:pPr>
                              <w:spacing w:line="16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管理层允许函证</w:t>
                            </w:r>
                          </w:p>
                          <w:p w14:paraId="485EE257">
                            <w:pPr>
                              <w:spacing w:line="16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（或不允许但没有合理理由）</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0.45pt;margin-top:9.95pt;height:24.7pt;width:112.25pt;z-index:251705344;v-text-anchor:middle;mso-width-relative:page;mso-height-relative:page;" filled="f" stroked="t" coordsize="21600,21600" o:gfxdata="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IDlUQbYAAAACQEAAA8AAAAAAAAAAQAgAAAAIgAAAGRycy9kb3du&#10;cmV2LnhtbFBLAQIUABQAAAAIAIdO4kDWgJrNcQIAANoEAAAOAAAAAAAAAAEAIAAAACcBAABkcnMv&#10;ZTJvRG9jLnhtbFBLBQYAAAAABgAGAFkBAAAKBgAAAAA=&#10;">
                <v:fill on="f" focussize="0,0"/>
                <v:stroke weight="1pt" color="#000000 [3213]" miterlimit="8" joinstyle="miter"/>
                <v:imagedata o:title=""/>
                <o:lock v:ext="edit" aspectratio="f"/>
                <v:textbox>
                  <w:txbxContent>
                    <w:p w14:paraId="028EA9B4">
                      <w:pPr>
                        <w:spacing w:line="16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管理层允许函证</w:t>
                      </w:r>
                    </w:p>
                    <w:p w14:paraId="485EE257">
                      <w:pPr>
                        <w:spacing w:line="16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（或不允许但没有合理理由）</w:t>
                      </w:r>
                    </w:p>
                  </w:txbxContent>
                </v:textbox>
              </v:rect>
            </w:pict>
          </mc:Fallback>
        </mc:AlternateContent>
      </w:r>
      <w:r>
        <w:rPr>
          <w:sz w:val="24"/>
        </w:rPr>
        <mc:AlternateContent>
          <mc:Choice Requires="wps">
            <w:drawing>
              <wp:anchor distT="0" distB="0" distL="114300" distR="114300" simplePos="0" relativeHeight="251704320" behindDoc="0" locked="0" layoutInCell="1" allowOverlap="1">
                <wp:simplePos x="0" y="0"/>
                <wp:positionH relativeFrom="column">
                  <wp:posOffset>228600</wp:posOffset>
                </wp:positionH>
                <wp:positionV relativeFrom="paragraph">
                  <wp:posOffset>135890</wp:posOffset>
                </wp:positionV>
                <wp:extent cx="1090930" cy="321945"/>
                <wp:effectExtent l="6350" t="6350" r="7620" b="14605"/>
                <wp:wrapNone/>
                <wp:docPr id="176" name="矩形 176"/>
                <wp:cNvGraphicFramePr/>
                <a:graphic xmlns:a="http://schemas.openxmlformats.org/drawingml/2006/main">
                  <a:graphicData uri="http://schemas.microsoft.com/office/word/2010/wordprocessingShape">
                    <wps:wsp>
                      <wps:cNvSpPr/>
                      <wps:spPr>
                        <a:xfrm>
                          <a:off x="0" y="0"/>
                          <a:ext cx="1090930" cy="32194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554E5C1D">
                            <w:pPr>
                              <w:spacing w:line="16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管理层不允许函证</w:t>
                            </w:r>
                          </w:p>
                          <w:p w14:paraId="59EB8571">
                            <w:pPr>
                              <w:spacing w:line="160" w:lineRule="exact"/>
                              <w:jc w:val="center"/>
                              <w:rPr>
                                <w:rFonts w:asciiTheme="minorEastAsia" w:hAnsiTheme="minorEastAsia" w:cstheme="minorEastAsia"/>
                                <w:sz w:val="15"/>
                                <w:szCs w:val="15"/>
                              </w:rPr>
                            </w:pPr>
                            <w:r>
                              <w:rPr>
                                <w:rFonts w:asciiTheme="minorEastAsia" w:hAnsiTheme="minorEastAsia" w:cstheme="minorEastAsia"/>
                                <w:sz w:val="15"/>
                                <w:szCs w:val="15"/>
                              </w:rPr>
                              <w:t>+</w:t>
                            </w:r>
                            <w:r>
                              <w:rPr>
                                <w:rFonts w:hint="eastAsia" w:asciiTheme="minorEastAsia" w:hAnsiTheme="minorEastAsia" w:cstheme="minorEastAsia"/>
                                <w:sz w:val="15"/>
                                <w:szCs w:val="15"/>
                              </w:rPr>
                              <w:t>合理理由</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pt;margin-top:10.7pt;height:25.35pt;width:85.9pt;z-index:251704320;v-text-anchor:middle;mso-width-relative:page;mso-height-relative:page;" filled="f" stroked="t" coordsize="21600,21600" o:gfxdata="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P4ddt/XAAAACAEAAA8AAAAAAAAAAQAgAAAAIgAAAGRycy9kb3ducmV2&#10;LnhtbFBLAQIUABQAAAAIAIdO4kA0m/lLbwIAANoEAAAOAAAAAAAAAAEAIAAAACYBAABkcnMvZTJv&#10;RG9jLnhtbFBLBQYAAAAABgAGAFkBAAAHBgAAAAA=&#10;">
                <v:fill on="f" focussize="0,0"/>
                <v:stroke weight="1pt" color="#000000 [3213]" miterlimit="8" joinstyle="miter"/>
                <v:imagedata o:title=""/>
                <o:lock v:ext="edit" aspectratio="f"/>
                <v:textbox>
                  <w:txbxContent>
                    <w:p w14:paraId="554E5C1D">
                      <w:pPr>
                        <w:spacing w:line="16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管理层不允许函证</w:t>
                      </w:r>
                    </w:p>
                    <w:p w14:paraId="59EB8571">
                      <w:pPr>
                        <w:spacing w:line="160" w:lineRule="exact"/>
                        <w:jc w:val="center"/>
                        <w:rPr>
                          <w:rFonts w:asciiTheme="minorEastAsia" w:hAnsiTheme="minorEastAsia" w:cstheme="minorEastAsia"/>
                          <w:sz w:val="15"/>
                          <w:szCs w:val="15"/>
                        </w:rPr>
                      </w:pPr>
                      <w:r>
                        <w:rPr>
                          <w:rFonts w:asciiTheme="minorEastAsia" w:hAnsiTheme="minorEastAsia" w:cstheme="minorEastAsia"/>
                          <w:sz w:val="15"/>
                          <w:szCs w:val="15"/>
                        </w:rPr>
                        <w:t>+</w:t>
                      </w:r>
                      <w:r>
                        <w:rPr>
                          <w:rFonts w:hint="eastAsia" w:asciiTheme="minorEastAsia" w:hAnsiTheme="minorEastAsia" w:cstheme="minorEastAsia"/>
                          <w:sz w:val="15"/>
                          <w:szCs w:val="15"/>
                        </w:rPr>
                        <w:t>合理理由</w:t>
                      </w:r>
                    </w:p>
                  </w:txbxContent>
                </v:textbox>
              </v:rect>
            </w:pict>
          </mc:Fallback>
        </mc:AlternateContent>
      </w:r>
    </w:p>
    <w:p w14:paraId="0D57A691">
      <w:pPr>
        <w:snapToGrid w:val="0"/>
        <w:spacing w:line="360" w:lineRule="auto"/>
        <w:ind w:firstLine="480" w:firstLineChars="200"/>
        <w:jc w:val="left"/>
        <w:outlineLvl w:val="2"/>
        <w:rPr>
          <w:rFonts w:asciiTheme="minorEastAsia" w:hAnsiTheme="minorEastAsia" w:cstheme="minorEastAsia"/>
          <w:b/>
          <w:bCs/>
          <w:sz w:val="24"/>
        </w:rPr>
      </w:pPr>
      <w:r>
        <w:rPr>
          <w:sz w:val="24"/>
        </w:rPr>
        <mc:AlternateContent>
          <mc:Choice Requires="wps">
            <w:drawing>
              <wp:anchor distT="0" distB="0" distL="114300" distR="114300" simplePos="0" relativeHeight="251728896" behindDoc="0" locked="0" layoutInCell="1" allowOverlap="1">
                <wp:simplePos x="0" y="0"/>
                <wp:positionH relativeFrom="column">
                  <wp:posOffset>228600</wp:posOffset>
                </wp:positionH>
                <wp:positionV relativeFrom="paragraph">
                  <wp:posOffset>33655</wp:posOffset>
                </wp:positionV>
                <wp:extent cx="1846580" cy="3795395"/>
                <wp:effectExtent l="245745" t="7620" r="3175" b="45085"/>
                <wp:wrapNone/>
                <wp:docPr id="226" name="肘形连接符 226"/>
                <wp:cNvGraphicFramePr/>
                <a:graphic xmlns:a="http://schemas.openxmlformats.org/drawingml/2006/main">
                  <a:graphicData uri="http://schemas.microsoft.com/office/word/2010/wordprocessingShape">
                    <wps:wsp>
                      <wps:cNvCnPr/>
                      <wps:spPr>
                        <a:xfrm rot="10800000" flipH="1" flipV="1">
                          <a:off x="1167765" y="2868930"/>
                          <a:ext cx="1846580" cy="3795395"/>
                        </a:xfrm>
                        <a:prstGeom prst="bentConnector3">
                          <a:avLst>
                            <a:gd name="adj1" fmla="val -12895"/>
                          </a:avLst>
                        </a:prstGeom>
                        <a:ln w="158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x y;margin-left:18pt;margin-top:2.65pt;height:298.85pt;width:145.4pt;rotation:11796480f;z-index:251728896;mso-width-relative:page;mso-height-relative:page;" filled="f" stroked="t" coordsize="21600,21600" o:gfxdata="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ev05o2AAAAAgBAAAPAAAAAAAAAAEAIAAAACIAAABk&#10;cnMvZG93bnJldi54bWxQSwECFAAUAAAACACHTuJACSvgoz8CAAA/BAAADgAAAAAAAAABACAAAAAn&#10;AQAAZHJzL2Uyb0RvYy54bWxQSwUGAAAAAAYABgBZAQAA2AUAAAAA&#10;" adj="-2785">
                <v:fill on="f" focussize="0,0"/>
                <v:stroke weight="1.25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709440" behindDoc="0" locked="0" layoutInCell="1" allowOverlap="1">
                <wp:simplePos x="0" y="0"/>
                <wp:positionH relativeFrom="column">
                  <wp:posOffset>2038985</wp:posOffset>
                </wp:positionH>
                <wp:positionV relativeFrom="paragraph">
                  <wp:posOffset>267970</wp:posOffset>
                </wp:positionV>
                <wp:extent cx="1431290" cy="217805"/>
                <wp:effectExtent l="6350" t="6350" r="10160" b="23495"/>
                <wp:wrapNone/>
                <wp:docPr id="194" name="矩形 194"/>
                <wp:cNvGraphicFramePr/>
                <a:graphic xmlns:a="http://schemas.openxmlformats.org/drawingml/2006/main">
                  <a:graphicData uri="http://schemas.microsoft.com/office/word/2010/wordprocessingShape">
                    <wps:wsp>
                      <wps:cNvSpPr/>
                      <wps:spPr>
                        <a:xfrm>
                          <a:off x="0" y="0"/>
                          <a:ext cx="1431290" cy="21780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794A598D">
                            <w:pPr>
                              <w:spacing w:line="160" w:lineRule="exact"/>
                              <w:jc w:val="center"/>
                              <w:rPr>
                                <w:rFonts w:asciiTheme="minorEastAsia" w:hAnsiTheme="minorEastAsia" w:cstheme="minorEastAsia"/>
                                <w:sz w:val="15"/>
                                <w:szCs w:val="15"/>
                              </w:rPr>
                            </w:pPr>
                            <w:r>
                              <w:rPr>
                                <w:rFonts w:asciiTheme="minorEastAsia" w:hAnsiTheme="minorEastAsia" w:cstheme="minorEastAsia"/>
                                <w:sz w:val="15"/>
                                <w:szCs w:val="15"/>
                              </w:rPr>
                              <w:t>4.</w:t>
                            </w:r>
                            <w:r>
                              <w:rPr>
                                <w:rFonts w:hint="eastAsia" w:asciiTheme="minorEastAsia" w:hAnsiTheme="minorEastAsia" w:cstheme="minorEastAsia"/>
                                <w:sz w:val="15"/>
                                <w:szCs w:val="18"/>
                              </w:rPr>
                              <w:t>核对被函证单位信息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0.55pt;margin-top:21.1pt;height:17.15pt;width:112.7pt;z-index:251709440;v-text-anchor:middle;mso-width-relative:page;mso-height-relative:page;" filled="f" stroked="t" coordsize="21600,21600" o:gfxdata="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wtIN52AAAAAkBAAAPAAAAAAAAAAEAIAAAACIAAABkcnMvZG93bnJl&#10;di54bWxQSwECFAAUAAAACACHTuJAHWWnUG8CAADaBAAADgAAAAAAAAABACAAAAAnAQAAZHJzL2Uy&#10;b0RvYy54bWxQSwUGAAAAAAYABgBZAQAACAYAAAAA&#10;">
                <v:fill on="f" focussize="0,0"/>
                <v:stroke weight="1pt" color="#000000 [3213]" miterlimit="8" joinstyle="miter"/>
                <v:imagedata o:title=""/>
                <o:lock v:ext="edit" aspectratio="f"/>
                <v:textbox>
                  <w:txbxContent>
                    <w:p w14:paraId="794A598D">
                      <w:pPr>
                        <w:spacing w:line="160" w:lineRule="exact"/>
                        <w:jc w:val="center"/>
                        <w:rPr>
                          <w:rFonts w:asciiTheme="minorEastAsia" w:hAnsiTheme="minorEastAsia" w:cstheme="minorEastAsia"/>
                          <w:sz w:val="15"/>
                          <w:szCs w:val="15"/>
                        </w:rPr>
                      </w:pPr>
                      <w:r>
                        <w:rPr>
                          <w:rFonts w:asciiTheme="minorEastAsia" w:hAnsiTheme="minorEastAsia" w:cstheme="minorEastAsia"/>
                          <w:sz w:val="15"/>
                          <w:szCs w:val="15"/>
                        </w:rPr>
                        <w:t>4.</w:t>
                      </w:r>
                      <w:r>
                        <w:rPr>
                          <w:rFonts w:hint="eastAsia" w:asciiTheme="minorEastAsia" w:hAnsiTheme="minorEastAsia" w:cstheme="minorEastAsia"/>
                          <w:sz w:val="15"/>
                          <w:szCs w:val="18"/>
                        </w:rPr>
                        <w:t>核对被函证单位信息</w:t>
                      </w:r>
                    </w:p>
                  </w:txbxContent>
                </v:textbox>
              </v:rect>
            </w:pict>
          </mc:Fallback>
        </mc:AlternateContent>
      </w:r>
      <w:r>
        <w:rPr>
          <w:sz w:val="24"/>
        </w:rPr>
        <mc:AlternateContent>
          <mc:Choice Requires="wps">
            <w:drawing>
              <wp:anchor distT="0" distB="0" distL="114300" distR="114300" simplePos="0" relativeHeight="251708416" behindDoc="0" locked="0" layoutInCell="1" allowOverlap="1">
                <wp:simplePos x="0" y="0"/>
                <wp:positionH relativeFrom="column">
                  <wp:posOffset>2798445</wp:posOffset>
                </wp:positionH>
                <wp:positionV relativeFrom="paragraph">
                  <wp:posOffset>161925</wp:posOffset>
                </wp:positionV>
                <wp:extent cx="0" cy="112395"/>
                <wp:effectExtent l="38100" t="0" r="38100" b="1905"/>
                <wp:wrapNone/>
                <wp:docPr id="193" name="直接箭头连接符 193"/>
                <wp:cNvGraphicFramePr/>
                <a:graphic xmlns:a="http://schemas.openxmlformats.org/drawingml/2006/main">
                  <a:graphicData uri="http://schemas.microsoft.com/office/word/2010/wordprocessingShape">
                    <wps:wsp>
                      <wps:cNvCnPr/>
                      <wps:spPr>
                        <a:xfrm>
                          <a:off x="0" y="0"/>
                          <a:ext cx="0" cy="11239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20.35pt;margin-top:12.75pt;height:8.85pt;width:0pt;z-index:251708416;mso-width-relative:page;mso-height-relative:page;" filled="f" stroked="t" coordsize="21600,21600" o:gfxdata="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MT889YAAAAJAQAADwAAAAAAAAABACAAAAAiAAAAZHJz&#10;L2Rvd25yZXYueG1sUEsBAhQAFAAAAAgAh07iQFMWCPAGAgAA5QMAAA4AAAAAAAAAAQAgAAAAJQEA&#10;AGRycy9lMm9Eb2MueG1sUEsFBgAAAAAGAAYAWQEAAJ0FAAAAAA==&#10;">
                <v:fill on="f" focussize="0,0"/>
                <v:stroke weight="1pt" color="#000000 [3213]" miterlimit="8" joinstyle="miter" endarrow="block"/>
                <v:imagedata o:title=""/>
                <o:lock v:ext="edit" aspectratio="f"/>
              </v:shape>
            </w:pict>
          </mc:Fallback>
        </mc:AlternateContent>
      </w:r>
    </w:p>
    <w:p w14:paraId="74998062">
      <w:pPr>
        <w:snapToGrid w:val="0"/>
        <w:spacing w:line="360" w:lineRule="auto"/>
        <w:ind w:firstLine="480" w:firstLineChars="200"/>
        <w:jc w:val="left"/>
        <w:outlineLvl w:val="2"/>
        <w:rPr>
          <w:rFonts w:asciiTheme="minorEastAsia" w:hAnsiTheme="minorEastAsia" w:cstheme="minorEastAsia"/>
          <w:b/>
          <w:bCs/>
          <w:sz w:val="24"/>
        </w:rPr>
      </w:pPr>
      <w:r>
        <w:rPr>
          <w:sz w:val="24"/>
        </w:rPr>
        <mc:AlternateContent>
          <mc:Choice Requires="wps">
            <w:drawing>
              <wp:anchor distT="0" distB="0" distL="114300" distR="114300" simplePos="0" relativeHeight="251711488" behindDoc="0" locked="0" layoutInCell="1" allowOverlap="1">
                <wp:simplePos x="0" y="0"/>
                <wp:positionH relativeFrom="column">
                  <wp:posOffset>2788920</wp:posOffset>
                </wp:positionH>
                <wp:positionV relativeFrom="paragraph">
                  <wp:posOffset>189230</wp:posOffset>
                </wp:positionV>
                <wp:extent cx="0" cy="112395"/>
                <wp:effectExtent l="38100" t="0" r="38100" b="1905"/>
                <wp:wrapNone/>
                <wp:docPr id="196" name="直接箭头连接符 196"/>
                <wp:cNvGraphicFramePr/>
                <a:graphic xmlns:a="http://schemas.openxmlformats.org/drawingml/2006/main">
                  <a:graphicData uri="http://schemas.microsoft.com/office/word/2010/wordprocessingShape">
                    <wps:wsp>
                      <wps:cNvCnPr/>
                      <wps:spPr>
                        <a:xfrm>
                          <a:off x="0" y="0"/>
                          <a:ext cx="0" cy="11239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19.6pt;margin-top:14.9pt;height:8.85pt;width:0pt;z-index:251711488;mso-width-relative:page;mso-height-relative:page;" filled="f" stroked="t" coordsize="21600,21600" o:gfxdata="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JqHvDXAAAACQEAAA8AAAAAAAAAAQAgAAAAIgAAAGRy&#10;cy9kb3ducmV2LnhtbFBLAQIUABQAAAAIAIdO4kBbPLuZBgIAAOUDAAAOAAAAAAAAAAEAIAAAACYB&#10;AABkcnMvZTJvRG9jLnhtbFBLBQYAAAAABgAGAFkBAACeBQAAAAA=&#10;">
                <v:fill on="f" focussize="0,0"/>
                <v:stroke weight="1pt" color="#000000 [3213]" miterlimit="8" joinstyle="miter" endarrow="block"/>
                <v:imagedata o:title=""/>
                <o:lock v:ext="edit" aspectratio="f"/>
              </v:shape>
            </w:pict>
          </mc:Fallback>
        </mc:AlternateContent>
      </w:r>
    </w:p>
    <w:p w14:paraId="51996265">
      <w:pPr>
        <w:snapToGrid w:val="0"/>
        <w:spacing w:line="360" w:lineRule="auto"/>
        <w:ind w:firstLine="480" w:firstLineChars="200"/>
        <w:jc w:val="left"/>
        <w:outlineLvl w:val="2"/>
        <w:rPr>
          <w:rFonts w:asciiTheme="minorEastAsia" w:hAnsiTheme="minorEastAsia" w:cstheme="minorEastAsia"/>
          <w:b/>
          <w:bCs/>
          <w:sz w:val="24"/>
        </w:rPr>
      </w:pPr>
      <w:r>
        <w:rPr>
          <w:sz w:val="24"/>
        </w:rPr>
        <mc:AlternateContent>
          <mc:Choice Requires="wps">
            <w:drawing>
              <wp:anchor distT="0" distB="0" distL="114300" distR="114300" simplePos="0" relativeHeight="251715584" behindDoc="0" locked="0" layoutInCell="1" allowOverlap="1">
                <wp:simplePos x="0" y="0"/>
                <wp:positionH relativeFrom="column">
                  <wp:posOffset>255905</wp:posOffset>
                </wp:positionH>
                <wp:positionV relativeFrom="paragraph">
                  <wp:posOffset>246380</wp:posOffset>
                </wp:positionV>
                <wp:extent cx="1532890" cy="695960"/>
                <wp:effectExtent l="6350" t="6350" r="22860" b="21590"/>
                <wp:wrapNone/>
                <wp:docPr id="204" name="流程图: 终止 204"/>
                <wp:cNvGraphicFramePr/>
                <a:graphic xmlns:a="http://schemas.openxmlformats.org/drawingml/2006/main">
                  <a:graphicData uri="http://schemas.microsoft.com/office/word/2010/wordprocessingShape">
                    <wps:wsp>
                      <wps:cNvSpPr/>
                      <wps:spPr>
                        <a:xfrm>
                          <a:off x="0" y="0"/>
                          <a:ext cx="1532890" cy="695960"/>
                        </a:xfrm>
                        <a:prstGeom prst="flowChartTerminator">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67A6F2D9">
                            <w:pPr>
                              <w:spacing w:line="16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发函控制：7.1邮寄方式</w:t>
                            </w:r>
                          </w:p>
                          <w:p w14:paraId="29D516BE">
                            <w:pPr>
                              <w:spacing w:line="16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7.2跟函方式</w:t>
                            </w:r>
                          </w:p>
                          <w:p w14:paraId="7D56AA5C">
                            <w:pPr>
                              <w:spacing w:line="16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7.3电子询证函平台</w:t>
                            </w:r>
                          </w:p>
                          <w:p w14:paraId="0C278803">
                            <w:pPr>
                              <w:spacing w:line="16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7.4其他电子形式</w:t>
                            </w:r>
                          </w:p>
                          <w:p w14:paraId="054CC35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20.15pt;margin-top:19.4pt;height:54.8pt;width:120.7pt;z-index:251715584;v-text-anchor:middle;mso-width-relative:page;mso-height-relative:page;" filled="f" stroked="t" coordsize="21600,21600" o:gfxdata="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PSHGcbWAAAACQEA&#10;AA8AAAAAAAAAAQAgAAAAIgAAAGRycy9kb3ducmV2LnhtbFBLAQIUABQAAAAIAIdO4kBKnvMmjgIA&#10;APQEAAAOAAAAAAAAAAEAIAAAACUBAABkcnMvZTJvRG9jLnhtbFBLBQYAAAAABgAGAFkBAAAlBgAA&#10;AAA=&#10;">
                <v:fill on="f" focussize="0,0"/>
                <v:stroke weight="1pt" color="#000000 [3213]" miterlimit="8" joinstyle="miter"/>
                <v:imagedata o:title=""/>
                <o:lock v:ext="edit" aspectratio="f"/>
                <v:textbox>
                  <w:txbxContent>
                    <w:p w14:paraId="67A6F2D9">
                      <w:pPr>
                        <w:spacing w:line="16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发函控制：7.1邮寄方式</w:t>
                      </w:r>
                    </w:p>
                    <w:p w14:paraId="29D516BE">
                      <w:pPr>
                        <w:spacing w:line="16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7.2跟函方式</w:t>
                      </w:r>
                    </w:p>
                    <w:p w14:paraId="7D56AA5C">
                      <w:pPr>
                        <w:spacing w:line="16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7.3电子询证函平台</w:t>
                      </w:r>
                    </w:p>
                    <w:p w14:paraId="0C278803">
                      <w:pPr>
                        <w:spacing w:line="16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7.4其他电子形式</w:t>
                      </w:r>
                    </w:p>
                    <w:p w14:paraId="054CC354">
                      <w:pPr>
                        <w:jc w:val="center"/>
                      </w:pPr>
                    </w:p>
                  </w:txbxContent>
                </v:textbox>
              </v:shape>
            </w:pict>
          </mc:Fallback>
        </mc:AlternateContent>
      </w:r>
      <w:r>
        <w:rPr>
          <w:sz w:val="24"/>
        </w:rPr>
        <mc:AlternateContent>
          <mc:Choice Requires="wps">
            <w:drawing>
              <wp:anchor distT="0" distB="0" distL="114300" distR="114300" simplePos="0" relativeHeight="251691008" behindDoc="0" locked="0" layoutInCell="1" allowOverlap="1">
                <wp:simplePos x="0" y="0"/>
                <wp:positionH relativeFrom="column">
                  <wp:posOffset>2037715</wp:posOffset>
                </wp:positionH>
                <wp:positionV relativeFrom="paragraph">
                  <wp:posOffset>12065</wp:posOffset>
                </wp:positionV>
                <wp:extent cx="1445260" cy="228600"/>
                <wp:effectExtent l="6350" t="6350" r="15240" b="12700"/>
                <wp:wrapNone/>
                <wp:docPr id="154" name="矩形 154"/>
                <wp:cNvGraphicFramePr/>
                <a:graphic xmlns:a="http://schemas.openxmlformats.org/drawingml/2006/main">
                  <a:graphicData uri="http://schemas.microsoft.com/office/word/2010/wordprocessingShape">
                    <wps:wsp>
                      <wps:cNvSpPr/>
                      <wps:spPr>
                        <a:xfrm>
                          <a:off x="0" y="0"/>
                          <a:ext cx="1445260" cy="22860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1AFEA8FD">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5.</w:t>
                            </w:r>
                            <w:r>
                              <w:rPr>
                                <w:rFonts w:hint="eastAsia" w:asciiTheme="minorEastAsia" w:hAnsiTheme="minorEastAsia" w:cstheme="minorEastAsia"/>
                                <w:sz w:val="15"/>
                                <w:szCs w:val="15"/>
                              </w:rPr>
                              <w:t>编制询证函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0.45pt;margin-top:0.95pt;height:18pt;width:113.8pt;z-index:251691008;v-text-anchor:middle;mso-width-relative:page;mso-height-relative:page;" filled="f" stroked="t" coordsize="21600,21600" o:gfxdata="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yWMm51gAAAAgBAAAPAAAAAAAAAAEAIAAAACIAAABkcnMvZG93bnJldi54&#10;bWxQSwECFAAUAAAACACHTuJAZOf/jW4CAADaBAAADgAAAAAAAAABACAAAAAlAQAAZHJzL2Uyb0Rv&#10;Yy54bWxQSwUGAAAAAAYABgBZAQAABQYAAAAA&#10;">
                <v:fill on="f" focussize="0,0"/>
                <v:stroke weight="1pt" color="#000000 [3213]" miterlimit="8" joinstyle="miter"/>
                <v:imagedata o:title=""/>
                <o:lock v:ext="edit" aspectratio="f"/>
                <v:textbox>
                  <w:txbxContent>
                    <w:p w14:paraId="1AFEA8FD">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5.</w:t>
                      </w:r>
                      <w:r>
                        <w:rPr>
                          <w:rFonts w:hint="eastAsia" w:asciiTheme="minorEastAsia" w:hAnsiTheme="minorEastAsia" w:cstheme="minorEastAsia"/>
                          <w:sz w:val="15"/>
                          <w:szCs w:val="15"/>
                        </w:rPr>
                        <w:t>编制询证函</w:t>
                      </w:r>
                    </w:p>
                  </w:txbxContent>
                </v:textbox>
              </v:rect>
            </w:pict>
          </mc:Fallback>
        </mc:AlternateContent>
      </w:r>
      <w:r>
        <w:rPr>
          <w:sz w:val="24"/>
        </w:rPr>
        <mc:AlternateContent>
          <mc:Choice Requires="wps">
            <w:drawing>
              <wp:anchor distT="0" distB="0" distL="114300" distR="114300" simplePos="0" relativeHeight="251695104" behindDoc="0" locked="0" layoutInCell="1" allowOverlap="1">
                <wp:simplePos x="0" y="0"/>
                <wp:positionH relativeFrom="column">
                  <wp:posOffset>2781935</wp:posOffset>
                </wp:positionH>
                <wp:positionV relativeFrom="paragraph">
                  <wp:posOffset>264160</wp:posOffset>
                </wp:positionV>
                <wp:extent cx="3810" cy="104775"/>
                <wp:effectExtent l="35560" t="0" r="36830" b="9525"/>
                <wp:wrapNone/>
                <wp:docPr id="153" name="直接箭头连接符 153"/>
                <wp:cNvGraphicFramePr/>
                <a:graphic xmlns:a="http://schemas.openxmlformats.org/drawingml/2006/main">
                  <a:graphicData uri="http://schemas.microsoft.com/office/word/2010/wordprocessingShape">
                    <wps:wsp>
                      <wps:cNvCnPr/>
                      <wps:spPr>
                        <a:xfrm flipH="1">
                          <a:off x="0" y="0"/>
                          <a:ext cx="3810" cy="10477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19.05pt;margin-top:20.8pt;height:8.25pt;width:0.3pt;z-index:251695104;mso-width-relative:page;mso-height-relative:page;" filled="f" stroked="t" coordsize="21600,21600" o:gfxdata="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rFvV9UAAAAJAQAADwAAAAAAAAABACAA&#10;AAAiAAAAZHJzL2Rvd25yZXYueG1sUEsBAhQAFAAAAAgAh07iQBEZ6rUQAgAA8gMAAA4AAAAAAAAA&#10;AQAgAAAAJAEAAGRycy9lMm9Eb2MueG1sUEsFBgAAAAAGAAYAWQEAAKYFAAAAAA==&#10;">
                <v:fill on="f" focussize="0,0"/>
                <v:stroke weight="1pt" color="#000000 [3213]" miterlimit="8" joinstyle="miter" endarrow="block"/>
                <v:imagedata o:title=""/>
                <o:lock v:ext="edit" aspectratio="f"/>
              </v:shape>
            </w:pict>
          </mc:Fallback>
        </mc:AlternateContent>
      </w:r>
    </w:p>
    <w:p w14:paraId="1677FE5B">
      <w:pPr>
        <w:snapToGrid w:val="0"/>
        <w:spacing w:line="360" w:lineRule="auto"/>
        <w:ind w:firstLine="480" w:firstLineChars="200"/>
        <w:jc w:val="left"/>
        <w:outlineLvl w:val="2"/>
        <w:rPr>
          <w:rFonts w:asciiTheme="minorEastAsia" w:hAnsiTheme="minorEastAsia" w:cstheme="minorEastAsia"/>
          <w:b/>
          <w:bCs/>
          <w:sz w:val="24"/>
        </w:rPr>
      </w:pPr>
      <w:r>
        <w:rPr>
          <w:sz w:val="24"/>
        </w:rPr>
        <mc:AlternateContent>
          <mc:Choice Requires="wps">
            <w:drawing>
              <wp:anchor distT="0" distB="0" distL="114300" distR="114300" simplePos="0" relativeHeight="251692032" behindDoc="0" locked="0" layoutInCell="1" allowOverlap="1">
                <wp:simplePos x="0" y="0"/>
                <wp:positionH relativeFrom="column">
                  <wp:posOffset>2038985</wp:posOffset>
                </wp:positionH>
                <wp:positionV relativeFrom="paragraph">
                  <wp:posOffset>67310</wp:posOffset>
                </wp:positionV>
                <wp:extent cx="1452880" cy="219075"/>
                <wp:effectExtent l="6350" t="6350" r="7620" b="22225"/>
                <wp:wrapNone/>
                <wp:docPr id="152" name="矩形 152"/>
                <wp:cNvGraphicFramePr/>
                <a:graphic xmlns:a="http://schemas.openxmlformats.org/drawingml/2006/main">
                  <a:graphicData uri="http://schemas.microsoft.com/office/word/2010/wordprocessingShape">
                    <wps:wsp>
                      <wps:cNvSpPr/>
                      <wps:spPr>
                        <a:xfrm>
                          <a:off x="0" y="0"/>
                          <a:ext cx="1452880" cy="21907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5E791076">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6.</w:t>
                            </w:r>
                            <w:r>
                              <w:rPr>
                                <w:rFonts w:hint="eastAsia" w:asciiTheme="minorEastAsia" w:hAnsiTheme="minorEastAsia" w:cstheme="minorEastAsia"/>
                                <w:sz w:val="15"/>
                                <w:szCs w:val="15"/>
                              </w:rPr>
                              <w:t>打印询证函并盖章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0.55pt;margin-top:5.3pt;height:17.25pt;width:114.4pt;z-index:251692032;v-text-anchor:middle;mso-width-relative:page;mso-height-relative:page;" filled="f" stroked="t" coordsize="21600,21600" o:gfxdata="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OoMDa2AAAAAkBAAAPAAAAAAAAAAEAIAAAACIAAABkcnMvZG93bnJl&#10;di54bWxQSwECFAAUAAAACACHTuJAovadqW8CAADaBAAADgAAAAAAAAABACAAAAAnAQAAZHJzL2Uy&#10;b0RvYy54bWxQSwUGAAAAAAYABgBZAQAACAYAAAAA&#10;">
                <v:fill on="f" focussize="0,0"/>
                <v:stroke weight="1pt" color="#000000 [3213]" miterlimit="8" joinstyle="miter"/>
                <v:imagedata o:title=""/>
                <o:lock v:ext="edit" aspectratio="f"/>
                <v:textbox>
                  <w:txbxContent>
                    <w:p w14:paraId="5E791076">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6.</w:t>
                      </w:r>
                      <w:r>
                        <w:rPr>
                          <w:rFonts w:hint="eastAsia" w:asciiTheme="minorEastAsia" w:hAnsiTheme="minorEastAsia" w:cstheme="minorEastAsia"/>
                          <w:sz w:val="15"/>
                          <w:szCs w:val="15"/>
                        </w:rPr>
                        <w:t>打印询证函并盖章</w:t>
                      </w:r>
                    </w:p>
                  </w:txbxContent>
                </v:textbox>
              </v:rect>
            </w:pict>
          </mc:Fallback>
        </mc:AlternateContent>
      </w:r>
    </w:p>
    <w:p w14:paraId="7584E15E">
      <w:pPr>
        <w:snapToGrid w:val="0"/>
        <w:spacing w:line="360" w:lineRule="auto"/>
        <w:ind w:firstLine="480" w:firstLineChars="200"/>
        <w:jc w:val="left"/>
        <w:outlineLvl w:val="2"/>
        <w:rPr>
          <w:rFonts w:asciiTheme="minorEastAsia" w:hAnsiTheme="minorEastAsia" w:cstheme="minorEastAsia"/>
          <w:b/>
          <w:bCs/>
          <w:sz w:val="24"/>
        </w:rPr>
      </w:pPr>
      <w:r>
        <w:rPr>
          <w:sz w:val="24"/>
        </w:rPr>
        <mc:AlternateContent>
          <mc:Choice Requires="wps">
            <w:drawing>
              <wp:anchor distT="0" distB="0" distL="114300" distR="114300" simplePos="0" relativeHeight="251740160" behindDoc="0" locked="0" layoutInCell="1" allowOverlap="1">
                <wp:simplePos x="0" y="0"/>
                <wp:positionH relativeFrom="column">
                  <wp:posOffset>1760220</wp:posOffset>
                </wp:positionH>
                <wp:positionV relativeFrom="paragraph">
                  <wp:posOffset>190500</wp:posOffset>
                </wp:positionV>
                <wp:extent cx="285750" cy="10160"/>
                <wp:effectExtent l="0" t="35560" r="0" b="30480"/>
                <wp:wrapNone/>
                <wp:docPr id="4" name="直接箭头连接符 4"/>
                <wp:cNvGraphicFramePr/>
                <a:graphic xmlns:a="http://schemas.openxmlformats.org/drawingml/2006/main">
                  <a:graphicData uri="http://schemas.microsoft.com/office/word/2010/wordprocessingShape">
                    <wps:wsp>
                      <wps:cNvCnPr/>
                      <wps:spPr>
                        <a:xfrm flipH="1" flipV="1">
                          <a:off x="0" y="0"/>
                          <a:ext cx="285750" cy="10160"/>
                        </a:xfrm>
                        <a:prstGeom prst="straightConnector1">
                          <a:avLst/>
                        </a:prstGeom>
                        <a:ln>
                          <a:solidFill>
                            <a:schemeClr val="tx1"/>
                          </a:solidFill>
                          <a:prstDash val="sysDash"/>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138.6pt;margin-top:15pt;height:0.8pt;width:22.5pt;z-index:251740160;mso-width-relative:page;mso-height-relative:page;" filled="f" stroked="t" coordsize="21600,21600" o:gfxdata="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aPaAw1wAAAAkBAAAPAAAA&#10;AAAAAAEAIAAAACIAAABkcnMvZG93bnJldi54bWxQSwECFAAUAAAACACHTuJAyE2XURYCAAD7AwAA&#10;DgAAAAAAAAABACAAAAAmAQAAZHJzL2Uyb0RvYy54bWxQSwUGAAAAAAYABgBZAQAArgUAAAAA&#10;">
                <v:fill on="f" focussize="0,0"/>
                <v:stroke weight="1pt" color="#000000 [3213]" miterlimit="8" joinstyle="miter" dashstyle="3 1" endarrow="block"/>
                <v:imagedata o:title=""/>
                <o:lock v:ext="edit" aspectratio="f"/>
              </v:shape>
            </w:pict>
          </mc:Fallback>
        </mc:AlternateContent>
      </w:r>
      <w:r>
        <w:rPr>
          <w:sz w:val="24"/>
        </w:rPr>
        <mc:AlternateContent>
          <mc:Choice Requires="wps">
            <w:drawing>
              <wp:anchor distT="0" distB="0" distL="114300" distR="114300" simplePos="0" relativeHeight="251693056" behindDoc="0" locked="0" layoutInCell="1" allowOverlap="1">
                <wp:simplePos x="0" y="0"/>
                <wp:positionH relativeFrom="column">
                  <wp:posOffset>2046605</wp:posOffset>
                </wp:positionH>
                <wp:positionV relativeFrom="paragraph">
                  <wp:posOffset>105410</wp:posOffset>
                </wp:positionV>
                <wp:extent cx="1454150" cy="220980"/>
                <wp:effectExtent l="6350" t="6350" r="6350" b="20320"/>
                <wp:wrapNone/>
                <wp:docPr id="150" name="矩形 150"/>
                <wp:cNvGraphicFramePr/>
                <a:graphic xmlns:a="http://schemas.openxmlformats.org/drawingml/2006/main">
                  <a:graphicData uri="http://schemas.microsoft.com/office/word/2010/wordprocessingShape">
                    <wps:wsp>
                      <wps:cNvSpPr/>
                      <wps:spPr>
                        <a:xfrm>
                          <a:off x="0" y="0"/>
                          <a:ext cx="1454150" cy="22098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4862B876">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7.</w:t>
                            </w:r>
                            <w:r>
                              <w:rPr>
                                <w:rFonts w:hint="eastAsia" w:asciiTheme="minorEastAsia" w:hAnsiTheme="minorEastAsia" w:cstheme="minorEastAsia"/>
                                <w:sz w:val="15"/>
                                <w:szCs w:val="15"/>
                              </w:rPr>
                              <w:t>发出询证函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1.15pt;margin-top:8.3pt;height:17.4pt;width:114.5pt;z-index:251693056;v-text-anchor:middle;mso-width-relative:page;mso-height-relative:page;" filled="f" stroked="t" coordsize="21600,21600" o:gfxdata="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m5Bab1wAAAAkBAAAPAAAAAAAAAAEAIAAAACIAAABkcnMvZG93bnJldi54&#10;bWxQSwECFAAUAAAACACHTuJAHQzLcm0CAADaBAAADgAAAAAAAAABACAAAAAmAQAAZHJzL2Uyb0Rv&#10;Yy54bWxQSwUGAAAAAAYABgBZAQAABQYAAAAA&#10;">
                <v:fill on="f" focussize="0,0"/>
                <v:stroke weight="1pt" color="#000000 [3213]" miterlimit="8" joinstyle="miter"/>
                <v:imagedata o:title=""/>
                <o:lock v:ext="edit" aspectratio="f"/>
                <v:textbox>
                  <w:txbxContent>
                    <w:p w14:paraId="4862B876">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7.</w:t>
                      </w:r>
                      <w:r>
                        <w:rPr>
                          <w:rFonts w:hint="eastAsia" w:asciiTheme="minorEastAsia" w:hAnsiTheme="minorEastAsia" w:cstheme="minorEastAsia"/>
                          <w:sz w:val="15"/>
                          <w:szCs w:val="15"/>
                        </w:rPr>
                        <w:t>发出询证函</w:t>
                      </w:r>
                    </w:p>
                  </w:txbxContent>
                </v:textbox>
              </v:rect>
            </w:pict>
          </mc:Fallback>
        </mc:AlternateContent>
      </w:r>
      <w:r>
        <w:rPr>
          <w:sz w:val="24"/>
        </w:rPr>
        <mc:AlternateContent>
          <mc:Choice Requires="wps">
            <w:drawing>
              <wp:anchor distT="0" distB="0" distL="114300" distR="114300" simplePos="0" relativeHeight="251710464" behindDoc="0" locked="0" layoutInCell="1" allowOverlap="1">
                <wp:simplePos x="0" y="0"/>
                <wp:positionH relativeFrom="column">
                  <wp:posOffset>2781935</wp:posOffset>
                </wp:positionH>
                <wp:positionV relativeFrom="paragraph">
                  <wp:posOffset>5080</wp:posOffset>
                </wp:positionV>
                <wp:extent cx="3810" cy="104775"/>
                <wp:effectExtent l="35560" t="0" r="36830" b="9525"/>
                <wp:wrapNone/>
                <wp:docPr id="195" name="直接箭头连接符 195"/>
                <wp:cNvGraphicFramePr/>
                <a:graphic xmlns:a="http://schemas.openxmlformats.org/drawingml/2006/main">
                  <a:graphicData uri="http://schemas.microsoft.com/office/word/2010/wordprocessingShape">
                    <wps:wsp>
                      <wps:cNvCnPr/>
                      <wps:spPr>
                        <a:xfrm flipH="1">
                          <a:off x="0" y="0"/>
                          <a:ext cx="3810" cy="10477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19.05pt;margin-top:0.4pt;height:8.25pt;width:0.3pt;z-index:251710464;mso-width-relative:page;mso-height-relative:page;" filled="f" stroked="t" coordsize="21600,21600" o:gfxdata="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5ZLGdIAAAAHAQAADwAAAAAAAAABACAAAAAi&#10;AAAAZHJzL2Rvd25yZXYueG1sUEsBAhQAFAAAAAgAh07iQMi6s9UQAgAA8gMAAA4AAAAAAAAAAQAg&#10;AAAAIQEAAGRycy9lMm9Eb2MueG1sUEsFBgAAAAAGAAYAWQEAAKMFAAAAAA==&#10;">
                <v:fill on="f" focussize="0,0"/>
                <v:stroke weight="1pt" color="#000000 [3213]" miterlimit="8" joinstyle="miter" endarrow="block"/>
                <v:imagedata o:title=""/>
                <o:lock v:ext="edit" aspectratio="f"/>
              </v:shape>
            </w:pict>
          </mc:Fallback>
        </mc:AlternateContent>
      </w:r>
    </w:p>
    <w:p w14:paraId="544DCD4A">
      <w:pPr>
        <w:snapToGrid w:val="0"/>
        <w:spacing w:line="360" w:lineRule="auto"/>
        <w:ind w:firstLine="480" w:firstLineChars="200"/>
        <w:jc w:val="left"/>
        <w:outlineLvl w:val="2"/>
        <w:rPr>
          <w:rFonts w:asciiTheme="minorEastAsia" w:hAnsiTheme="minorEastAsia" w:cstheme="minorEastAsia"/>
          <w:b/>
          <w:bCs/>
          <w:sz w:val="24"/>
        </w:rPr>
      </w:pPr>
      <w:r>
        <w:rPr>
          <w:sz w:val="24"/>
        </w:rPr>
        <mc:AlternateContent>
          <mc:Choice Requires="wps">
            <w:drawing>
              <wp:anchor distT="0" distB="0" distL="114300" distR="114300" simplePos="0" relativeHeight="251716608" behindDoc="0" locked="0" layoutInCell="1" allowOverlap="1">
                <wp:simplePos x="0" y="0"/>
                <wp:positionH relativeFrom="column">
                  <wp:posOffset>255905</wp:posOffset>
                </wp:positionH>
                <wp:positionV relativeFrom="paragraph">
                  <wp:posOffset>128905</wp:posOffset>
                </wp:positionV>
                <wp:extent cx="1532890" cy="695960"/>
                <wp:effectExtent l="6350" t="6350" r="22860" b="21590"/>
                <wp:wrapNone/>
                <wp:docPr id="205" name="流程图: 终止 205"/>
                <wp:cNvGraphicFramePr/>
                <a:graphic xmlns:a="http://schemas.openxmlformats.org/drawingml/2006/main">
                  <a:graphicData uri="http://schemas.microsoft.com/office/word/2010/wordprocessingShape">
                    <wps:wsp>
                      <wps:cNvSpPr/>
                      <wps:spPr>
                        <a:xfrm>
                          <a:off x="0" y="0"/>
                          <a:ext cx="1532890" cy="695960"/>
                        </a:xfrm>
                        <a:prstGeom prst="flowChartTerminator">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409BDA06">
                            <w:pPr>
                              <w:spacing w:line="16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回函控制：8.1邮寄方式</w:t>
                            </w:r>
                          </w:p>
                          <w:p w14:paraId="042D23EF">
                            <w:pPr>
                              <w:spacing w:line="16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8.2跟函方式</w:t>
                            </w:r>
                          </w:p>
                          <w:p w14:paraId="5618249C">
                            <w:pPr>
                              <w:spacing w:line="16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8.3电子询证函平台</w:t>
                            </w:r>
                          </w:p>
                          <w:p w14:paraId="045B86EC">
                            <w:pPr>
                              <w:spacing w:line="16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8.4其他电子形式</w:t>
                            </w:r>
                          </w:p>
                          <w:p w14:paraId="6582F8E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20.15pt;margin-top:10.15pt;height:54.8pt;width:120.7pt;z-index:251716608;v-text-anchor:middle;mso-width-relative:page;mso-height-relative:page;" filled="f" stroked="t" coordsize="21600,21600" o:gfxdata="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GpKRx3WAAAACQEA&#10;AA8AAAAAAAAAAQAgAAAAIgAAAGRycy9kb3ducmV2LnhtbFBLAQIUABQAAAAIAIdO4kBpycmvjgIA&#10;APQEAAAOAAAAAAAAAAEAIAAAACUBAABkcnMvZTJvRG9jLnhtbFBLBQYAAAAABgAGAFkBAAAlBgAA&#10;AAA=&#10;">
                <v:fill on="f" focussize="0,0"/>
                <v:stroke weight="1pt" color="#000000 [3213]" miterlimit="8" joinstyle="miter"/>
                <v:imagedata o:title=""/>
                <o:lock v:ext="edit" aspectratio="f"/>
                <v:textbox>
                  <w:txbxContent>
                    <w:p w14:paraId="409BDA06">
                      <w:pPr>
                        <w:spacing w:line="16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回函控制：8.1邮寄方式</w:t>
                      </w:r>
                    </w:p>
                    <w:p w14:paraId="042D23EF">
                      <w:pPr>
                        <w:spacing w:line="16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8.2跟函方式</w:t>
                      </w:r>
                    </w:p>
                    <w:p w14:paraId="5618249C">
                      <w:pPr>
                        <w:spacing w:line="16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8.3电子询证函平台</w:t>
                      </w:r>
                    </w:p>
                    <w:p w14:paraId="045B86EC">
                      <w:pPr>
                        <w:spacing w:line="16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8.4其他电子形式</w:t>
                      </w:r>
                    </w:p>
                    <w:p w14:paraId="6582F8E8">
                      <w:pPr>
                        <w:jc w:val="center"/>
                      </w:pPr>
                    </w:p>
                  </w:txbxContent>
                </v:textbox>
              </v:shape>
            </w:pict>
          </mc:Fallback>
        </mc:AlternateContent>
      </w:r>
      <w:r>
        <w:rPr>
          <w:sz w:val="24"/>
        </w:rPr>
        <mc:AlternateContent>
          <mc:Choice Requires="wps">
            <w:drawing>
              <wp:anchor distT="0" distB="0" distL="114300" distR="114300" simplePos="0" relativeHeight="251734016" behindDoc="0" locked="0" layoutInCell="1" allowOverlap="1">
                <wp:simplePos x="0" y="0"/>
                <wp:positionH relativeFrom="column">
                  <wp:posOffset>1760220</wp:posOffset>
                </wp:positionH>
                <wp:positionV relativeFrom="paragraph">
                  <wp:posOffset>284480</wp:posOffset>
                </wp:positionV>
                <wp:extent cx="285750" cy="10160"/>
                <wp:effectExtent l="0" t="35560" r="0" b="30480"/>
                <wp:wrapNone/>
                <wp:docPr id="244" name="直接箭头连接符 244"/>
                <wp:cNvGraphicFramePr/>
                <a:graphic xmlns:a="http://schemas.openxmlformats.org/drawingml/2006/main">
                  <a:graphicData uri="http://schemas.microsoft.com/office/word/2010/wordprocessingShape">
                    <wps:wsp>
                      <wps:cNvCnPr/>
                      <wps:spPr>
                        <a:xfrm flipH="1" flipV="1">
                          <a:off x="0" y="0"/>
                          <a:ext cx="285750" cy="10160"/>
                        </a:xfrm>
                        <a:prstGeom prst="straightConnector1">
                          <a:avLst/>
                        </a:prstGeom>
                        <a:ln>
                          <a:solidFill>
                            <a:schemeClr val="tx1"/>
                          </a:solidFill>
                          <a:prstDash val="sysDash"/>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138.6pt;margin-top:22.4pt;height:0.8pt;width:22.5pt;z-index:251734016;mso-width-relative:page;mso-height-relative:page;" filled="f" stroked="t" coordsize="21600,21600" o:gfxdata="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0BHMTWAAAACQEAAA8A&#10;AAAAAAAAAQAgAAAAIgAAAGRycy9kb3ducmV2LnhtbFBLAQIUABQAAAAIAIdO4kAW19wwGQIAAP8D&#10;AAAOAAAAAAAAAAEAIAAAACUBAABkcnMvZTJvRG9jLnhtbFBLBQYAAAAABgAGAFkBAACwBQAAAAA=&#10;">
                <v:fill on="f" focussize="0,0"/>
                <v:stroke weight="1pt" color="#000000 [3213]" miterlimit="8" joinstyle="miter" dashstyle="3 1" endarrow="block"/>
                <v:imagedata o:title=""/>
                <o:lock v:ext="edit" aspectratio="f"/>
              </v:shape>
            </w:pict>
          </mc:Fallback>
        </mc:AlternateContent>
      </w:r>
      <w:r>
        <w:rPr>
          <w:sz w:val="24"/>
        </w:rPr>
        <mc:AlternateContent>
          <mc:Choice Requires="wps">
            <w:drawing>
              <wp:anchor distT="0" distB="0" distL="114300" distR="114300" simplePos="0" relativeHeight="251714560" behindDoc="0" locked="0" layoutInCell="1" allowOverlap="1">
                <wp:simplePos x="0" y="0"/>
                <wp:positionH relativeFrom="column">
                  <wp:posOffset>2055495</wp:posOffset>
                </wp:positionH>
                <wp:positionV relativeFrom="paragraph">
                  <wp:posOffset>146050</wp:posOffset>
                </wp:positionV>
                <wp:extent cx="1455420" cy="229235"/>
                <wp:effectExtent l="6350" t="6350" r="24130" b="12065"/>
                <wp:wrapNone/>
                <wp:docPr id="203" name="矩形 203"/>
                <wp:cNvGraphicFramePr/>
                <a:graphic xmlns:a="http://schemas.openxmlformats.org/drawingml/2006/main">
                  <a:graphicData uri="http://schemas.microsoft.com/office/word/2010/wordprocessingShape">
                    <wps:wsp>
                      <wps:cNvSpPr/>
                      <wps:spPr>
                        <a:xfrm>
                          <a:off x="0" y="0"/>
                          <a:ext cx="1455420" cy="22923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06AA9DD8">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8.</w:t>
                            </w:r>
                            <w:r>
                              <w:rPr>
                                <w:rFonts w:hint="eastAsia" w:asciiTheme="minorEastAsia" w:hAnsiTheme="minorEastAsia" w:cstheme="minorEastAsia"/>
                                <w:sz w:val="15"/>
                                <w:szCs w:val="15"/>
                              </w:rPr>
                              <w:t>收回询证函</w:t>
                            </w:r>
                            <w:r>
                              <w:rPr>
                                <w:rFonts w:asciiTheme="minorEastAsia" w:hAnsiTheme="minorEastAsia" w:cstheme="minorEastAsia"/>
                                <w:sz w:val="15"/>
                                <w:szCs w:val="15"/>
                              </w:rPr>
                              <w:t>(回函控制)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1.85pt;margin-top:11.5pt;height:18.05pt;width:114.6pt;z-index:251714560;v-text-anchor:middle;mso-width-relative:page;mso-height-relative:page;" filled="f" stroked="t" coordsize="21600,21600" o:gfxdata="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J75E1wAAAAkBAAAPAAAAAAAAAAEAIAAAACIAAABkcnMvZG93bnJl&#10;di54bWxQSwECFAAUAAAACACHTuJAQJenCnACAADaBAAADgAAAAAAAAABACAAAAAmAQAAZHJzL2Uy&#10;b0RvYy54bWxQSwUGAAAAAAYABgBZAQAACAYAAAAA&#10;">
                <v:fill on="f" focussize="0,0"/>
                <v:stroke weight="1pt" color="#000000 [3213]" miterlimit="8" joinstyle="miter"/>
                <v:imagedata o:title=""/>
                <o:lock v:ext="edit" aspectratio="f"/>
                <v:textbox>
                  <w:txbxContent>
                    <w:p w14:paraId="06AA9DD8">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8.</w:t>
                      </w:r>
                      <w:r>
                        <w:rPr>
                          <w:rFonts w:hint="eastAsia" w:asciiTheme="minorEastAsia" w:hAnsiTheme="minorEastAsia" w:cstheme="minorEastAsia"/>
                          <w:sz w:val="15"/>
                          <w:szCs w:val="15"/>
                        </w:rPr>
                        <w:t>收回询证函</w:t>
                      </w:r>
                      <w:r>
                        <w:rPr>
                          <w:rFonts w:asciiTheme="minorEastAsia" w:hAnsiTheme="minorEastAsia" w:cstheme="minorEastAsia"/>
                          <w:sz w:val="15"/>
                          <w:szCs w:val="15"/>
                        </w:rPr>
                        <w:t>(回函控制)</w:t>
                      </w:r>
                    </w:p>
                  </w:txbxContent>
                </v:textbox>
              </v:rect>
            </w:pict>
          </mc:Fallback>
        </mc:AlternateContent>
      </w:r>
      <w:r>
        <w:rPr>
          <w:sz w:val="24"/>
        </w:rPr>
        <mc:AlternateContent>
          <mc:Choice Requires="wps">
            <w:drawing>
              <wp:anchor distT="0" distB="0" distL="114300" distR="114300" simplePos="0" relativeHeight="251696128" behindDoc="0" locked="0" layoutInCell="1" allowOverlap="1">
                <wp:simplePos x="0" y="0"/>
                <wp:positionH relativeFrom="column">
                  <wp:posOffset>2783840</wp:posOffset>
                </wp:positionH>
                <wp:positionV relativeFrom="paragraph">
                  <wp:posOffset>43180</wp:posOffset>
                </wp:positionV>
                <wp:extent cx="3810" cy="104775"/>
                <wp:effectExtent l="35560" t="0" r="36830" b="9525"/>
                <wp:wrapNone/>
                <wp:docPr id="151" name="直接箭头连接符 151"/>
                <wp:cNvGraphicFramePr/>
                <a:graphic xmlns:a="http://schemas.openxmlformats.org/drawingml/2006/main">
                  <a:graphicData uri="http://schemas.microsoft.com/office/word/2010/wordprocessingShape">
                    <wps:wsp>
                      <wps:cNvCnPr/>
                      <wps:spPr>
                        <a:xfrm flipH="1">
                          <a:off x="0" y="0"/>
                          <a:ext cx="3810" cy="10477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19.2pt;margin-top:3.4pt;height:8.25pt;width:0.3pt;z-index:251696128;mso-width-relative:page;mso-height-relative:page;" filled="f" stroked="t" coordsize="21600,21600" o:gfxdata="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DUoZtUAAAAIAQAADwAAAAAAAAABACAA&#10;AAAiAAAAZHJzL2Rvd25yZXYueG1sUEsBAhQAFAAAAAgAh07iQGlv5p4QAgAA8gMAAA4AAAAAAAAA&#10;AQAgAAAAJAEAAGRycy9lMm9Eb2MueG1sUEsFBgAAAAAGAAYAWQEAAKYFAAAAAA==&#10;">
                <v:fill on="f" focussize="0,0"/>
                <v:stroke weight="1pt" color="#000000 [3213]" miterlimit="8" joinstyle="miter" endarrow="block"/>
                <v:imagedata o:title=""/>
                <o:lock v:ext="edit" aspectratio="f"/>
              </v:shape>
            </w:pict>
          </mc:Fallback>
        </mc:AlternateContent>
      </w:r>
    </w:p>
    <w:p w14:paraId="403A2930">
      <w:pPr>
        <w:snapToGrid w:val="0"/>
        <w:spacing w:line="360" w:lineRule="auto"/>
        <w:ind w:firstLine="480" w:firstLineChars="200"/>
        <w:jc w:val="left"/>
        <w:outlineLvl w:val="2"/>
        <w:rPr>
          <w:rFonts w:asciiTheme="minorEastAsia" w:hAnsiTheme="minorEastAsia" w:cstheme="minorEastAsia"/>
          <w:b/>
          <w:bCs/>
          <w:sz w:val="24"/>
        </w:rPr>
      </w:pPr>
      <w:r>
        <w:rPr>
          <w:sz w:val="24"/>
        </w:rPr>
        <mc:AlternateContent>
          <mc:Choice Requires="wps">
            <w:drawing>
              <wp:anchor distT="0" distB="0" distL="114300" distR="114300" simplePos="0" relativeHeight="251717632" behindDoc="0" locked="0" layoutInCell="1" allowOverlap="1">
                <wp:simplePos x="0" y="0"/>
                <wp:positionH relativeFrom="column">
                  <wp:posOffset>2055495</wp:posOffset>
                </wp:positionH>
                <wp:positionV relativeFrom="paragraph">
                  <wp:posOffset>226695</wp:posOffset>
                </wp:positionV>
                <wp:extent cx="1475740" cy="229870"/>
                <wp:effectExtent l="6350" t="6350" r="22860" b="11430"/>
                <wp:wrapNone/>
                <wp:docPr id="206" name="矩形 206"/>
                <wp:cNvGraphicFramePr/>
                <a:graphic xmlns:a="http://schemas.openxmlformats.org/drawingml/2006/main">
                  <a:graphicData uri="http://schemas.microsoft.com/office/word/2010/wordprocessingShape">
                    <wps:wsp>
                      <wps:cNvSpPr/>
                      <wps:spPr>
                        <a:xfrm>
                          <a:off x="0" y="0"/>
                          <a:ext cx="1475740" cy="22987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44FA0F5A">
                            <w:pPr>
                              <w:spacing w:line="180" w:lineRule="exact"/>
                              <w:jc w:val="center"/>
                              <w:rPr>
                                <w:rFonts w:asciiTheme="minorEastAsia" w:hAnsiTheme="minorEastAsia" w:cstheme="minorEastAsia"/>
                                <w:sz w:val="13"/>
                                <w:szCs w:val="13"/>
                              </w:rPr>
                            </w:pPr>
                            <w:r>
                              <w:rPr>
                                <w:rFonts w:asciiTheme="minorEastAsia" w:hAnsiTheme="minorEastAsia" w:cstheme="minorEastAsia"/>
                                <w:sz w:val="13"/>
                                <w:szCs w:val="13"/>
                              </w:rPr>
                              <w:t>9.</w:t>
                            </w:r>
                            <w:r>
                              <w:rPr>
                                <w:rFonts w:hint="eastAsia" w:asciiTheme="minorEastAsia" w:hAnsiTheme="minorEastAsia" w:cstheme="minorEastAsia"/>
                                <w:sz w:val="13"/>
                                <w:szCs w:val="13"/>
                              </w:rPr>
                              <w:t>函证结果评价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1.85pt;margin-top:17.85pt;height:18.1pt;width:116.2pt;z-index:251717632;v-text-anchor:middle;mso-width-relative:page;mso-height-relative:page;" filled="f" stroked="t" coordsize="21600,21600" o:gfxdata="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wW+vldgAAAAJAQAADwAAAAAAAAABACAAAAAiAAAAZHJzL2Rvd25y&#10;ZXYueG1sUEsBAhQAFAAAAAgAh07iQF8sj7NwAgAA2gQAAA4AAAAAAAAAAQAgAAAAJwEAAGRycy9l&#10;Mm9Eb2MueG1sUEsFBgAAAAAGAAYAWQEAAAkGAAAAAA==&#10;">
                <v:fill on="f" focussize="0,0"/>
                <v:stroke weight="1pt" color="#000000 [3213]" miterlimit="8" joinstyle="miter"/>
                <v:imagedata o:title=""/>
                <o:lock v:ext="edit" aspectratio="f"/>
                <v:textbox>
                  <w:txbxContent>
                    <w:p w14:paraId="44FA0F5A">
                      <w:pPr>
                        <w:spacing w:line="180" w:lineRule="exact"/>
                        <w:jc w:val="center"/>
                        <w:rPr>
                          <w:rFonts w:asciiTheme="minorEastAsia" w:hAnsiTheme="minorEastAsia" w:cstheme="minorEastAsia"/>
                          <w:sz w:val="13"/>
                          <w:szCs w:val="13"/>
                        </w:rPr>
                      </w:pPr>
                      <w:r>
                        <w:rPr>
                          <w:rFonts w:asciiTheme="minorEastAsia" w:hAnsiTheme="minorEastAsia" w:cstheme="minorEastAsia"/>
                          <w:sz w:val="13"/>
                          <w:szCs w:val="13"/>
                        </w:rPr>
                        <w:t>9.</w:t>
                      </w:r>
                      <w:r>
                        <w:rPr>
                          <w:rFonts w:hint="eastAsia" w:asciiTheme="minorEastAsia" w:hAnsiTheme="minorEastAsia" w:cstheme="minorEastAsia"/>
                          <w:sz w:val="13"/>
                          <w:szCs w:val="13"/>
                        </w:rPr>
                        <w:t>函证结果评价</w:t>
                      </w:r>
                    </w:p>
                  </w:txbxContent>
                </v:textbox>
              </v:rect>
            </w:pict>
          </mc:Fallback>
        </mc:AlternateContent>
      </w:r>
      <w:r>
        <w:rPr>
          <w:sz w:val="24"/>
        </w:rPr>
        <mc:AlternateContent>
          <mc:Choice Requires="wps">
            <w:drawing>
              <wp:anchor distT="0" distB="0" distL="114300" distR="114300" simplePos="0" relativeHeight="251698176" behindDoc="0" locked="0" layoutInCell="1" allowOverlap="1">
                <wp:simplePos x="0" y="0"/>
                <wp:positionH relativeFrom="column">
                  <wp:posOffset>2782570</wp:posOffset>
                </wp:positionH>
                <wp:positionV relativeFrom="paragraph">
                  <wp:posOffset>108585</wp:posOffset>
                </wp:positionV>
                <wp:extent cx="3810" cy="104775"/>
                <wp:effectExtent l="35560" t="0" r="36830" b="9525"/>
                <wp:wrapNone/>
                <wp:docPr id="138" name="直接箭头连接符 138"/>
                <wp:cNvGraphicFramePr/>
                <a:graphic xmlns:a="http://schemas.openxmlformats.org/drawingml/2006/main">
                  <a:graphicData uri="http://schemas.microsoft.com/office/word/2010/wordprocessingShape">
                    <wps:wsp>
                      <wps:cNvCnPr/>
                      <wps:spPr>
                        <a:xfrm flipH="1">
                          <a:off x="0" y="0"/>
                          <a:ext cx="3810" cy="10477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19.1pt;margin-top:8.55pt;height:8.25pt;width:0.3pt;z-index:251698176;mso-width-relative:page;mso-height-relative:page;" filled="f" stroked="t" coordsize="21600,21600" o:gfxdata="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8SF7idUAAAAJAQAADwAAAAAAAAABACAA&#10;AAAiAAAAZHJzL2Rvd25yZXYueG1sUEsBAhQAFAAAAAgAh07iQD2ST8QQAgAA8gMAAA4AAAAAAAAA&#10;AQAgAAAAJAEAAGRycy9lMm9Eb2MueG1sUEsFBgAAAAAGAAYAWQEAAKYFAAAAAA==&#10;">
                <v:fill on="f" focussize="0,0"/>
                <v:stroke weight="1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729920" behindDoc="0" locked="0" layoutInCell="1" allowOverlap="1">
                <wp:simplePos x="0" y="0"/>
                <wp:positionH relativeFrom="column">
                  <wp:posOffset>3500755</wp:posOffset>
                </wp:positionH>
                <wp:positionV relativeFrom="paragraph">
                  <wp:posOffset>-377190</wp:posOffset>
                </wp:positionV>
                <wp:extent cx="1133475" cy="2327910"/>
                <wp:effectExtent l="0" t="7620" r="257175" b="45720"/>
                <wp:wrapNone/>
                <wp:docPr id="227" name="肘形连接符 227"/>
                <wp:cNvGraphicFramePr/>
                <a:graphic xmlns:a="http://schemas.openxmlformats.org/drawingml/2006/main">
                  <a:graphicData uri="http://schemas.microsoft.com/office/word/2010/wordprocessingShape">
                    <wps:wsp>
                      <wps:cNvCnPr/>
                      <wps:spPr>
                        <a:xfrm>
                          <a:off x="4107815" y="4545330"/>
                          <a:ext cx="1133475" cy="2327910"/>
                        </a:xfrm>
                        <a:prstGeom prst="bentConnector3">
                          <a:avLst>
                            <a:gd name="adj1" fmla="val 121008"/>
                          </a:avLst>
                        </a:prstGeom>
                        <a:ln w="158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275.65pt;margin-top:-29.7pt;height:183.3pt;width:89.25pt;z-index:251729920;mso-width-relative:page;mso-height-relative:page;" filled="f" stroked="t" coordsize="21600,21600" o:gfxdata="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iCYw3bAAAACwEAAA8AAAAAAAAAAQAgAAAAIgAAAGRycy9kb3ducmV2LnhtbFBL&#10;AQIUABQAAAAIAIdO4kCZXZH4LAIAABwEAAAOAAAAAAAAAAEAIAAAACoBAABkcnMvZTJvRG9jLnht&#10;bFBLBQYAAAAABgAGAFkBAADIBQAAAAA=&#10;" adj="26138">
                <v:fill on="f" focussize="0,0"/>
                <v:stroke weight="1.25pt" color="#000000 [3213]" miterlimit="8" joinstyle="miter" endarrow="block"/>
                <v:imagedata o:title=""/>
                <o:lock v:ext="edit" aspectratio="f"/>
              </v:shape>
            </w:pict>
          </mc:Fallback>
        </mc:AlternateContent>
      </w:r>
    </w:p>
    <w:p w14:paraId="527C46DB">
      <w:pPr>
        <w:snapToGrid w:val="0"/>
        <w:spacing w:line="360" w:lineRule="auto"/>
        <w:ind w:firstLine="480" w:firstLineChars="200"/>
        <w:jc w:val="left"/>
        <w:outlineLvl w:val="2"/>
        <w:rPr>
          <w:rFonts w:asciiTheme="minorEastAsia" w:hAnsiTheme="minorEastAsia" w:cstheme="minorEastAsia"/>
          <w:b/>
          <w:bCs/>
          <w:sz w:val="24"/>
        </w:rPr>
      </w:pPr>
      <w:r>
        <w:rPr>
          <w:sz w:val="24"/>
        </w:rPr>
        <mc:AlternateContent>
          <mc:Choice Requires="wps">
            <w:drawing>
              <wp:anchor distT="0" distB="0" distL="114300" distR="114300" simplePos="0" relativeHeight="251719680" behindDoc="0" locked="0" layoutInCell="1" allowOverlap="1">
                <wp:simplePos x="0" y="0"/>
                <wp:positionH relativeFrom="column">
                  <wp:posOffset>3157855</wp:posOffset>
                </wp:positionH>
                <wp:positionV relativeFrom="paragraph">
                  <wp:posOffset>-210185</wp:posOffset>
                </wp:positionV>
                <wp:extent cx="200025" cy="957580"/>
                <wp:effectExtent l="6350" t="0" r="45720" b="9525"/>
                <wp:wrapNone/>
                <wp:docPr id="208" name="肘形连接符 208"/>
                <wp:cNvGraphicFramePr/>
                <a:graphic xmlns:a="http://schemas.openxmlformats.org/drawingml/2006/main">
                  <a:graphicData uri="http://schemas.microsoft.com/office/word/2010/wordprocessingShape">
                    <wps:wsp>
                      <wps:cNvCnPr/>
                      <wps:spPr>
                        <a:xfrm rot="5400000" flipV="1">
                          <a:off x="0" y="0"/>
                          <a:ext cx="200025" cy="957580"/>
                        </a:xfrm>
                        <a:prstGeom prst="bentConnector3">
                          <a:avLst>
                            <a:gd name="adj1" fmla="val 50000"/>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248.65pt;margin-top:-16.55pt;height:75.4pt;width:15.75pt;rotation:-5898240f;z-index:251719680;mso-width-relative:page;mso-height-relative:page;" filled="f" stroked="t" coordsize="21600,21600" o:gfxdata="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tPHZPZAAAACwEAAA8AAAAAAAAAAQAgAAAAIgAAAGRycy9kb3ducmV2LnhtbFBLAQIU&#10;ABQAAAAIAIdO4kBxx4oTKwIAACUEAAAOAAAAAAAAAAEAIAAAACgBAABkcnMvZTJvRG9jLnhtbFBL&#10;BQYAAAAABgAGAFkBAADFBQAAAAA=&#10;" adj="10800">
                <v:fill on="f" focussize="0,0"/>
                <v:stroke weight="1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718656" behindDoc="0" locked="0" layoutInCell="1" allowOverlap="1">
                <wp:simplePos x="0" y="0"/>
                <wp:positionH relativeFrom="column">
                  <wp:posOffset>2226310</wp:posOffset>
                </wp:positionH>
                <wp:positionV relativeFrom="paragraph">
                  <wp:posOffset>-184150</wp:posOffset>
                </wp:positionV>
                <wp:extent cx="200025" cy="904875"/>
                <wp:effectExtent l="38100" t="0" r="9525" b="9525"/>
                <wp:wrapNone/>
                <wp:docPr id="207" name="肘形连接符 207"/>
                <wp:cNvGraphicFramePr/>
                <a:graphic xmlns:a="http://schemas.openxmlformats.org/drawingml/2006/main">
                  <a:graphicData uri="http://schemas.microsoft.com/office/word/2010/wordprocessingShape">
                    <wps:wsp>
                      <wps:cNvCnPr/>
                      <wps:spPr>
                        <a:xfrm rot="5400000">
                          <a:off x="0" y="0"/>
                          <a:ext cx="200025" cy="904875"/>
                        </a:xfrm>
                        <a:prstGeom prst="bentConnector3">
                          <a:avLst>
                            <a:gd name="adj1" fmla="val 50159"/>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175.3pt;margin-top:-14.5pt;height:71.25pt;width:15.75pt;rotation:5898240f;z-index:251718656;mso-width-relative:page;mso-height-relative:page;" filled="f" stroked="t" coordsize="21600,21600" o:gfxdata="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5tIw7bAAAACwEAAA8AAAAAAAAAAQAgAAAAIgAAAGRycy9kb3ducmV2LnhtbFBLAQIUABQA&#10;AAAIAIdO4kAmyk8GJgIAABsEAAAOAAAAAAAAAAEAIAAAACoBAABkcnMvZTJvRG9jLnhtbFBLBQYA&#10;AAAABgAGAFkBAADCBQAAAAA=&#10;" adj="10834">
                <v:fill on="f" focussize="0,0"/>
                <v:stroke weight="1pt" color="#000000 [3213]" miterlimit="8" joinstyle="miter" endarrow="block"/>
                <v:imagedata o:title=""/>
                <o:lock v:ext="edit" aspectratio="f"/>
              </v:shape>
            </w:pict>
          </mc:Fallback>
        </mc:AlternateContent>
      </w:r>
    </w:p>
    <w:p w14:paraId="0C12E4DB">
      <w:pPr>
        <w:snapToGrid w:val="0"/>
        <w:spacing w:line="360" w:lineRule="auto"/>
        <w:ind w:firstLine="480" w:firstLineChars="200"/>
        <w:jc w:val="left"/>
        <w:outlineLvl w:val="2"/>
        <w:rPr>
          <w:rFonts w:asciiTheme="minorEastAsia" w:hAnsiTheme="minorEastAsia" w:cstheme="minorEastAsia"/>
          <w:b/>
          <w:bCs/>
          <w:sz w:val="24"/>
        </w:rPr>
      </w:pPr>
      <w:r>
        <w:rPr>
          <w:sz w:val="24"/>
        </w:rPr>
        <mc:AlternateContent>
          <mc:Choice Requires="wps">
            <w:drawing>
              <wp:anchor distT="0" distB="0" distL="114300" distR="114300" simplePos="0" relativeHeight="251736064" behindDoc="0" locked="0" layoutInCell="1" allowOverlap="1">
                <wp:simplePos x="0" y="0"/>
                <wp:positionH relativeFrom="column">
                  <wp:posOffset>4011930</wp:posOffset>
                </wp:positionH>
                <wp:positionV relativeFrom="paragraph">
                  <wp:posOffset>285750</wp:posOffset>
                </wp:positionV>
                <wp:extent cx="5715" cy="205105"/>
                <wp:effectExtent l="34290" t="0" r="36195" b="4445"/>
                <wp:wrapNone/>
                <wp:docPr id="254" name="直接箭头连接符 254"/>
                <wp:cNvGraphicFramePr/>
                <a:graphic xmlns:a="http://schemas.openxmlformats.org/drawingml/2006/main">
                  <a:graphicData uri="http://schemas.microsoft.com/office/word/2010/wordprocessingShape">
                    <wps:wsp>
                      <wps:cNvCnPr/>
                      <wps:spPr>
                        <a:xfrm>
                          <a:off x="4703445" y="5758815"/>
                          <a:ext cx="5715" cy="205105"/>
                        </a:xfrm>
                        <a:prstGeom prst="straightConnector1">
                          <a:avLst/>
                        </a:prstGeom>
                        <a:ln w="158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15.9pt;margin-top:22.5pt;height:16.15pt;width:0.45pt;z-index:251736064;mso-width-relative:page;mso-height-relative:page;" filled="f" stroked="t" coordsize="21600,21600" o:gfxdata="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fFkwf2QAAAAkBAAAP&#10;AAAAAAAAAAEAIAAAACIAAABkcnMvZG93bnJldi54bWxQSwECFAAUAAAACACHTuJAGR3sYxcCAAD0&#10;AwAADgAAAAAAAAABACAAAAAoAQAAZHJzL2Uyb0RvYy54bWxQSwUGAAAAAAYABgBZAQAAsQUAAAAA&#10;">
                <v:fill on="f" focussize="0,0"/>
                <v:stroke weight="1.25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721728" behindDoc="0" locked="0" layoutInCell="1" allowOverlap="1">
                <wp:simplePos x="0" y="0"/>
                <wp:positionH relativeFrom="column">
                  <wp:posOffset>3456305</wp:posOffset>
                </wp:positionH>
                <wp:positionV relativeFrom="paragraph">
                  <wp:posOffset>66675</wp:posOffset>
                </wp:positionV>
                <wp:extent cx="1111250" cy="219075"/>
                <wp:effectExtent l="6350" t="6350" r="6350" b="22225"/>
                <wp:wrapNone/>
                <wp:docPr id="210" name="矩形 210"/>
                <wp:cNvGraphicFramePr/>
                <a:graphic xmlns:a="http://schemas.openxmlformats.org/drawingml/2006/main">
                  <a:graphicData uri="http://schemas.microsoft.com/office/word/2010/wordprocessingShape">
                    <wps:wsp>
                      <wps:cNvSpPr/>
                      <wps:spPr>
                        <a:xfrm>
                          <a:off x="0" y="0"/>
                          <a:ext cx="1111250" cy="21907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4D808B60">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9.2</w:t>
                            </w:r>
                            <w:r>
                              <w:rPr>
                                <w:rFonts w:hint="eastAsia" w:asciiTheme="minorEastAsia" w:hAnsiTheme="minorEastAsia" w:cstheme="minorEastAsia"/>
                                <w:sz w:val="15"/>
                                <w:szCs w:val="15"/>
                              </w:rPr>
                              <w:t>未收到回函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2.15pt;margin-top:5.25pt;height:17.25pt;width:87.5pt;z-index:251721728;v-text-anchor:middle;mso-width-relative:page;mso-height-relative:page;" filled="f" stroked="t" coordsize="21600,21600" o:gfxdata="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KV15Z1wAAAAkBAAAPAAAAAAAAAAEAIAAAACIAAABkcnMvZG93bnJldi54&#10;bWxQSwECFAAUAAAACACHTuJAql1yGG0CAADaBAAADgAAAAAAAAABACAAAAAmAQAAZHJzL2Uyb0Rv&#10;Yy54bWxQSwUGAAAAAAYABgBZAQAABQYAAAAA&#10;">
                <v:fill on="f" focussize="0,0"/>
                <v:stroke weight="1pt" color="#000000 [3213]" miterlimit="8" joinstyle="miter"/>
                <v:imagedata o:title=""/>
                <o:lock v:ext="edit" aspectratio="f"/>
                <v:textbox>
                  <w:txbxContent>
                    <w:p w14:paraId="4D808B60">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9.2</w:t>
                      </w:r>
                      <w:r>
                        <w:rPr>
                          <w:rFonts w:hint="eastAsia" w:asciiTheme="minorEastAsia" w:hAnsiTheme="minorEastAsia" w:cstheme="minorEastAsia"/>
                          <w:sz w:val="15"/>
                          <w:szCs w:val="15"/>
                        </w:rPr>
                        <w:t>未收到回函</w:t>
                      </w:r>
                    </w:p>
                  </w:txbxContent>
                </v:textbox>
              </v:rect>
            </w:pict>
          </mc:Fallback>
        </mc:AlternateContent>
      </w:r>
      <w:r>
        <w:rPr>
          <w:sz w:val="24"/>
        </w:rPr>
        <mc:AlternateContent>
          <mc:Choice Requires="wps">
            <w:drawing>
              <wp:anchor distT="0" distB="0" distL="114300" distR="114300" simplePos="0" relativeHeight="251720704" behindDoc="0" locked="0" layoutInCell="1" allowOverlap="1">
                <wp:simplePos x="0" y="0"/>
                <wp:positionH relativeFrom="column">
                  <wp:posOffset>1256030</wp:posOffset>
                </wp:positionH>
                <wp:positionV relativeFrom="paragraph">
                  <wp:posOffset>76200</wp:posOffset>
                </wp:positionV>
                <wp:extent cx="1139825" cy="228600"/>
                <wp:effectExtent l="6350" t="6350" r="15875" b="12700"/>
                <wp:wrapNone/>
                <wp:docPr id="209" name="矩形 209"/>
                <wp:cNvGraphicFramePr/>
                <a:graphic xmlns:a="http://schemas.openxmlformats.org/drawingml/2006/main">
                  <a:graphicData uri="http://schemas.microsoft.com/office/word/2010/wordprocessingShape">
                    <wps:wsp>
                      <wps:cNvSpPr/>
                      <wps:spPr>
                        <a:xfrm>
                          <a:off x="0" y="0"/>
                          <a:ext cx="1139825" cy="22860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3D4891DF">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9.1收</w:t>
                            </w:r>
                            <w:r>
                              <w:rPr>
                                <w:rFonts w:hint="eastAsia" w:asciiTheme="minorEastAsia" w:hAnsiTheme="minorEastAsia" w:cstheme="minorEastAsia"/>
                                <w:sz w:val="15"/>
                                <w:szCs w:val="15"/>
                              </w:rPr>
                              <w:t>到回函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8.9pt;margin-top:6pt;height:18pt;width:89.75pt;z-index:251720704;v-text-anchor:middle;mso-width-relative:page;mso-height-relative:page;" filled="f" stroked="t" coordsize="21600,21600" o:gfxdata="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NrRpVtcAAAAJAQAADwAAAAAAAAABACAAAAAiAAAAZHJzL2Rvd25y&#10;ZXYueG1sUEsBAhQAFAAAAAgAh07iQGtkI+hxAgAA2gQAAA4AAAAAAAAAAQAgAAAAJgEAAGRycy9l&#10;Mm9Eb2MueG1sUEsFBgAAAAAGAAYAWQEAAAkGAAAAAA==&#10;">
                <v:fill on="f" focussize="0,0"/>
                <v:stroke weight="1pt" color="#000000 [3213]" miterlimit="8" joinstyle="miter"/>
                <v:imagedata o:title=""/>
                <o:lock v:ext="edit" aspectratio="f"/>
                <v:textbox>
                  <w:txbxContent>
                    <w:p w14:paraId="3D4891DF">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9.1收</w:t>
                      </w:r>
                      <w:r>
                        <w:rPr>
                          <w:rFonts w:hint="eastAsia" w:asciiTheme="minorEastAsia" w:hAnsiTheme="minorEastAsia" w:cstheme="minorEastAsia"/>
                          <w:sz w:val="15"/>
                          <w:szCs w:val="15"/>
                        </w:rPr>
                        <w:t>到回函</w:t>
                      </w:r>
                    </w:p>
                  </w:txbxContent>
                </v:textbox>
              </v:rect>
            </w:pict>
          </mc:Fallback>
        </mc:AlternateContent>
      </w:r>
    </w:p>
    <w:p w14:paraId="0386F2D6">
      <w:pPr>
        <w:snapToGrid w:val="0"/>
        <w:spacing w:line="360" w:lineRule="auto"/>
        <w:ind w:firstLine="480" w:firstLineChars="200"/>
        <w:jc w:val="left"/>
        <w:outlineLvl w:val="2"/>
        <w:rPr>
          <w:rFonts w:asciiTheme="minorEastAsia" w:hAnsiTheme="minorEastAsia" w:cstheme="minorEastAsia"/>
          <w:b/>
          <w:bCs/>
          <w:sz w:val="24"/>
        </w:rPr>
      </w:pPr>
      <w:r>
        <w:rPr>
          <w:sz w:val="24"/>
        </w:rPr>
        <mc:AlternateContent>
          <mc:Choice Requires="wps">
            <w:drawing>
              <wp:anchor distT="0" distB="0" distL="114300" distR="114300" simplePos="0" relativeHeight="251725824" behindDoc="0" locked="0" layoutInCell="1" allowOverlap="1">
                <wp:simplePos x="0" y="0"/>
                <wp:positionH relativeFrom="column">
                  <wp:posOffset>3446780</wp:posOffset>
                </wp:positionH>
                <wp:positionV relativeFrom="paragraph">
                  <wp:posOffset>198755</wp:posOffset>
                </wp:positionV>
                <wp:extent cx="1130300" cy="219075"/>
                <wp:effectExtent l="6350" t="6350" r="6350" b="22225"/>
                <wp:wrapNone/>
                <wp:docPr id="215" name="矩形 215"/>
                <wp:cNvGraphicFramePr/>
                <a:graphic xmlns:a="http://schemas.openxmlformats.org/drawingml/2006/main">
                  <a:graphicData uri="http://schemas.microsoft.com/office/word/2010/wordprocessingShape">
                    <wps:wsp>
                      <wps:cNvSpPr/>
                      <wps:spPr>
                        <a:xfrm>
                          <a:off x="0" y="0"/>
                          <a:ext cx="1130300" cy="21907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4BC6EA2C">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9.3</w:t>
                            </w:r>
                            <w:r>
                              <w:rPr>
                                <w:rFonts w:hint="eastAsia" w:asciiTheme="minorEastAsia" w:hAnsiTheme="minorEastAsia" w:cstheme="minorEastAsia"/>
                                <w:sz w:val="15"/>
                                <w:szCs w:val="15"/>
                              </w:rPr>
                              <w:t>采取应对措施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1.4pt;margin-top:15.65pt;height:17.25pt;width:89pt;z-index:251725824;v-text-anchor:middle;mso-width-relative:page;mso-height-relative:page;" filled="f" stroked="t" coordsize="21600,21600" o:gfxdata="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WaOxbtgAAAAJAQAADwAAAAAAAAABACAAAAAiAAAAZHJzL2Rvd25y&#10;ZXYueG1sUEsBAhQAFAAAAAgAh07iQMyN0pJwAgAA2gQAAA4AAAAAAAAAAQAgAAAAJwEAAGRycy9l&#10;Mm9Eb2MueG1sUEsFBgAAAAAGAAYAWQEAAAkGAAAAAA==&#10;">
                <v:fill on="f" focussize="0,0"/>
                <v:stroke weight="1pt" color="#000000 [3213]" miterlimit="8" joinstyle="miter"/>
                <v:imagedata o:title=""/>
                <o:lock v:ext="edit" aspectratio="f"/>
                <v:textbox>
                  <w:txbxContent>
                    <w:p w14:paraId="4BC6EA2C">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9.3</w:t>
                      </w:r>
                      <w:r>
                        <w:rPr>
                          <w:rFonts w:hint="eastAsia" w:asciiTheme="minorEastAsia" w:hAnsiTheme="minorEastAsia" w:cstheme="minorEastAsia"/>
                          <w:sz w:val="15"/>
                          <w:szCs w:val="15"/>
                        </w:rPr>
                        <w:t>采取应对措施</w:t>
                      </w:r>
                    </w:p>
                  </w:txbxContent>
                </v:textbox>
              </v:rect>
            </w:pict>
          </mc:Fallback>
        </mc:AlternateContent>
      </w:r>
      <w:r>
        <w:rPr>
          <w:sz w:val="24"/>
        </w:rPr>
        <mc:AlternateContent>
          <mc:Choice Requires="wps">
            <w:drawing>
              <wp:anchor distT="0" distB="0" distL="114300" distR="114300" simplePos="0" relativeHeight="251724800" behindDoc="0" locked="0" layoutInCell="1" allowOverlap="1">
                <wp:simplePos x="0" y="0"/>
                <wp:positionH relativeFrom="column">
                  <wp:posOffset>1723390</wp:posOffset>
                </wp:positionH>
                <wp:positionV relativeFrom="paragraph">
                  <wp:posOffset>217805</wp:posOffset>
                </wp:positionV>
                <wp:extent cx="1292860" cy="220345"/>
                <wp:effectExtent l="6350" t="6350" r="15240" b="20955"/>
                <wp:wrapNone/>
                <wp:docPr id="214" name="矩形 214"/>
                <wp:cNvGraphicFramePr/>
                <a:graphic xmlns:a="http://schemas.openxmlformats.org/drawingml/2006/main">
                  <a:graphicData uri="http://schemas.microsoft.com/office/word/2010/wordprocessingShape">
                    <wps:wsp>
                      <wps:cNvSpPr/>
                      <wps:spPr>
                        <a:xfrm>
                          <a:off x="0" y="0"/>
                          <a:ext cx="1292860" cy="22034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7C71F14E">
                            <w:pPr>
                              <w:spacing w:line="180" w:lineRule="exact"/>
                              <w:jc w:val="center"/>
                              <w:rPr>
                                <w:rFonts w:asciiTheme="minorEastAsia" w:hAnsiTheme="minorEastAsia" w:cstheme="minorEastAsia"/>
                                <w:sz w:val="13"/>
                                <w:szCs w:val="13"/>
                              </w:rPr>
                            </w:pPr>
                            <w:r>
                              <w:rPr>
                                <w:rFonts w:asciiTheme="minorEastAsia" w:hAnsiTheme="minorEastAsia" w:cstheme="minorEastAsia"/>
                                <w:sz w:val="13"/>
                                <w:szCs w:val="13"/>
                              </w:rPr>
                              <w:t>9.1.2</w:t>
                            </w:r>
                            <w:r>
                              <w:rPr>
                                <w:rFonts w:hint="eastAsia" w:asciiTheme="minorEastAsia" w:hAnsiTheme="minorEastAsia" w:cstheme="minorEastAsia"/>
                                <w:sz w:val="13"/>
                                <w:szCs w:val="13"/>
                              </w:rPr>
                              <w:t>核对不符或不完全相符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5.7pt;margin-top:17.15pt;height:17.35pt;width:101.8pt;z-index:251724800;v-text-anchor:middle;mso-width-relative:page;mso-height-relative:page;" filled="f" stroked="t" coordsize="21600,21600" o:gfxdata="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aQ7K32AAAAAkBAAAPAAAAAAAAAAEAIAAAACIAAABkcnMvZG93bnJl&#10;di54bWxQSwECFAAUAAAACACHTuJAelU9BG8CAADaBAAADgAAAAAAAAABACAAAAAnAQAAZHJzL2Uy&#10;b0RvYy54bWxQSwUGAAAAAAYABgBZAQAACAYAAAAA&#10;">
                <v:fill on="f" focussize="0,0"/>
                <v:stroke weight="1pt" color="#000000 [3213]" miterlimit="8" joinstyle="miter"/>
                <v:imagedata o:title=""/>
                <o:lock v:ext="edit" aspectratio="f"/>
                <v:textbox>
                  <w:txbxContent>
                    <w:p w14:paraId="7C71F14E">
                      <w:pPr>
                        <w:spacing w:line="180" w:lineRule="exact"/>
                        <w:jc w:val="center"/>
                        <w:rPr>
                          <w:rFonts w:asciiTheme="minorEastAsia" w:hAnsiTheme="minorEastAsia" w:cstheme="minorEastAsia"/>
                          <w:sz w:val="13"/>
                          <w:szCs w:val="13"/>
                        </w:rPr>
                      </w:pPr>
                      <w:r>
                        <w:rPr>
                          <w:rFonts w:asciiTheme="minorEastAsia" w:hAnsiTheme="minorEastAsia" w:cstheme="minorEastAsia"/>
                          <w:sz w:val="13"/>
                          <w:szCs w:val="13"/>
                        </w:rPr>
                        <w:t>9.1.2</w:t>
                      </w:r>
                      <w:r>
                        <w:rPr>
                          <w:rFonts w:hint="eastAsia" w:asciiTheme="minorEastAsia" w:hAnsiTheme="minorEastAsia" w:cstheme="minorEastAsia"/>
                          <w:sz w:val="13"/>
                          <w:szCs w:val="13"/>
                        </w:rPr>
                        <w:t>核对不符或不完全相符</w:t>
                      </w:r>
                    </w:p>
                  </w:txbxContent>
                </v:textbox>
              </v:rect>
            </w:pict>
          </mc:Fallback>
        </mc:AlternateContent>
      </w:r>
      <w:r>
        <w:rPr>
          <w:sz w:val="24"/>
        </w:rPr>
        <mc:AlternateContent>
          <mc:Choice Requires="wps">
            <w:drawing>
              <wp:anchor distT="0" distB="0" distL="114300" distR="114300" simplePos="0" relativeHeight="251723776" behindDoc="0" locked="0" layoutInCell="1" allowOverlap="1">
                <wp:simplePos x="0" y="0"/>
                <wp:positionH relativeFrom="column">
                  <wp:posOffset>321945</wp:posOffset>
                </wp:positionH>
                <wp:positionV relativeFrom="paragraph">
                  <wp:posOffset>227330</wp:posOffset>
                </wp:positionV>
                <wp:extent cx="1129665" cy="219075"/>
                <wp:effectExtent l="6350" t="6350" r="6985" b="22225"/>
                <wp:wrapNone/>
                <wp:docPr id="213" name="矩形 213"/>
                <wp:cNvGraphicFramePr/>
                <a:graphic xmlns:a="http://schemas.openxmlformats.org/drawingml/2006/main">
                  <a:graphicData uri="http://schemas.microsoft.com/office/word/2010/wordprocessingShape">
                    <wps:wsp>
                      <wps:cNvSpPr/>
                      <wps:spPr>
                        <a:xfrm>
                          <a:off x="0" y="0"/>
                          <a:ext cx="1129665" cy="21907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25E2002F">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9.1.1</w:t>
                            </w:r>
                            <w:r>
                              <w:rPr>
                                <w:rFonts w:hint="eastAsia" w:asciiTheme="minorEastAsia" w:hAnsiTheme="minorEastAsia" w:cstheme="minorEastAsia"/>
                                <w:sz w:val="15"/>
                                <w:szCs w:val="15"/>
                              </w:rPr>
                              <w:t>核对相符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35pt;margin-top:17.9pt;height:17.25pt;width:88.95pt;z-index:251723776;v-text-anchor:middle;mso-width-relative:page;mso-height-relative:page;" filled="f" stroked="t" coordsize="21600,21600" o:gfxdata="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9gbfCdgAAAAIAQAADwAAAAAAAAABACAAAAAiAAAAZHJzL2Rvd25y&#10;ZXYueG1sUEsBAhQAFAAAAAgAh07iQKI1Q/JwAgAA2gQAAA4AAAAAAAAAAQAgAAAAJwEAAGRycy9l&#10;Mm9Eb2MueG1sUEsFBgAAAAAGAAYAWQEAAAkGAAAAAA==&#10;">
                <v:fill on="f" focussize="0,0"/>
                <v:stroke weight="1pt" color="#000000 [3213]" miterlimit="8" joinstyle="miter"/>
                <v:imagedata o:title=""/>
                <o:lock v:ext="edit" aspectratio="f"/>
                <v:textbox>
                  <w:txbxContent>
                    <w:p w14:paraId="25E2002F">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9.1.1</w:t>
                      </w:r>
                      <w:r>
                        <w:rPr>
                          <w:rFonts w:hint="eastAsia" w:asciiTheme="minorEastAsia" w:hAnsiTheme="minorEastAsia" w:cstheme="minorEastAsia"/>
                          <w:sz w:val="15"/>
                          <w:szCs w:val="15"/>
                        </w:rPr>
                        <w:t>核对相符</w:t>
                      </w:r>
                    </w:p>
                  </w:txbxContent>
                </v:textbox>
              </v:rect>
            </w:pict>
          </mc:Fallback>
        </mc:AlternateContent>
      </w:r>
      <w:r>
        <w:rPr>
          <w:sz w:val="24"/>
        </w:rPr>
        <mc:AlternateContent>
          <mc:Choice Requires="wps">
            <w:drawing>
              <wp:anchor distT="0" distB="0" distL="114300" distR="114300" simplePos="0" relativeHeight="251735040" behindDoc="0" locked="0" layoutInCell="1" allowOverlap="1">
                <wp:simplePos x="0" y="0"/>
                <wp:positionH relativeFrom="column">
                  <wp:posOffset>2233930</wp:posOffset>
                </wp:positionH>
                <wp:positionV relativeFrom="paragraph">
                  <wp:posOffset>-365125</wp:posOffset>
                </wp:positionV>
                <wp:extent cx="200025" cy="957580"/>
                <wp:effectExtent l="6350" t="0" r="45720" b="9525"/>
                <wp:wrapNone/>
                <wp:docPr id="250" name="肘形连接符 250"/>
                <wp:cNvGraphicFramePr/>
                <a:graphic xmlns:a="http://schemas.openxmlformats.org/drawingml/2006/main">
                  <a:graphicData uri="http://schemas.microsoft.com/office/word/2010/wordprocessingShape">
                    <wps:wsp>
                      <wps:cNvCnPr/>
                      <wps:spPr>
                        <a:xfrm rot="5400000" flipV="1">
                          <a:off x="0" y="0"/>
                          <a:ext cx="200025" cy="957580"/>
                        </a:xfrm>
                        <a:prstGeom prst="bentConnector3">
                          <a:avLst>
                            <a:gd name="adj1" fmla="val 50000"/>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175.9pt;margin-top:-28.75pt;height:75.4pt;width:15.75pt;rotation:-5898240f;z-index:251735040;mso-width-relative:page;mso-height-relative:page;" filled="f" stroked="t" coordsize="21600,21600" o:gfxdata="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52GYLZAAAACgEAAA8AAAAAAAAAAQAgAAAAIgAAAGRycy9kb3ducmV2LnhtbFBLAQIU&#10;ABQAAAAIAIdO4kAKubfRKwIAACUEAAAOAAAAAAAAAAEAIAAAACgBAABkcnMvZTJvRG9jLnhtbFBL&#10;BQYAAAAABgAGAFkBAADFBQAAAAA=&#10;" adj="10800">
                <v:fill on="f" focussize="0,0"/>
                <v:stroke weight="1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722752" behindDoc="0" locked="0" layoutInCell="1" allowOverlap="1">
                <wp:simplePos x="0" y="0"/>
                <wp:positionH relativeFrom="column">
                  <wp:posOffset>1302385</wp:posOffset>
                </wp:positionH>
                <wp:positionV relativeFrom="paragraph">
                  <wp:posOffset>-339090</wp:posOffset>
                </wp:positionV>
                <wp:extent cx="200025" cy="904875"/>
                <wp:effectExtent l="38100" t="0" r="9525" b="9525"/>
                <wp:wrapNone/>
                <wp:docPr id="211" name="肘形连接符 211"/>
                <wp:cNvGraphicFramePr/>
                <a:graphic xmlns:a="http://schemas.openxmlformats.org/drawingml/2006/main">
                  <a:graphicData uri="http://schemas.microsoft.com/office/word/2010/wordprocessingShape">
                    <wps:wsp>
                      <wps:cNvCnPr/>
                      <wps:spPr>
                        <a:xfrm rot="5400000">
                          <a:off x="0" y="0"/>
                          <a:ext cx="200025" cy="904875"/>
                        </a:xfrm>
                        <a:prstGeom prst="bentConnector3">
                          <a:avLst>
                            <a:gd name="adj1" fmla="val 50159"/>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102.55pt;margin-top:-26.7pt;height:71.25pt;width:15.75pt;rotation:5898240f;z-index:251722752;mso-width-relative:page;mso-height-relative:page;" filled="f" stroked="t" coordsize="21600,21600" o:gfxdata="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n3p8HbAAAACgEAAA8AAAAAAAAAAQAgAAAAIgAAAGRycy9kb3ducmV2LnhtbFBLAQIUABQA&#10;AAAIAIdO4kD7CqTwJgIAABsEAAAOAAAAAAAAAAEAIAAAACoBAABkcnMvZTJvRG9jLnhtbFBLBQYA&#10;AAAABgAGAFkBAADCBQAAAAA=&#10;" adj="10834">
                <v:fill on="f" focussize="0,0"/>
                <v:stroke weight="1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737088" behindDoc="0" locked="0" layoutInCell="1" allowOverlap="1">
                <wp:simplePos x="0" y="0"/>
                <wp:positionH relativeFrom="column">
                  <wp:posOffset>1318895</wp:posOffset>
                </wp:positionH>
                <wp:positionV relativeFrom="paragraph">
                  <wp:posOffset>15240</wp:posOffset>
                </wp:positionV>
                <wp:extent cx="828675" cy="1691640"/>
                <wp:effectExtent l="8255" t="0" r="14605" b="257175"/>
                <wp:wrapNone/>
                <wp:docPr id="257" name="肘形连接符 257"/>
                <wp:cNvGraphicFramePr/>
                <a:graphic xmlns:a="http://schemas.openxmlformats.org/drawingml/2006/main">
                  <a:graphicData uri="http://schemas.microsoft.com/office/word/2010/wordprocessingShape">
                    <wps:wsp>
                      <wps:cNvCnPr/>
                      <wps:spPr>
                        <a:xfrm rot="5400000" flipV="1">
                          <a:off x="2439035" y="5631815"/>
                          <a:ext cx="828675" cy="1691640"/>
                        </a:xfrm>
                        <a:prstGeom prst="bentConnector3">
                          <a:avLst>
                            <a:gd name="adj1" fmla="val 128697"/>
                          </a:avLst>
                        </a:prstGeom>
                        <a:ln w="158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103.85pt;margin-top:1.2pt;height:133.2pt;width:65.25pt;rotation:-5898240f;z-index:251737088;mso-width-relative:page;mso-height-relative:page;" filled="f" stroked="t" coordsize="21600,21600" o:gfxdata="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2qqHdYAAAAJAQAADwAAAAAAAAABACAAAAAiAAAAZHJzL2Rvd25yZXYueG1sUEsBAhQAFAAA&#10;AAgAh07iQGoiUJQqAgAAFwQAAA4AAAAAAAAAAQAgAAAAJQEAAGRycy9lMm9Eb2MueG1sUEsFBgAA&#10;AAAGAAYAWQEAAMEFAAAAAA==&#10;" adj="27799">
                <v:fill on="f" focussize="0,0"/>
                <v:stroke weight="1.25pt" color="#000000 [3213]" miterlimit="8" joinstyle="miter"/>
                <v:imagedata o:title=""/>
                <o:lock v:ext="edit" aspectratio="f"/>
              </v:shape>
            </w:pict>
          </mc:Fallback>
        </mc:AlternateContent>
      </w:r>
    </w:p>
    <w:p w14:paraId="237F0B42">
      <w:pPr>
        <w:snapToGrid w:val="0"/>
        <w:spacing w:line="360" w:lineRule="auto"/>
        <w:ind w:firstLine="480" w:firstLineChars="200"/>
        <w:jc w:val="left"/>
        <w:outlineLvl w:val="2"/>
        <w:rPr>
          <w:rFonts w:asciiTheme="minorEastAsia" w:hAnsiTheme="minorEastAsia" w:cstheme="minorEastAsia"/>
          <w:b/>
          <w:bCs/>
          <w:sz w:val="24"/>
        </w:rPr>
      </w:pPr>
      <w:r>
        <w:rPr>
          <w:sz w:val="24"/>
        </w:rPr>
        <mc:AlternateContent>
          <mc:Choice Requires="wps">
            <w:drawing>
              <wp:anchor distT="0" distB="0" distL="114300" distR="114300" simplePos="0" relativeHeight="251697152" behindDoc="0" locked="0" layoutInCell="1" allowOverlap="1">
                <wp:simplePos x="0" y="0"/>
                <wp:positionH relativeFrom="column">
                  <wp:posOffset>3027045</wp:posOffset>
                </wp:positionH>
                <wp:positionV relativeFrom="paragraph">
                  <wp:posOffset>31115</wp:posOffset>
                </wp:positionV>
                <wp:extent cx="419735" cy="9525"/>
                <wp:effectExtent l="0" t="36195" r="18415" b="30480"/>
                <wp:wrapNone/>
                <wp:docPr id="141" name="直接箭头连接符 141"/>
                <wp:cNvGraphicFramePr/>
                <a:graphic xmlns:a="http://schemas.openxmlformats.org/drawingml/2006/main">
                  <a:graphicData uri="http://schemas.microsoft.com/office/word/2010/wordprocessingShape">
                    <wps:wsp>
                      <wps:cNvCnPr/>
                      <wps:spPr>
                        <a:xfrm flipV="1">
                          <a:off x="3869690" y="9168765"/>
                          <a:ext cx="419735" cy="952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38.35pt;margin-top:2.45pt;height:0.75pt;width:33.05pt;z-index:251697152;mso-width-relative:page;mso-height-relative:page;" filled="f" stroked="t" coordsize="21600,21600" o:gfxdata="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50Ff2dUAAAAH&#10;AQAADwAAAAAAAAABACAAAAAiAAAAZHJzL2Rvd25yZXYueG1sUEsBAhQAFAAAAAgAh07iQHPKGvcf&#10;AgAA/gMAAA4AAAAAAAAAAQAgAAAAJAEAAGRycy9lMm9Eb2MueG1sUEsFBgAAAAAGAAYAWQEAALUF&#10;AAAAAA==&#10;">
                <v:fill on="f" focussize="0,0"/>
                <v:stroke weight="1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741184" behindDoc="0" locked="0" layoutInCell="1" allowOverlap="1">
                <wp:simplePos x="0" y="0"/>
                <wp:positionH relativeFrom="column">
                  <wp:posOffset>2971800</wp:posOffset>
                </wp:positionH>
                <wp:positionV relativeFrom="paragraph">
                  <wp:posOffset>-271145</wp:posOffset>
                </wp:positionV>
                <wp:extent cx="647700" cy="1433195"/>
                <wp:effectExtent l="38100" t="0" r="14605" b="0"/>
                <wp:wrapNone/>
                <wp:docPr id="15" name="肘形连接符 15"/>
                <wp:cNvGraphicFramePr/>
                <a:graphic xmlns:a="http://schemas.openxmlformats.org/drawingml/2006/main">
                  <a:graphicData uri="http://schemas.microsoft.com/office/word/2010/wordprocessingShape">
                    <wps:wsp>
                      <wps:cNvCnPr/>
                      <wps:spPr>
                        <a:xfrm rot="5400000">
                          <a:off x="3939540" y="5680075"/>
                          <a:ext cx="647700" cy="1433195"/>
                        </a:xfrm>
                        <a:prstGeom prst="bentConnector3">
                          <a:avLst>
                            <a:gd name="adj1" fmla="val 49951"/>
                          </a:avLst>
                        </a:prstGeom>
                        <a:ln w="158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234pt;margin-top:-21.35pt;height:112.85pt;width:51pt;rotation:5898240f;z-index:251741184;mso-width-relative:page;mso-height-relative:page;" filled="f" stroked="t" coordsize="21600,21600" o:gfxdata="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t1XcPcAAAACwEAAA8AAAAAAAAAAQAgAAAAIgAAAGRycy9kb3ducmV2&#10;LnhtbFBLAQIUABQAAAAIAIdO4kBg43A0MQIAACYEAAAOAAAAAAAAAAEAIAAAACsBAABkcnMvZTJv&#10;RG9jLnhtbFBLBQYAAAAABgAGAFkBAADOBQAAAAA=&#10;" adj="10789">
                <v:fill on="f" focussize="0,0"/>
                <v:stroke weight="1.25pt" color="#000000 [3213]" miterlimit="8" joinstyle="miter" endarrow="block"/>
                <v:imagedata o:title=""/>
                <o:lock v:ext="edit" aspectratio="f"/>
              </v:shape>
            </w:pict>
          </mc:Fallback>
        </mc:AlternateContent>
      </w:r>
    </w:p>
    <w:p w14:paraId="27FC1F86">
      <w:pPr>
        <w:snapToGrid w:val="0"/>
        <w:spacing w:line="360" w:lineRule="auto"/>
        <w:ind w:firstLine="480" w:firstLineChars="200"/>
        <w:jc w:val="left"/>
        <w:outlineLvl w:val="2"/>
        <w:rPr>
          <w:rFonts w:asciiTheme="minorEastAsia" w:hAnsiTheme="minorEastAsia" w:cstheme="minorEastAsia"/>
          <w:b/>
          <w:bCs/>
          <w:sz w:val="24"/>
        </w:rPr>
      </w:pPr>
      <w:r>
        <w:rPr>
          <w:sz w:val="24"/>
        </w:rPr>
        <mc:AlternateContent>
          <mc:Choice Requires="wps">
            <w:drawing>
              <wp:anchor distT="0" distB="0" distL="114300" distR="114300" simplePos="0" relativeHeight="251742208" behindDoc="0" locked="0" layoutInCell="1" allowOverlap="1">
                <wp:simplePos x="0" y="0"/>
                <wp:positionH relativeFrom="column">
                  <wp:posOffset>3846195</wp:posOffset>
                </wp:positionH>
                <wp:positionV relativeFrom="paragraph">
                  <wp:posOffset>149860</wp:posOffset>
                </wp:positionV>
                <wp:extent cx="441960" cy="217805"/>
                <wp:effectExtent l="0" t="7620" r="53340" b="3175"/>
                <wp:wrapNone/>
                <wp:docPr id="35" name="肘形连接符 35"/>
                <wp:cNvGraphicFramePr/>
                <a:graphic xmlns:a="http://schemas.openxmlformats.org/drawingml/2006/main">
                  <a:graphicData uri="http://schemas.microsoft.com/office/word/2010/wordprocessingShape">
                    <wps:wsp>
                      <wps:cNvCnPr/>
                      <wps:spPr>
                        <a:xfrm>
                          <a:off x="4747260" y="6160135"/>
                          <a:ext cx="441960" cy="217805"/>
                        </a:xfrm>
                        <a:prstGeom prst="bentConnector2">
                          <a:avLst/>
                        </a:prstGeom>
                        <a:ln w="158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3" type="#_x0000_t33" style="position:absolute;left:0pt;margin-left:302.85pt;margin-top:11.8pt;height:17.15pt;width:34.8pt;z-index:251742208;mso-width-relative:page;mso-height-relative:page;" filled="f" stroked="t" coordsize="21600,21600" o:gfxdata="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wEbJtkAAAAJAQAADwAAAAAA&#10;AAABACAAAAAiAAAAZHJzL2Rvd25yZXYueG1sUEsBAhQAFAAAAAgAh07iQC56Yd0SAgAA6gMAAA4A&#10;AAAAAAAAAQAgAAAAKAEAAGRycy9lMm9Eb2MueG1sUEsFBgAAAAAGAAYAWQEAAKwFAAAAAA==&#10;">
                <v:fill on="f" focussize="0,0"/>
                <v:stroke weight="1.25pt" color="#000000 [3213]" miterlimit="8" joinstyle="miter" endarrow="block"/>
                <v:imagedata o:title=""/>
                <o:lock v:ext="edit" aspectratio="f"/>
              </v:shape>
            </w:pict>
          </mc:Fallback>
        </mc:AlternateContent>
      </w:r>
    </w:p>
    <w:p w14:paraId="3145E20F">
      <w:pPr>
        <w:snapToGrid w:val="0"/>
        <w:spacing w:line="360" w:lineRule="auto"/>
        <w:ind w:firstLine="480" w:firstLineChars="200"/>
        <w:jc w:val="left"/>
        <w:outlineLvl w:val="2"/>
        <w:rPr>
          <w:rFonts w:asciiTheme="minorEastAsia" w:hAnsiTheme="minorEastAsia" w:cstheme="minorEastAsia"/>
          <w:b/>
          <w:bCs/>
          <w:sz w:val="24"/>
        </w:rPr>
      </w:pPr>
      <w:r>
        <w:rPr>
          <w:sz w:val="24"/>
        </w:rPr>
        <mc:AlternateContent>
          <mc:Choice Requires="wps">
            <w:drawing>
              <wp:anchor distT="0" distB="0" distL="114300" distR="114300" simplePos="0" relativeHeight="251726848" behindDoc="0" locked="0" layoutInCell="1" allowOverlap="1">
                <wp:simplePos x="0" y="0"/>
                <wp:positionH relativeFrom="column">
                  <wp:posOffset>2075180</wp:posOffset>
                </wp:positionH>
                <wp:positionV relativeFrom="paragraph">
                  <wp:posOffset>176530</wp:posOffset>
                </wp:positionV>
                <wp:extent cx="1006475" cy="209550"/>
                <wp:effectExtent l="6350" t="6350" r="15875" b="12700"/>
                <wp:wrapNone/>
                <wp:docPr id="217" name="矩形 217"/>
                <wp:cNvGraphicFramePr/>
                <a:graphic xmlns:a="http://schemas.openxmlformats.org/drawingml/2006/main">
                  <a:graphicData uri="http://schemas.microsoft.com/office/word/2010/wordprocessingShape">
                    <wps:wsp>
                      <wps:cNvSpPr/>
                      <wps:spPr>
                        <a:xfrm>
                          <a:off x="0" y="0"/>
                          <a:ext cx="1006475" cy="20955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628FA154">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9.3.1</w:t>
                            </w:r>
                            <w:r>
                              <w:rPr>
                                <w:rFonts w:hint="eastAsia" w:asciiTheme="minorEastAsia" w:hAnsiTheme="minorEastAsia" w:cstheme="minorEastAsia"/>
                                <w:sz w:val="15"/>
                                <w:szCs w:val="15"/>
                              </w:rPr>
                              <w:t>替代程序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3.4pt;margin-top:13.9pt;height:16.5pt;width:79.25pt;z-index:251726848;v-text-anchor:middle;mso-width-relative:page;mso-height-relative:page;" filled="f" stroked="t" coordsize="21600,21600" o:gfxdata="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KFTX6bZAAAACQEAAA8AAAAAAAAAAQAgAAAAIgAAAGRycy9kb3du&#10;cmV2LnhtbFBLAQIUABQAAAAIAIdO4kCxgbBGcAIAANoEAAAOAAAAAAAAAAEAIAAAACgBAABkcnMv&#10;ZTJvRG9jLnhtbFBLBQYAAAAABgAGAFkBAAAKBgAAAAA=&#10;">
                <v:fill on="f" focussize="0,0"/>
                <v:stroke weight="1pt" color="#000000 [3213]" miterlimit="8" joinstyle="miter"/>
                <v:imagedata o:title=""/>
                <o:lock v:ext="edit" aspectratio="f"/>
                <v:textbox>
                  <w:txbxContent>
                    <w:p w14:paraId="628FA154">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9.3.1</w:t>
                      </w:r>
                      <w:r>
                        <w:rPr>
                          <w:rFonts w:hint="eastAsia" w:asciiTheme="minorEastAsia" w:hAnsiTheme="minorEastAsia" w:cstheme="minorEastAsia"/>
                          <w:sz w:val="15"/>
                          <w:szCs w:val="15"/>
                        </w:rPr>
                        <w:t>替代程序</w:t>
                      </w:r>
                    </w:p>
                  </w:txbxContent>
                </v:textbox>
              </v:rect>
            </w:pict>
          </mc:Fallback>
        </mc:AlternateContent>
      </w:r>
      <w:r>
        <w:rPr>
          <w:sz w:val="24"/>
        </w:rPr>
        <mc:AlternateContent>
          <mc:Choice Requires="wps">
            <w:drawing>
              <wp:anchor distT="0" distB="0" distL="114300" distR="114300" simplePos="0" relativeHeight="251727872" behindDoc="0" locked="0" layoutInCell="1" allowOverlap="1">
                <wp:simplePos x="0" y="0"/>
                <wp:positionH relativeFrom="column">
                  <wp:posOffset>3713480</wp:posOffset>
                </wp:positionH>
                <wp:positionV relativeFrom="paragraph">
                  <wp:posOffset>62230</wp:posOffset>
                </wp:positionV>
                <wp:extent cx="920750" cy="219075"/>
                <wp:effectExtent l="6350" t="6350" r="6350" b="22225"/>
                <wp:wrapNone/>
                <wp:docPr id="219" name="矩形 219"/>
                <wp:cNvGraphicFramePr/>
                <a:graphic xmlns:a="http://schemas.openxmlformats.org/drawingml/2006/main">
                  <a:graphicData uri="http://schemas.microsoft.com/office/word/2010/wordprocessingShape">
                    <wps:wsp>
                      <wps:cNvSpPr/>
                      <wps:spPr>
                        <a:xfrm>
                          <a:off x="0" y="0"/>
                          <a:ext cx="920750" cy="21907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69F5136F">
                            <w:pPr>
                              <w:spacing w:line="180" w:lineRule="exact"/>
                              <w:jc w:val="center"/>
                              <w:rPr>
                                <w:rFonts w:asciiTheme="minorEastAsia" w:hAnsiTheme="minorEastAsia" w:cstheme="minorEastAsia"/>
                                <w:sz w:val="16"/>
                                <w:szCs w:val="16"/>
                              </w:rPr>
                            </w:pPr>
                            <w:r>
                              <w:rPr>
                                <w:rFonts w:asciiTheme="minorEastAsia" w:hAnsiTheme="minorEastAsia" w:cstheme="minorEastAsia"/>
                                <w:sz w:val="15"/>
                                <w:szCs w:val="15"/>
                              </w:rPr>
                              <w:t>9.3.2</w:t>
                            </w:r>
                            <w:r>
                              <w:rPr>
                                <w:rFonts w:hint="eastAsia" w:asciiTheme="minorEastAsia" w:hAnsiTheme="minorEastAsia" w:cstheme="minorEastAsia"/>
                                <w:sz w:val="15"/>
                                <w:szCs w:val="15"/>
                              </w:rPr>
                              <w:t>再次发函</w:t>
                            </w:r>
                            <w:r>
                              <w:rPr>
                                <w:rFonts w:hint="eastAsia" w:asciiTheme="minorEastAsia" w:hAnsiTheme="minorEastAsia" w:cstheme="minorEastAsia"/>
                                <w:sz w:val="16"/>
                                <w:szCs w:val="16"/>
                              </w:rPr>
                              <w:t>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2.4pt;margin-top:4.9pt;height:17.25pt;width:72.5pt;z-index:251727872;v-text-anchor:middle;mso-width-relative:page;mso-height-relative:page;" filled="f" stroked="t" coordsize="21600,21600" o:gfxdata="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EPz0trXAAAACAEAAA8AAAAAAAAAAQAgAAAAIgAAAGRycy9kb3ducmV2Lnht&#10;bFBLAQIUABQAAAAIAIdO4kBauSewbAIAANkEAAAOAAAAAAAAAAEAIAAAACYBAABkcnMvZTJvRG9j&#10;LnhtbFBLBQYAAAAABgAGAFkBAAAEBgAAAAA=&#10;">
                <v:fill on="f" focussize="0,0"/>
                <v:stroke weight="1pt" color="#000000 [3213]" miterlimit="8" joinstyle="miter"/>
                <v:imagedata o:title=""/>
                <o:lock v:ext="edit" aspectratio="f"/>
                <v:textbox>
                  <w:txbxContent>
                    <w:p w14:paraId="69F5136F">
                      <w:pPr>
                        <w:spacing w:line="180" w:lineRule="exact"/>
                        <w:jc w:val="center"/>
                        <w:rPr>
                          <w:rFonts w:asciiTheme="minorEastAsia" w:hAnsiTheme="minorEastAsia" w:cstheme="minorEastAsia"/>
                          <w:sz w:val="16"/>
                          <w:szCs w:val="16"/>
                        </w:rPr>
                      </w:pPr>
                      <w:r>
                        <w:rPr>
                          <w:rFonts w:asciiTheme="minorEastAsia" w:hAnsiTheme="minorEastAsia" w:cstheme="minorEastAsia"/>
                          <w:sz w:val="15"/>
                          <w:szCs w:val="15"/>
                        </w:rPr>
                        <w:t>9.3.2</w:t>
                      </w:r>
                      <w:r>
                        <w:rPr>
                          <w:rFonts w:hint="eastAsia" w:asciiTheme="minorEastAsia" w:hAnsiTheme="minorEastAsia" w:cstheme="minorEastAsia"/>
                          <w:sz w:val="15"/>
                          <w:szCs w:val="15"/>
                        </w:rPr>
                        <w:t>再次发函</w:t>
                      </w:r>
                      <w:r>
                        <w:rPr>
                          <w:rFonts w:hint="eastAsia" w:asciiTheme="minorEastAsia" w:hAnsiTheme="minorEastAsia" w:cstheme="minorEastAsia"/>
                          <w:sz w:val="16"/>
                          <w:szCs w:val="16"/>
                        </w:rPr>
                        <w:t>序</w:t>
                      </w:r>
                    </w:p>
                  </w:txbxContent>
                </v:textbox>
              </v:rect>
            </w:pict>
          </mc:Fallback>
        </mc:AlternateContent>
      </w:r>
    </w:p>
    <w:p w14:paraId="1DDFF698">
      <w:pPr>
        <w:snapToGrid w:val="0"/>
        <w:spacing w:line="360" w:lineRule="auto"/>
        <w:ind w:firstLine="482" w:firstLineChars="200"/>
        <w:jc w:val="left"/>
        <w:outlineLvl w:val="2"/>
        <w:rPr>
          <w:rFonts w:asciiTheme="minorEastAsia" w:hAnsiTheme="minorEastAsia" w:cstheme="minorEastAsia"/>
          <w:b/>
          <w:bCs/>
          <w:sz w:val="24"/>
        </w:rPr>
      </w:pPr>
    </w:p>
    <w:p w14:paraId="67874A71">
      <w:pPr>
        <w:snapToGrid w:val="0"/>
        <w:spacing w:line="360" w:lineRule="auto"/>
        <w:ind w:firstLine="480" w:firstLineChars="200"/>
        <w:jc w:val="left"/>
        <w:outlineLvl w:val="2"/>
        <w:rPr>
          <w:rFonts w:asciiTheme="minorEastAsia" w:hAnsiTheme="minorEastAsia" w:cstheme="minorEastAsia"/>
          <w:b/>
          <w:bCs/>
          <w:sz w:val="24"/>
        </w:rPr>
      </w:pPr>
      <w:r>
        <w:rPr>
          <w:sz w:val="24"/>
        </w:rPr>
        <mc:AlternateContent>
          <mc:Choice Requires="wps">
            <w:drawing>
              <wp:anchor distT="0" distB="0" distL="114300" distR="114300" simplePos="0" relativeHeight="251732992" behindDoc="0" locked="0" layoutInCell="1" allowOverlap="1">
                <wp:simplePos x="0" y="0"/>
                <wp:positionH relativeFrom="column">
                  <wp:posOffset>1160780</wp:posOffset>
                </wp:positionH>
                <wp:positionV relativeFrom="paragraph">
                  <wp:posOffset>145415</wp:posOffset>
                </wp:positionV>
                <wp:extent cx="1082675" cy="220345"/>
                <wp:effectExtent l="6350" t="6350" r="15875" b="20955"/>
                <wp:wrapNone/>
                <wp:docPr id="243" name="矩形 243"/>
                <wp:cNvGraphicFramePr/>
                <a:graphic xmlns:a="http://schemas.openxmlformats.org/drawingml/2006/main">
                  <a:graphicData uri="http://schemas.microsoft.com/office/word/2010/wordprocessingShape">
                    <wps:wsp>
                      <wps:cNvSpPr/>
                      <wps:spPr>
                        <a:xfrm>
                          <a:off x="0" y="0"/>
                          <a:ext cx="1082675" cy="22034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585A0C53">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9.4总体评价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1.4pt;margin-top:11.45pt;height:17.35pt;width:85.25pt;z-index:251732992;v-text-anchor:middle;mso-width-relative:page;mso-height-relative:page;" filled="f" stroked="t" coordsize="21600,21600" o:gfxdata="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FZ3hH/YAAAACQEAAA8AAAAAAAAAAQAgAAAAIgAAAGRycy9kb3du&#10;cmV2LnhtbFBLAQIUABQAAAAIAIdO4kDinI8gcQIAANoEAAAOAAAAAAAAAAEAIAAAACcBAABkcnMv&#10;ZTJvRG9jLnhtbFBLBQYAAAAABgAGAFkBAAAKBgAAAAA=&#10;">
                <v:fill on="f" focussize="0,0"/>
                <v:stroke weight="1pt" color="#000000 [3213]" miterlimit="8" joinstyle="miter"/>
                <v:imagedata o:title=""/>
                <o:lock v:ext="edit" aspectratio="f"/>
                <v:textbox>
                  <w:txbxContent>
                    <w:p w14:paraId="585A0C53">
                      <w:pPr>
                        <w:spacing w:line="180" w:lineRule="exact"/>
                        <w:jc w:val="center"/>
                        <w:rPr>
                          <w:rFonts w:asciiTheme="minorEastAsia" w:hAnsiTheme="minorEastAsia" w:cstheme="minorEastAsia"/>
                          <w:sz w:val="15"/>
                          <w:szCs w:val="15"/>
                        </w:rPr>
                      </w:pPr>
                      <w:r>
                        <w:rPr>
                          <w:rFonts w:asciiTheme="minorEastAsia" w:hAnsiTheme="minorEastAsia" w:cstheme="minorEastAsia"/>
                          <w:sz w:val="15"/>
                          <w:szCs w:val="15"/>
                        </w:rPr>
                        <w:t>9.4总体评价</w:t>
                      </w:r>
                    </w:p>
                  </w:txbxContent>
                </v:textbox>
              </v:rect>
            </w:pict>
          </mc:Fallback>
        </mc:AlternateContent>
      </w:r>
      <w:r>
        <w:rPr>
          <w:sz w:val="24"/>
        </w:rPr>
        <mc:AlternateContent>
          <mc:Choice Requires="wps">
            <w:drawing>
              <wp:anchor distT="0" distB="0" distL="114300" distR="114300" simplePos="0" relativeHeight="251731968" behindDoc="0" locked="0" layoutInCell="1" allowOverlap="1">
                <wp:simplePos x="0" y="0"/>
                <wp:positionH relativeFrom="column">
                  <wp:posOffset>1715770</wp:posOffset>
                </wp:positionH>
                <wp:positionV relativeFrom="paragraph">
                  <wp:posOffset>40640</wp:posOffset>
                </wp:positionV>
                <wp:extent cx="6350" cy="115570"/>
                <wp:effectExtent l="33655" t="635" r="36195" b="17145"/>
                <wp:wrapNone/>
                <wp:docPr id="232" name="直接箭头连接符 232"/>
                <wp:cNvGraphicFramePr/>
                <a:graphic xmlns:a="http://schemas.openxmlformats.org/drawingml/2006/main">
                  <a:graphicData uri="http://schemas.microsoft.com/office/word/2010/wordprocessingShape">
                    <wps:wsp>
                      <wps:cNvCnPr/>
                      <wps:spPr>
                        <a:xfrm flipH="1">
                          <a:off x="0" y="0"/>
                          <a:ext cx="6350" cy="11557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35.1pt;margin-top:3.2pt;height:9.1pt;width:0.5pt;z-index:251731968;mso-width-relative:page;mso-height-relative:page;" filled="f" stroked="t" coordsize="21600,21600" o:gfxdata="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pAKsE1QAAAAgBAAAPAAAAAAAAAAEA&#10;IAAAACIAAABkcnMvZG93bnJldi54bWxQSwECFAAUAAAACACHTuJA/Fk3RRICAADyAwAADgAAAAAA&#10;AAABACAAAAAkAQAAZHJzL2Uyb0RvYy54bWxQSwUGAAAAAAYABgBZAQAAqAUAAAAA&#10;">
                <v:fill on="f" focussize="0,0"/>
                <v:stroke weight="1pt" color="#000000 [3213]" miterlimit="8" joinstyle="miter" endarrow="block"/>
                <v:imagedata o:title=""/>
                <o:lock v:ext="edit" aspectratio="f"/>
              </v:shape>
            </w:pict>
          </mc:Fallback>
        </mc:AlternateContent>
      </w:r>
    </w:p>
    <w:p w14:paraId="5E89D86D">
      <w:pPr>
        <w:tabs>
          <w:tab w:val="left" w:pos="5517"/>
        </w:tabs>
        <w:snapToGrid w:val="0"/>
        <w:spacing w:line="360" w:lineRule="auto"/>
        <w:ind w:firstLine="482" w:firstLineChars="200"/>
        <w:jc w:val="left"/>
        <w:outlineLvl w:val="2"/>
        <w:rPr>
          <w:rFonts w:asciiTheme="minorEastAsia" w:hAnsiTheme="minorEastAsia" w:cstheme="minorEastAsia"/>
          <w:b/>
          <w:bCs/>
          <w:sz w:val="24"/>
        </w:rPr>
      </w:pPr>
      <w:r>
        <w:rPr>
          <w:rFonts w:hint="eastAsia" w:asciiTheme="minorEastAsia" w:hAnsiTheme="minorEastAsia" w:cstheme="minorEastAsia"/>
          <w:b/>
          <w:bCs/>
          <w:sz w:val="24"/>
        </w:rPr>
        <w:tab/>
      </w:r>
    </w:p>
    <w:p w14:paraId="722BB990">
      <w:pPr>
        <w:snapToGrid w:val="0"/>
        <w:spacing w:before="156" w:beforeLines="50" w:after="156" w:afterLines="50" w:line="360" w:lineRule="auto"/>
        <w:ind w:firstLine="482" w:firstLineChars="200"/>
        <w:outlineLvl w:val="1"/>
        <w:rPr>
          <w:rFonts w:asciiTheme="minorEastAsia" w:hAnsiTheme="minorEastAsia" w:cstheme="minorEastAsia"/>
          <w:b/>
          <w:bCs/>
          <w:sz w:val="24"/>
        </w:rPr>
      </w:pPr>
      <w:bookmarkStart w:id="33" w:name="_Toc24055"/>
      <w:bookmarkStart w:id="34" w:name="_Toc11130"/>
      <w:bookmarkStart w:id="35" w:name="_Toc19384"/>
      <w:r>
        <w:rPr>
          <w:rFonts w:hint="eastAsia" w:asciiTheme="minorEastAsia" w:hAnsiTheme="minorEastAsia" w:cstheme="minorEastAsia"/>
          <w:b/>
          <w:bCs/>
          <w:sz w:val="24"/>
        </w:rPr>
        <w:t>二、关于集约化函证的提醒</w:t>
      </w:r>
      <w:bookmarkEnd w:id="33"/>
    </w:p>
    <w:p w14:paraId="4363D7E0">
      <w:pPr>
        <w:snapToGrid w:val="0"/>
        <w:spacing w:line="360" w:lineRule="auto"/>
        <w:ind w:firstLine="480" w:firstLineChars="200"/>
        <w:rPr>
          <w:rFonts w:asciiTheme="minorEastAsia" w:hAnsiTheme="minorEastAsia" w:cstheme="minorEastAsia"/>
          <w:sz w:val="24"/>
        </w:rPr>
        <w:sectPr>
          <w:footerReference r:id="rId7" w:type="default"/>
          <w:pgSz w:w="11906" w:h="16838"/>
          <w:pgMar w:top="1247" w:right="1644" w:bottom="1134" w:left="1644" w:header="851" w:footer="680" w:gutter="0"/>
          <w:pgNumType w:start="1"/>
          <w:cols w:space="0" w:num="1"/>
          <w:docGrid w:type="lines" w:linePitch="312" w:charSpace="0"/>
        </w:sectPr>
      </w:pPr>
      <w:r>
        <w:rPr>
          <w:rFonts w:hint="eastAsia" w:asciiTheme="minorEastAsia" w:hAnsiTheme="minorEastAsia" w:cstheme="minorEastAsia"/>
          <w:sz w:val="24"/>
        </w:rPr>
        <w:t>根据《关于加快推进银行函证规范化、集约化、数字化建设的通知》（财会〔2022〕39号）要求，自2023年1月1日起，备案从事证券业务的会计师事务所开展上市公司年报审计业务时，应当实现上市公司银行函证业务集约化。其他会计师事务所和其他审计业务应当于2023年12月31日前实现银行函证集约化。已经按规定实现函证集约化的会计师事务所，应要求处理函证的内部专门机构（或岗位）应熟悉函证的工作流程，严格按照会计师事务所确定的函证操作规范执行，充分关注并评估函证集约化处理人员是否具备必要的专业胜任能力。</w:t>
      </w:r>
    </w:p>
    <w:bookmarkEnd w:id="34"/>
    <w:bookmarkEnd w:id="35"/>
    <w:p w14:paraId="3AEB0345">
      <w:pPr>
        <w:snapToGrid w:val="0"/>
        <w:spacing w:line="360" w:lineRule="auto"/>
        <w:ind w:firstLine="0" w:firstLineChars="0"/>
        <w:jc w:val="center"/>
        <w:outlineLvl w:val="9"/>
        <w:rPr>
          <w:rFonts w:asciiTheme="minorEastAsia" w:hAnsiTheme="minorEastAsia" w:eastAsiaTheme="minorEastAsia" w:cstheme="minorEastAsia"/>
          <w:b/>
          <w:bCs/>
          <w:sz w:val="30"/>
          <w:szCs w:val="30"/>
        </w:rPr>
      </w:pPr>
      <w:bookmarkStart w:id="36" w:name="_Toc7192"/>
      <w:bookmarkStart w:id="37" w:name="_Toc20353"/>
      <w:r>
        <w:rPr>
          <w:rFonts w:hint="eastAsia" w:asciiTheme="minorEastAsia" w:hAnsiTheme="minorEastAsia" w:eastAsiaTheme="minorEastAsia" w:cstheme="minorEastAsia"/>
          <w:b/>
          <w:bCs/>
          <w:sz w:val="30"/>
          <w:szCs w:val="30"/>
        </w:rPr>
        <w:t>第四章</w:t>
      </w:r>
      <w:r>
        <w:rPr>
          <w:rFonts w:asciiTheme="minorEastAsia" w:hAnsiTheme="minorEastAsia" w:cstheme="minorEastAsia"/>
          <w:b/>
          <w:bCs/>
          <w:sz w:val="30"/>
          <w:szCs w:val="30"/>
        </w:rPr>
        <w:t xml:space="preserve">  </w:t>
      </w:r>
      <w:r>
        <w:rPr>
          <w:rFonts w:hint="eastAsia" w:asciiTheme="minorEastAsia" w:hAnsiTheme="minorEastAsia" w:eastAsiaTheme="minorEastAsia" w:cstheme="minorEastAsia"/>
          <w:b/>
          <w:bCs/>
          <w:sz w:val="30"/>
          <w:szCs w:val="30"/>
        </w:rPr>
        <w:t>函证操作规范</w:t>
      </w:r>
      <w:bookmarkEnd w:id="36"/>
      <w:bookmarkEnd w:id="37"/>
    </w:p>
    <w:p w14:paraId="611E7955">
      <w:pPr>
        <w:snapToGrid w:val="0"/>
        <w:spacing w:line="360" w:lineRule="auto"/>
        <w:ind w:firstLine="0" w:firstLineChars="0"/>
        <w:jc w:val="center"/>
        <w:outlineLvl w:val="1"/>
        <w:rPr>
          <w:rFonts w:asciiTheme="minorEastAsia" w:hAnsiTheme="minorEastAsia" w:cstheme="minorEastAsia"/>
          <w:b/>
          <w:bCs/>
          <w:sz w:val="24"/>
        </w:rPr>
      </w:pPr>
      <w:bookmarkStart w:id="38" w:name="_Toc24934"/>
      <w:bookmarkStart w:id="39" w:name="_Toc29301"/>
    </w:p>
    <w:p w14:paraId="257EF340">
      <w:pPr>
        <w:snapToGrid w:val="0"/>
        <w:spacing w:line="360" w:lineRule="auto"/>
        <w:ind w:firstLine="0" w:firstLineChars="0"/>
        <w:jc w:val="center"/>
        <w:outlineLvl w:val="1"/>
        <w:rPr>
          <w:rFonts w:asciiTheme="minorEastAsia" w:hAnsiTheme="minorEastAsia" w:eastAsiaTheme="minorEastAsia" w:cstheme="minorEastAsia"/>
          <w:b/>
          <w:bCs/>
          <w:sz w:val="24"/>
        </w:rPr>
      </w:pPr>
      <w:bookmarkStart w:id="40" w:name="_Toc26682"/>
      <w:r>
        <w:rPr>
          <w:rFonts w:hint="eastAsia" w:asciiTheme="minorEastAsia" w:hAnsiTheme="minorEastAsia" w:eastAsiaTheme="minorEastAsia" w:cstheme="minorEastAsia"/>
          <w:b/>
          <w:bCs/>
          <w:sz w:val="24"/>
        </w:rPr>
        <w:t>第一节</w:t>
      </w:r>
      <w:r>
        <w:rPr>
          <w:rFonts w:hint="eastAsia" w:asciiTheme="minorEastAsia" w:hAnsiTheme="minorEastAsia" w:cstheme="minorEastAsia"/>
          <w:b/>
          <w:bCs/>
          <w:sz w:val="24"/>
        </w:rPr>
        <w:t xml:space="preserve">  </w:t>
      </w:r>
      <w:r>
        <w:rPr>
          <w:rFonts w:hint="eastAsia" w:asciiTheme="minorEastAsia" w:hAnsiTheme="minorEastAsia" w:eastAsiaTheme="minorEastAsia" w:cstheme="minorEastAsia"/>
          <w:b/>
          <w:bCs/>
          <w:sz w:val="24"/>
        </w:rPr>
        <w:t>制定函证计划</w:t>
      </w:r>
      <w:bookmarkEnd w:id="38"/>
      <w:bookmarkEnd w:id="39"/>
      <w:bookmarkEnd w:id="40"/>
    </w:p>
    <w:p w14:paraId="3B539338">
      <w:pPr>
        <w:snapToGrid w:val="0"/>
        <w:spacing w:line="360" w:lineRule="auto"/>
        <w:ind w:firstLine="480" w:firstLineChars="200"/>
        <w:rPr>
          <w:rFonts w:asciiTheme="minorEastAsia" w:hAnsiTheme="minorEastAsia" w:cstheme="minorEastAsia"/>
          <w:sz w:val="24"/>
        </w:rPr>
      </w:pPr>
    </w:p>
    <w:p w14:paraId="25EB84FF">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在制定函证计划时，注册会计师需综合考虑审计目标、被审计单位的业务特性、风险评估结果以及相关法律法规和审计准则的要求，确保函证程序的顺利实施并有效获取审计证据。</w:t>
      </w:r>
    </w:p>
    <w:p w14:paraId="41C37DFB">
      <w:pPr>
        <w:snapToGrid w:val="0"/>
        <w:spacing w:before="156" w:beforeLines="50"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一、明确审计目标与函证目的</w:t>
      </w:r>
    </w:p>
    <w:p w14:paraId="62750540">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（一）审计目标</w:t>
      </w:r>
    </w:p>
    <w:p w14:paraId="6E91AA55">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根据审计总体要求，明确本次审计旨在验证的财务报表特定领域或项目的真实性和准确性。</w:t>
      </w:r>
    </w:p>
    <w:p w14:paraId="13EFE372">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（二）函证目的</w:t>
      </w:r>
    </w:p>
    <w:p w14:paraId="54142028">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基于审计目标，确定函证程序旨在确认的交易、账户余额或特定事项，以及通过</w:t>
      </w:r>
      <w:r>
        <w:rPr>
          <w:rStyle w:val="15"/>
          <w:rFonts w:hint="eastAsia" w:asciiTheme="minorEastAsia" w:hAnsiTheme="minorEastAsia" w:eastAsiaTheme="minorEastAsia" w:cstheme="minorEastAsia"/>
          <w:sz w:val="24"/>
          <w:szCs w:val="24"/>
        </w:rPr>
        <w:t>设计和实施函证程序以获取相关、可靠的审计证据，</w:t>
      </w:r>
      <w:r>
        <w:rPr>
          <w:rFonts w:hint="eastAsia" w:asciiTheme="minorEastAsia" w:hAnsiTheme="minorEastAsia" w:eastAsiaTheme="minorEastAsia" w:cstheme="minorEastAsia"/>
          <w:sz w:val="24"/>
        </w:rPr>
        <w:t>预期达到的信息验证目的。</w:t>
      </w:r>
    </w:p>
    <w:p w14:paraId="59E594F6">
      <w:pPr>
        <w:snapToGrid w:val="0"/>
        <w:spacing w:before="156" w:beforeLines="50"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二、风险评估与函证范围确定</w:t>
      </w:r>
    </w:p>
    <w:p w14:paraId="3E1B3952">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（一）风险评估</w:t>
      </w:r>
    </w:p>
    <w:p w14:paraId="257593C5">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依据风险评估结果，识别与函证相关的潜在风险，如被询证者的信用风险、回复可靠性风险等，并评估这些风险对审计结论的影响。</w:t>
      </w:r>
    </w:p>
    <w:p w14:paraId="13AE2E99">
      <w:pPr>
        <w:snapToGrid w:val="0"/>
        <w:spacing w:line="360" w:lineRule="auto"/>
        <w:ind w:left="420" w:left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（二）函证范围</w:t>
      </w:r>
    </w:p>
    <w:p w14:paraId="4C096B60">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根据审计目标和风险评估结果，确定需要函证的交易、账户余额或特定事项的范围，以及被询证者的选择取标准。</w:t>
      </w:r>
    </w:p>
    <w:p w14:paraId="092591A5">
      <w:pPr>
        <w:snapToGrid w:val="0"/>
        <w:spacing w:before="156" w:beforeLines="50"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三、制定函证策略与时间表</w:t>
      </w:r>
    </w:p>
    <w:p w14:paraId="19E97D4B">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（一）函证策略</w:t>
      </w:r>
    </w:p>
    <w:p w14:paraId="65317B98">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确定函证程序的具体实施方式，包括函证类型（如积极函证、消极函证）、函证方式（如邮寄、跟函、电子函证等）以及函证频率</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color w:val="auto"/>
          <w:sz w:val="24"/>
        </w:rPr>
        <w:t>样本选择</w:t>
      </w:r>
      <w:r>
        <w:rPr>
          <w:rFonts w:hint="eastAsia" w:asciiTheme="minorEastAsia" w:hAnsiTheme="minorEastAsia" w:eastAsiaTheme="minorEastAsia" w:cstheme="minorEastAsia"/>
          <w:sz w:val="24"/>
        </w:rPr>
        <w:t>）。</w:t>
      </w:r>
    </w:p>
    <w:p w14:paraId="156DE759">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（二）时间表</w:t>
      </w:r>
    </w:p>
    <w:p w14:paraId="336421DF">
      <w:pPr>
        <w:snapToGrid w:val="0"/>
        <w:spacing w:line="360" w:lineRule="auto"/>
        <w:ind w:firstLine="480" w:firstLineChars="200"/>
        <w:rPr>
          <w:rFonts w:asciiTheme="minorEastAsia" w:hAnsiTheme="minorEastAsia" w:cstheme="minorEastAsia"/>
          <w:sz w:val="24"/>
        </w:rPr>
      </w:pPr>
      <w:r>
        <w:rPr>
          <w:rFonts w:hint="eastAsia" w:asciiTheme="minorEastAsia" w:hAnsiTheme="minorEastAsia" w:eastAsiaTheme="minorEastAsia" w:cstheme="minorEastAsia"/>
          <w:sz w:val="24"/>
        </w:rPr>
        <w:t>合理规划函证程序的实施时间表，确保函证的发送、回收和评价等环节均在审计时间框架内有序进行。</w:t>
      </w:r>
    </w:p>
    <w:p w14:paraId="7B7C29A6">
      <w:pPr>
        <w:snapToGrid w:val="0"/>
        <w:spacing w:before="156" w:beforeLines="50"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四、资源分配与团队协作</w:t>
      </w:r>
    </w:p>
    <w:p w14:paraId="30F3B978">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（一）资源分配</w:t>
      </w:r>
    </w:p>
    <w:p w14:paraId="5E575664">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根据函证计划的规模和复杂度，合理分配审计资源，包括审计人员、时间和成本等。</w:t>
      </w:r>
    </w:p>
    <w:p w14:paraId="1CBBA46C">
      <w:pPr>
        <w:snapToGrid w:val="0"/>
        <w:spacing w:line="360" w:lineRule="auto"/>
        <w:ind w:left="420" w:left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（二）团队协作</w:t>
      </w:r>
    </w:p>
    <w:p w14:paraId="6DDBDA86">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明确团队成员的职责分工，确保函证计划的顺利实施和后续工作的有序开展，同时建立有效的沟通机制，以便及时解决函证过程中出现的问题。</w:t>
      </w:r>
    </w:p>
    <w:p w14:paraId="3F907995">
      <w:pPr>
        <w:snapToGrid w:val="0"/>
        <w:spacing w:before="156" w:beforeLines="50"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五、工作底稿</w:t>
      </w:r>
    </w:p>
    <w:p w14:paraId="6CFAA888">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将函证计划的详细内容记录在工作底稿中，包括审计目标、函证目的、风险评估结果、函证范围、策略与时间表等。</w:t>
      </w:r>
    </w:p>
    <w:p w14:paraId="7821152A">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由项目负责人或具有相应权限的审计人员对函证计划进行复核，确保其符合审计准则和法规要求，并具备可行性和有效性。</w:t>
      </w:r>
    </w:p>
    <w:p w14:paraId="4B69A1F3">
      <w:pPr>
        <w:snapToGrid w:val="0"/>
        <w:spacing w:line="360" w:lineRule="auto"/>
        <w:ind w:firstLine="482" w:firstLineChars="200"/>
        <w:jc w:val="center"/>
        <w:outlineLvl w:val="1"/>
        <w:rPr>
          <w:rFonts w:asciiTheme="minorEastAsia" w:hAnsiTheme="minorEastAsia" w:cstheme="minorEastAsia"/>
          <w:b/>
          <w:bCs/>
          <w:sz w:val="24"/>
        </w:rPr>
      </w:pPr>
      <w:bookmarkStart w:id="41" w:name="_Toc26543"/>
      <w:bookmarkStart w:id="42" w:name="_Toc1760"/>
    </w:p>
    <w:p w14:paraId="2A468AB6">
      <w:pPr>
        <w:snapToGrid w:val="0"/>
        <w:spacing w:line="360" w:lineRule="auto"/>
        <w:ind w:firstLine="0" w:firstLineChars="0"/>
        <w:jc w:val="center"/>
        <w:outlineLvl w:val="1"/>
        <w:rPr>
          <w:rFonts w:asciiTheme="minorEastAsia" w:hAnsiTheme="minorEastAsia" w:eastAsiaTheme="minorEastAsia" w:cstheme="minorEastAsia"/>
          <w:b/>
          <w:bCs/>
          <w:sz w:val="24"/>
        </w:rPr>
      </w:pPr>
      <w:bookmarkStart w:id="43" w:name="_Toc30476"/>
      <w:r>
        <w:rPr>
          <w:rFonts w:hint="eastAsia" w:asciiTheme="minorEastAsia" w:hAnsiTheme="minorEastAsia" w:eastAsiaTheme="minorEastAsia" w:cstheme="minorEastAsia"/>
          <w:b/>
          <w:bCs/>
          <w:sz w:val="24"/>
        </w:rPr>
        <w:t>第二节</w:t>
      </w:r>
      <w:r>
        <w:rPr>
          <w:rFonts w:hint="eastAsia" w:asciiTheme="minorEastAsia" w:hAnsiTheme="minorEastAsia" w:cstheme="minorEastAsia"/>
          <w:b/>
          <w:bCs/>
          <w:sz w:val="24"/>
        </w:rPr>
        <w:t xml:space="preserve">  </w:t>
      </w:r>
      <w:r>
        <w:rPr>
          <w:rFonts w:hint="eastAsia" w:asciiTheme="minorEastAsia" w:hAnsiTheme="minorEastAsia" w:eastAsiaTheme="minorEastAsia" w:cstheme="minorEastAsia"/>
          <w:b/>
          <w:bCs/>
          <w:sz w:val="24"/>
        </w:rPr>
        <w:t>确定函证事项</w:t>
      </w:r>
      <w:bookmarkEnd w:id="41"/>
      <w:bookmarkEnd w:id="42"/>
      <w:bookmarkEnd w:id="43"/>
    </w:p>
    <w:p w14:paraId="06BA4FA8">
      <w:pPr>
        <w:snapToGrid w:val="0"/>
        <w:spacing w:line="360" w:lineRule="auto"/>
        <w:ind w:firstLine="480" w:firstLineChars="200"/>
        <w:rPr>
          <w:rFonts w:asciiTheme="minorEastAsia" w:hAnsiTheme="minorEastAsia" w:cstheme="minorEastAsia"/>
          <w:sz w:val="24"/>
        </w:rPr>
      </w:pPr>
    </w:p>
    <w:p w14:paraId="7A654066">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函证事项包括应当函证事项和其他函证事项。应当函证的事项指在执行审计业务过程中，除报表项目不重要或函证很可能是无效的情况下，均必须执行函证的事项。其他函证事项指不是审计准则要求必须函证程序，可根据注册会计师的职业判断，有选择地执行函证的事项。</w:t>
      </w:r>
    </w:p>
    <w:p w14:paraId="06752804">
      <w:pPr>
        <w:snapToGrid w:val="0"/>
        <w:spacing w:after="156" w:afterLines="50" w:line="360" w:lineRule="auto"/>
        <w:ind w:firstLine="480" w:firstLineChars="200"/>
        <w:rPr>
          <w:rFonts w:asciiTheme="minorEastAsia" w:hAnsiTheme="minorEastAsia" w:cstheme="minorEastAsia"/>
          <w:sz w:val="24"/>
        </w:rPr>
      </w:pPr>
      <w:r>
        <w:rPr>
          <w:rFonts w:hint="eastAsia" w:asciiTheme="minorEastAsia" w:hAnsiTheme="minorEastAsia" w:eastAsiaTheme="minorEastAsia" w:cstheme="minorEastAsia"/>
          <w:sz w:val="24"/>
        </w:rPr>
        <w:t>在确定函证事项时，注册会计师需严格遵循中国注册会计师审计准则的相关规定，综合考虑函证针对的认定、识别出的重大错报风险（包括舞弊风险）、以往审计或类似业务的经验以及预期的被询证者确认或提供信息的能力等因素，确保函证程序的针对性和有效性，提高审计质量和效率。</w:t>
      </w:r>
    </w:p>
    <w:p w14:paraId="43352CD9">
      <w:pPr>
        <w:snapToGrid w:val="0"/>
        <w:spacing w:line="360" w:lineRule="auto"/>
        <w:ind w:firstLine="0" w:firstLineChars="0"/>
        <w:jc w:val="center"/>
        <w:rPr>
          <w:rFonts w:asciiTheme="minorEastAsia" w:hAnsiTheme="minorEastAsia" w:cstheme="minorEastAsia"/>
          <w:b/>
          <w:bCs/>
          <w:sz w:val="24"/>
        </w:rPr>
      </w:pPr>
      <w:r>
        <w:rPr>
          <w:rFonts w:hint="eastAsia" w:asciiTheme="minorEastAsia" w:hAnsiTheme="minorEastAsia" w:cstheme="minorEastAsia"/>
          <w:b/>
          <w:bCs/>
          <w:sz w:val="24"/>
        </w:rPr>
        <w:t>函证事项汇总表</w:t>
      </w:r>
    </w:p>
    <w:tbl>
      <w:tblPr>
        <w:tblStyle w:val="13"/>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1320"/>
        <w:gridCol w:w="2190"/>
        <w:gridCol w:w="4020"/>
      </w:tblGrid>
      <w:tr w14:paraId="2780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10" w:type="dxa"/>
            <w:vAlign w:val="center"/>
          </w:tcPr>
          <w:p w14:paraId="4F0CCCE3">
            <w:pPr>
              <w:snapToGrid w:val="0"/>
              <w:spacing w:line="340" w:lineRule="exact"/>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项目</w:t>
            </w:r>
          </w:p>
        </w:tc>
        <w:tc>
          <w:tcPr>
            <w:tcW w:w="3510" w:type="dxa"/>
            <w:gridSpan w:val="2"/>
            <w:vAlign w:val="center"/>
          </w:tcPr>
          <w:p w14:paraId="1B5B4C84">
            <w:pPr>
              <w:snapToGrid w:val="0"/>
              <w:spacing w:line="340" w:lineRule="exact"/>
              <w:jc w:val="center"/>
              <w:rPr>
                <w:rFonts w:asciiTheme="minorEastAsia" w:hAnsiTheme="minorEastAsia" w:cstheme="minorEastAsia"/>
                <w:b/>
                <w:bCs/>
                <w:sz w:val="21"/>
                <w:szCs w:val="21"/>
              </w:rPr>
            </w:pPr>
            <w:r>
              <w:rPr>
                <w:rFonts w:hint="eastAsia" w:asciiTheme="minorEastAsia" w:hAnsiTheme="minorEastAsia" w:cstheme="minorEastAsia"/>
                <w:b/>
                <w:bCs/>
                <w:szCs w:val="21"/>
              </w:rPr>
              <w:t>类别</w:t>
            </w:r>
          </w:p>
        </w:tc>
        <w:tc>
          <w:tcPr>
            <w:tcW w:w="4020" w:type="dxa"/>
            <w:vAlign w:val="center"/>
          </w:tcPr>
          <w:p w14:paraId="3E4EEB07">
            <w:pPr>
              <w:snapToGrid w:val="0"/>
              <w:spacing w:line="340" w:lineRule="exact"/>
              <w:jc w:val="center"/>
              <w:rPr>
                <w:rFonts w:asciiTheme="minorEastAsia" w:hAnsiTheme="minorEastAsia" w:cstheme="minorEastAsia"/>
                <w:b/>
                <w:bCs/>
                <w:sz w:val="21"/>
                <w:szCs w:val="21"/>
              </w:rPr>
            </w:pPr>
            <w:r>
              <w:rPr>
                <w:rFonts w:hint="eastAsia" w:asciiTheme="minorEastAsia" w:hAnsiTheme="minorEastAsia" w:cstheme="minorEastAsia"/>
                <w:b/>
                <w:bCs/>
                <w:szCs w:val="21"/>
              </w:rPr>
              <w:t>具体事项</w:t>
            </w:r>
          </w:p>
        </w:tc>
      </w:tr>
      <w:tr w14:paraId="5727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10" w:type="dxa"/>
            <w:vMerge w:val="restart"/>
            <w:vAlign w:val="center"/>
          </w:tcPr>
          <w:p w14:paraId="75B7C787">
            <w:pPr>
              <w:snapToGrid w:val="0"/>
              <w:spacing w:line="300" w:lineRule="exact"/>
              <w:jc w:val="left"/>
              <w:rPr>
                <w:rFonts w:asciiTheme="minorEastAsia" w:hAnsiTheme="minorEastAsia" w:cstheme="minorEastAsia"/>
                <w:sz w:val="21"/>
                <w:szCs w:val="21"/>
              </w:rPr>
            </w:pPr>
            <w:r>
              <w:rPr>
                <w:rFonts w:hint="eastAsia" w:asciiTheme="minorEastAsia" w:hAnsiTheme="minorEastAsia" w:cstheme="minorEastAsia"/>
                <w:kern w:val="0"/>
                <w:szCs w:val="21"/>
                <w:lang w:bidi="ar"/>
              </w:rPr>
              <w:t>一、应当函证事项</w:t>
            </w:r>
          </w:p>
        </w:tc>
        <w:tc>
          <w:tcPr>
            <w:tcW w:w="3510" w:type="dxa"/>
            <w:gridSpan w:val="2"/>
            <w:vAlign w:val="center"/>
          </w:tcPr>
          <w:p w14:paraId="4E79506A">
            <w:pPr>
              <w:snapToGrid w:val="0"/>
              <w:spacing w:line="300" w:lineRule="exact"/>
              <w:rPr>
                <w:rFonts w:asciiTheme="minorEastAsia" w:hAnsiTheme="minorEastAsia" w:cstheme="minorEastAsia"/>
                <w:sz w:val="21"/>
                <w:szCs w:val="21"/>
              </w:rPr>
            </w:pPr>
            <w:r>
              <w:rPr>
                <w:rFonts w:hint="eastAsia" w:asciiTheme="minorEastAsia" w:hAnsiTheme="minorEastAsia" w:cstheme="minorEastAsia"/>
                <w:kern w:val="0"/>
                <w:szCs w:val="21"/>
                <w:lang w:bidi="ar"/>
              </w:rPr>
              <w:t>（一） 银行存款等</w:t>
            </w:r>
          </w:p>
        </w:tc>
        <w:tc>
          <w:tcPr>
            <w:tcW w:w="4020" w:type="dxa"/>
            <w:vAlign w:val="center"/>
          </w:tcPr>
          <w:p w14:paraId="705AC4B4">
            <w:pPr>
              <w:snapToGrid w:val="0"/>
              <w:spacing w:line="300" w:lineRule="exact"/>
              <w:rPr>
                <w:rFonts w:asciiTheme="minorEastAsia" w:hAnsiTheme="minorEastAsia" w:cstheme="minorEastAsia"/>
                <w:sz w:val="21"/>
                <w:szCs w:val="21"/>
              </w:rPr>
            </w:pPr>
            <w:r>
              <w:rPr>
                <w:rFonts w:hint="eastAsia" w:asciiTheme="minorEastAsia" w:hAnsiTheme="minorEastAsia" w:cstheme="minorEastAsia"/>
                <w:kern w:val="0"/>
                <w:szCs w:val="21"/>
                <w:lang w:bidi="ar"/>
              </w:rPr>
              <w:t>银行存款（含零余额账户、注销账户）、借款及与金融机构往来的其他重要信息</w:t>
            </w:r>
          </w:p>
        </w:tc>
      </w:tr>
      <w:tr w14:paraId="61B8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10" w:type="dxa"/>
            <w:vMerge w:val="continue"/>
            <w:vAlign w:val="center"/>
          </w:tcPr>
          <w:p w14:paraId="465A511E">
            <w:pPr>
              <w:snapToGrid w:val="0"/>
              <w:spacing w:line="300" w:lineRule="exact"/>
              <w:jc w:val="center"/>
              <w:rPr>
                <w:rFonts w:asciiTheme="minorEastAsia" w:hAnsiTheme="minorEastAsia" w:cstheme="minorEastAsia"/>
                <w:sz w:val="21"/>
                <w:szCs w:val="21"/>
              </w:rPr>
            </w:pPr>
          </w:p>
        </w:tc>
        <w:tc>
          <w:tcPr>
            <w:tcW w:w="3510" w:type="dxa"/>
            <w:gridSpan w:val="2"/>
            <w:vAlign w:val="center"/>
          </w:tcPr>
          <w:p w14:paraId="264A3FBA">
            <w:pPr>
              <w:snapToGrid w:val="0"/>
              <w:spacing w:line="300" w:lineRule="exact"/>
              <w:rPr>
                <w:rFonts w:asciiTheme="minorEastAsia" w:hAnsiTheme="minorEastAsia" w:cstheme="minorEastAsia"/>
                <w:sz w:val="21"/>
                <w:szCs w:val="21"/>
              </w:rPr>
            </w:pPr>
            <w:r>
              <w:rPr>
                <w:rStyle w:val="21"/>
                <w:rFonts w:asciiTheme="minorEastAsia" w:hAnsiTheme="minorEastAsia" w:eastAsiaTheme="minorEastAsia" w:cstheme="minorEastAsia"/>
                <w:b w:val="0"/>
                <w:bCs w:val="0"/>
                <w:color w:val="auto"/>
                <w:sz w:val="21"/>
                <w:szCs w:val="21"/>
                <w:lang w:bidi="ar"/>
              </w:rPr>
              <w:t>（二）</w:t>
            </w:r>
            <w:r>
              <w:rPr>
                <w:rStyle w:val="21"/>
                <w:rFonts w:hint="default" w:asciiTheme="minorEastAsia" w:hAnsiTheme="minorEastAsia" w:eastAsiaTheme="minorEastAsia" w:cstheme="minorEastAsia"/>
                <w:b w:val="0"/>
                <w:bCs w:val="0"/>
                <w:color w:val="auto"/>
                <w:sz w:val="21"/>
                <w:szCs w:val="21"/>
                <w:lang w:bidi="ar"/>
              </w:rPr>
              <w:t xml:space="preserve"> </w:t>
            </w:r>
            <w:r>
              <w:rPr>
                <w:rStyle w:val="21"/>
                <w:rFonts w:asciiTheme="minorEastAsia" w:hAnsiTheme="minorEastAsia" w:eastAsiaTheme="minorEastAsia" w:cstheme="minorEastAsia"/>
                <w:b w:val="0"/>
                <w:bCs w:val="0"/>
                <w:color w:val="auto"/>
                <w:sz w:val="21"/>
                <w:szCs w:val="21"/>
                <w:lang w:bidi="ar"/>
              </w:rPr>
              <w:t>应收账款</w:t>
            </w:r>
          </w:p>
        </w:tc>
        <w:tc>
          <w:tcPr>
            <w:tcW w:w="4020" w:type="dxa"/>
            <w:vAlign w:val="center"/>
          </w:tcPr>
          <w:p w14:paraId="19F3F7E8">
            <w:pPr>
              <w:snapToGrid w:val="0"/>
              <w:spacing w:line="300" w:lineRule="exact"/>
              <w:rPr>
                <w:rFonts w:asciiTheme="minorEastAsia" w:hAnsiTheme="minorEastAsia" w:cstheme="minorEastAsia"/>
                <w:sz w:val="21"/>
                <w:szCs w:val="21"/>
              </w:rPr>
            </w:pPr>
            <w:r>
              <w:rPr>
                <w:rFonts w:hint="eastAsia" w:asciiTheme="minorEastAsia" w:hAnsiTheme="minorEastAsia" w:cstheme="minorEastAsia"/>
                <w:kern w:val="0"/>
                <w:szCs w:val="21"/>
                <w:lang w:bidi="ar"/>
              </w:rPr>
              <w:t>应收账款</w:t>
            </w:r>
          </w:p>
        </w:tc>
      </w:tr>
      <w:tr w14:paraId="5CBB3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10" w:type="dxa"/>
            <w:vMerge w:val="continue"/>
            <w:vAlign w:val="center"/>
          </w:tcPr>
          <w:p w14:paraId="1BC47C8B">
            <w:pPr>
              <w:snapToGrid w:val="0"/>
              <w:spacing w:line="300" w:lineRule="exact"/>
              <w:jc w:val="center"/>
              <w:rPr>
                <w:rFonts w:asciiTheme="minorEastAsia" w:hAnsiTheme="minorEastAsia" w:cstheme="minorEastAsia"/>
                <w:sz w:val="21"/>
                <w:szCs w:val="21"/>
              </w:rPr>
            </w:pPr>
          </w:p>
        </w:tc>
        <w:tc>
          <w:tcPr>
            <w:tcW w:w="3510" w:type="dxa"/>
            <w:gridSpan w:val="2"/>
            <w:vAlign w:val="center"/>
          </w:tcPr>
          <w:p w14:paraId="77099681">
            <w:pPr>
              <w:snapToGrid w:val="0"/>
              <w:spacing w:line="300" w:lineRule="exact"/>
              <w:jc w:val="left"/>
              <w:rPr>
                <w:rFonts w:asciiTheme="minorEastAsia" w:hAnsiTheme="minorEastAsia" w:cstheme="minorEastAsia"/>
                <w:sz w:val="21"/>
                <w:szCs w:val="21"/>
              </w:rPr>
            </w:pPr>
            <w:r>
              <w:rPr>
                <w:rFonts w:hint="eastAsia" w:asciiTheme="minorEastAsia" w:hAnsiTheme="minorEastAsia" w:cstheme="minorEastAsia"/>
                <w:kern w:val="0"/>
                <w:szCs w:val="21"/>
                <w:lang w:bidi="ar"/>
              </w:rPr>
              <w:t>（三） 第三方保管的存货</w:t>
            </w:r>
          </w:p>
        </w:tc>
        <w:tc>
          <w:tcPr>
            <w:tcW w:w="4020" w:type="dxa"/>
            <w:vAlign w:val="center"/>
          </w:tcPr>
          <w:p w14:paraId="0EB96A91">
            <w:pPr>
              <w:snapToGrid w:val="0"/>
              <w:spacing w:line="300" w:lineRule="exact"/>
              <w:jc w:val="left"/>
              <w:rPr>
                <w:rFonts w:asciiTheme="minorEastAsia" w:hAnsiTheme="minorEastAsia" w:cstheme="minorEastAsia"/>
                <w:sz w:val="21"/>
                <w:szCs w:val="21"/>
              </w:rPr>
            </w:pPr>
            <w:r>
              <w:rPr>
                <w:rFonts w:hint="eastAsia" w:asciiTheme="minorEastAsia" w:hAnsiTheme="minorEastAsia" w:cstheme="minorEastAsia"/>
                <w:kern w:val="0"/>
                <w:szCs w:val="21"/>
                <w:lang w:bidi="ar"/>
              </w:rPr>
              <w:t>由第三方保管或控制的重要存货</w:t>
            </w:r>
          </w:p>
        </w:tc>
      </w:tr>
      <w:tr w14:paraId="478E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10" w:type="dxa"/>
            <w:vMerge w:val="restart"/>
            <w:vAlign w:val="center"/>
          </w:tcPr>
          <w:p w14:paraId="638FA741">
            <w:pPr>
              <w:snapToGrid w:val="0"/>
              <w:spacing w:line="300" w:lineRule="exact"/>
              <w:jc w:val="center"/>
              <w:rPr>
                <w:rFonts w:asciiTheme="minorEastAsia" w:hAnsiTheme="minorEastAsia" w:cstheme="minorEastAsia"/>
                <w:szCs w:val="21"/>
              </w:rPr>
            </w:pPr>
            <w:r>
              <w:rPr>
                <w:rFonts w:hint="eastAsia" w:asciiTheme="minorEastAsia" w:hAnsiTheme="minorEastAsia" w:cstheme="minorEastAsia"/>
                <w:kern w:val="0"/>
                <w:szCs w:val="21"/>
                <w:lang w:bidi="ar"/>
              </w:rPr>
              <w:t>二、其他函证事项</w:t>
            </w:r>
          </w:p>
        </w:tc>
        <w:tc>
          <w:tcPr>
            <w:tcW w:w="3510" w:type="dxa"/>
            <w:gridSpan w:val="2"/>
            <w:vAlign w:val="center"/>
          </w:tcPr>
          <w:p w14:paraId="42D7CDD7">
            <w:pPr>
              <w:widowControl/>
              <w:snapToGrid w:val="0"/>
              <w:spacing w:line="340" w:lineRule="exact"/>
              <w:textAlignment w:val="center"/>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（一）诉讼或索赔</w:t>
            </w:r>
          </w:p>
        </w:tc>
        <w:tc>
          <w:tcPr>
            <w:tcW w:w="4020" w:type="dxa"/>
            <w:vAlign w:val="center"/>
          </w:tcPr>
          <w:p w14:paraId="31BE91E0">
            <w:pPr>
              <w:widowControl/>
              <w:snapToGrid w:val="0"/>
              <w:spacing w:line="340" w:lineRule="exact"/>
              <w:jc w:val="left"/>
              <w:textAlignment w:val="center"/>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存在重大错报风险的诉讼或索赔事项</w:t>
            </w:r>
          </w:p>
        </w:tc>
      </w:tr>
      <w:tr w14:paraId="5DB0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10" w:type="dxa"/>
            <w:vMerge w:val="continue"/>
            <w:vAlign w:val="center"/>
          </w:tcPr>
          <w:p w14:paraId="11519150">
            <w:pPr>
              <w:snapToGrid w:val="0"/>
              <w:spacing w:line="300" w:lineRule="exact"/>
              <w:jc w:val="center"/>
              <w:rPr>
                <w:rFonts w:asciiTheme="minorEastAsia" w:hAnsiTheme="minorEastAsia" w:cstheme="minorEastAsia"/>
                <w:szCs w:val="21"/>
              </w:rPr>
            </w:pPr>
          </w:p>
        </w:tc>
        <w:tc>
          <w:tcPr>
            <w:tcW w:w="3510" w:type="dxa"/>
            <w:gridSpan w:val="2"/>
            <w:vAlign w:val="center"/>
          </w:tcPr>
          <w:p w14:paraId="6D2D2E8F">
            <w:pPr>
              <w:widowControl/>
              <w:snapToGrid w:val="0"/>
              <w:spacing w:line="340" w:lineRule="exact"/>
              <w:textAlignment w:val="center"/>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（二）重大承诺/担保</w:t>
            </w:r>
          </w:p>
        </w:tc>
        <w:tc>
          <w:tcPr>
            <w:tcW w:w="4020" w:type="dxa"/>
            <w:vAlign w:val="center"/>
          </w:tcPr>
          <w:p w14:paraId="54196B3F">
            <w:pPr>
              <w:widowControl/>
              <w:snapToGrid w:val="0"/>
              <w:spacing w:line="340" w:lineRule="exact"/>
              <w:jc w:val="left"/>
              <w:textAlignment w:val="center"/>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对外提供的保证、抵押、质押等可能影响财务报表的事项</w:t>
            </w:r>
          </w:p>
        </w:tc>
      </w:tr>
      <w:tr w14:paraId="446D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10" w:type="dxa"/>
            <w:vMerge w:val="continue"/>
            <w:vAlign w:val="center"/>
          </w:tcPr>
          <w:p w14:paraId="6F12FA24">
            <w:pPr>
              <w:snapToGrid w:val="0"/>
              <w:spacing w:line="300" w:lineRule="exact"/>
              <w:jc w:val="center"/>
              <w:rPr>
                <w:rFonts w:asciiTheme="minorEastAsia" w:hAnsiTheme="minorEastAsia" w:cstheme="minorEastAsia"/>
                <w:szCs w:val="21"/>
              </w:rPr>
            </w:pPr>
          </w:p>
        </w:tc>
        <w:tc>
          <w:tcPr>
            <w:tcW w:w="1320" w:type="dxa"/>
            <w:vMerge w:val="restart"/>
            <w:vAlign w:val="center"/>
          </w:tcPr>
          <w:p w14:paraId="3EBB1A59">
            <w:pPr>
              <w:widowControl/>
              <w:snapToGrid w:val="0"/>
              <w:spacing w:line="340" w:lineRule="exact"/>
              <w:jc w:val="left"/>
              <w:textAlignment w:val="center"/>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（三） 其他可函证事项</w:t>
            </w:r>
          </w:p>
        </w:tc>
        <w:tc>
          <w:tcPr>
            <w:tcW w:w="2190" w:type="dxa"/>
            <w:vAlign w:val="center"/>
          </w:tcPr>
          <w:p w14:paraId="4080414E">
            <w:pPr>
              <w:widowControl/>
              <w:snapToGrid w:val="0"/>
              <w:spacing w:line="340" w:lineRule="exact"/>
              <w:textAlignment w:val="center"/>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3.1 委托贷款</w:t>
            </w:r>
          </w:p>
        </w:tc>
        <w:tc>
          <w:tcPr>
            <w:tcW w:w="4020" w:type="dxa"/>
            <w:vAlign w:val="center"/>
          </w:tcPr>
          <w:p w14:paraId="2F7F0FCE">
            <w:pPr>
              <w:widowControl/>
              <w:snapToGrid w:val="0"/>
              <w:spacing w:line="340" w:lineRule="exact"/>
              <w:jc w:val="left"/>
              <w:textAlignment w:val="center"/>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委托贷款金额、期限、利率、担保等</w:t>
            </w:r>
          </w:p>
        </w:tc>
      </w:tr>
      <w:tr w14:paraId="47D7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10" w:type="dxa"/>
            <w:vMerge w:val="continue"/>
            <w:vAlign w:val="center"/>
          </w:tcPr>
          <w:p w14:paraId="6F41EC80">
            <w:pPr>
              <w:snapToGrid w:val="0"/>
              <w:spacing w:line="300" w:lineRule="exact"/>
              <w:jc w:val="center"/>
              <w:rPr>
                <w:rFonts w:asciiTheme="minorEastAsia" w:hAnsiTheme="minorEastAsia" w:cstheme="minorEastAsia"/>
                <w:szCs w:val="21"/>
              </w:rPr>
            </w:pPr>
          </w:p>
        </w:tc>
        <w:tc>
          <w:tcPr>
            <w:tcW w:w="1320" w:type="dxa"/>
            <w:vMerge w:val="continue"/>
            <w:vAlign w:val="center"/>
          </w:tcPr>
          <w:p w14:paraId="1F06F7E7">
            <w:pPr>
              <w:widowControl/>
              <w:snapToGrid w:val="0"/>
              <w:spacing w:line="340" w:lineRule="exact"/>
              <w:textAlignment w:val="center"/>
              <w:rPr>
                <w:rFonts w:asciiTheme="minorEastAsia" w:hAnsiTheme="minorEastAsia" w:cstheme="minorEastAsia"/>
                <w:kern w:val="0"/>
                <w:szCs w:val="21"/>
                <w:lang w:bidi="ar"/>
              </w:rPr>
            </w:pPr>
          </w:p>
        </w:tc>
        <w:tc>
          <w:tcPr>
            <w:tcW w:w="2190" w:type="dxa"/>
            <w:vAlign w:val="center"/>
          </w:tcPr>
          <w:p w14:paraId="01EA6E54">
            <w:pPr>
              <w:widowControl/>
              <w:snapToGrid w:val="0"/>
              <w:spacing w:line="340" w:lineRule="exact"/>
              <w:textAlignment w:val="center"/>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3.2 重大租赁业务</w:t>
            </w:r>
          </w:p>
        </w:tc>
        <w:tc>
          <w:tcPr>
            <w:tcW w:w="4020" w:type="dxa"/>
            <w:vAlign w:val="center"/>
          </w:tcPr>
          <w:p w14:paraId="5D1A7FF7">
            <w:pPr>
              <w:widowControl/>
              <w:snapToGrid w:val="0"/>
              <w:spacing w:line="340" w:lineRule="exact"/>
              <w:jc w:val="left"/>
              <w:textAlignment w:val="center"/>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租赁条款、租金支付情况</w:t>
            </w:r>
          </w:p>
        </w:tc>
      </w:tr>
      <w:tr w14:paraId="5F0A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10" w:type="dxa"/>
            <w:vMerge w:val="continue"/>
            <w:vAlign w:val="center"/>
          </w:tcPr>
          <w:p w14:paraId="16C9601C">
            <w:pPr>
              <w:snapToGrid w:val="0"/>
              <w:spacing w:line="300" w:lineRule="exact"/>
              <w:jc w:val="center"/>
              <w:rPr>
                <w:rFonts w:asciiTheme="minorEastAsia" w:hAnsiTheme="minorEastAsia" w:cstheme="minorEastAsia"/>
                <w:szCs w:val="21"/>
              </w:rPr>
            </w:pPr>
          </w:p>
        </w:tc>
        <w:tc>
          <w:tcPr>
            <w:tcW w:w="1320" w:type="dxa"/>
            <w:vMerge w:val="continue"/>
            <w:vAlign w:val="center"/>
          </w:tcPr>
          <w:p w14:paraId="62CC06CC">
            <w:pPr>
              <w:widowControl/>
              <w:snapToGrid w:val="0"/>
              <w:spacing w:line="340" w:lineRule="exact"/>
              <w:textAlignment w:val="center"/>
              <w:rPr>
                <w:rFonts w:asciiTheme="minorEastAsia" w:hAnsiTheme="minorEastAsia" w:cstheme="minorEastAsia"/>
                <w:kern w:val="0"/>
                <w:szCs w:val="21"/>
                <w:lang w:bidi="ar"/>
              </w:rPr>
            </w:pPr>
          </w:p>
        </w:tc>
        <w:tc>
          <w:tcPr>
            <w:tcW w:w="2190" w:type="dxa"/>
            <w:vAlign w:val="center"/>
          </w:tcPr>
          <w:p w14:paraId="51F70F52">
            <w:pPr>
              <w:widowControl/>
              <w:snapToGrid w:val="0"/>
              <w:spacing w:line="340" w:lineRule="exact"/>
              <w:textAlignment w:val="center"/>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3.3 往来款项</w:t>
            </w:r>
          </w:p>
        </w:tc>
        <w:tc>
          <w:tcPr>
            <w:tcW w:w="4020" w:type="dxa"/>
            <w:vAlign w:val="center"/>
          </w:tcPr>
          <w:p w14:paraId="008B70AA">
            <w:pPr>
              <w:widowControl/>
              <w:snapToGrid w:val="0"/>
              <w:spacing w:line="340" w:lineRule="exact"/>
              <w:jc w:val="left"/>
              <w:textAlignment w:val="center"/>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应收票据、其他应收款、应付账款、合同负债等</w:t>
            </w:r>
          </w:p>
        </w:tc>
      </w:tr>
      <w:tr w14:paraId="38257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10" w:type="dxa"/>
            <w:vMerge w:val="continue"/>
            <w:vAlign w:val="center"/>
          </w:tcPr>
          <w:p w14:paraId="305D4EA9">
            <w:pPr>
              <w:snapToGrid w:val="0"/>
              <w:spacing w:line="300" w:lineRule="exact"/>
              <w:jc w:val="center"/>
              <w:rPr>
                <w:rFonts w:asciiTheme="minorEastAsia" w:hAnsiTheme="minorEastAsia" w:cstheme="minorEastAsia"/>
                <w:szCs w:val="21"/>
              </w:rPr>
            </w:pPr>
          </w:p>
        </w:tc>
        <w:tc>
          <w:tcPr>
            <w:tcW w:w="1320" w:type="dxa"/>
            <w:vMerge w:val="continue"/>
            <w:vAlign w:val="center"/>
          </w:tcPr>
          <w:p w14:paraId="4ED30474">
            <w:pPr>
              <w:widowControl/>
              <w:snapToGrid w:val="0"/>
              <w:spacing w:line="340" w:lineRule="exact"/>
              <w:textAlignment w:val="center"/>
              <w:rPr>
                <w:rFonts w:asciiTheme="minorEastAsia" w:hAnsiTheme="minorEastAsia" w:cstheme="minorEastAsia"/>
                <w:kern w:val="0"/>
                <w:szCs w:val="21"/>
                <w:lang w:bidi="ar"/>
              </w:rPr>
            </w:pPr>
          </w:p>
        </w:tc>
        <w:tc>
          <w:tcPr>
            <w:tcW w:w="2190" w:type="dxa"/>
            <w:vAlign w:val="center"/>
          </w:tcPr>
          <w:p w14:paraId="6B2F00E5">
            <w:pPr>
              <w:widowControl/>
              <w:snapToGrid w:val="0"/>
              <w:spacing w:line="340" w:lineRule="exact"/>
              <w:textAlignment w:val="center"/>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3.4 重大交易</w:t>
            </w:r>
          </w:p>
        </w:tc>
        <w:tc>
          <w:tcPr>
            <w:tcW w:w="4020" w:type="dxa"/>
            <w:vAlign w:val="center"/>
          </w:tcPr>
          <w:p w14:paraId="1B29FF62">
            <w:pPr>
              <w:widowControl/>
              <w:snapToGrid w:val="0"/>
              <w:spacing w:line="340" w:lineRule="exact"/>
              <w:jc w:val="left"/>
              <w:textAlignment w:val="center"/>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销售、采购、现金交易、关联交易等</w:t>
            </w:r>
          </w:p>
        </w:tc>
      </w:tr>
      <w:tr w14:paraId="108A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10" w:type="dxa"/>
            <w:vMerge w:val="continue"/>
            <w:vAlign w:val="center"/>
          </w:tcPr>
          <w:p w14:paraId="6904BCC9">
            <w:pPr>
              <w:snapToGrid w:val="0"/>
              <w:spacing w:line="300" w:lineRule="exact"/>
              <w:jc w:val="center"/>
              <w:rPr>
                <w:rFonts w:asciiTheme="minorEastAsia" w:hAnsiTheme="minorEastAsia" w:cstheme="minorEastAsia"/>
                <w:szCs w:val="21"/>
              </w:rPr>
            </w:pPr>
          </w:p>
        </w:tc>
        <w:tc>
          <w:tcPr>
            <w:tcW w:w="1320" w:type="dxa"/>
            <w:vMerge w:val="continue"/>
            <w:vAlign w:val="center"/>
          </w:tcPr>
          <w:p w14:paraId="7AC74F8D">
            <w:pPr>
              <w:widowControl/>
              <w:snapToGrid w:val="0"/>
              <w:spacing w:line="340" w:lineRule="exact"/>
              <w:textAlignment w:val="center"/>
              <w:rPr>
                <w:rFonts w:asciiTheme="minorEastAsia" w:hAnsiTheme="minorEastAsia" w:cstheme="minorEastAsia"/>
                <w:kern w:val="0"/>
                <w:szCs w:val="21"/>
                <w:lang w:bidi="ar"/>
              </w:rPr>
            </w:pPr>
          </w:p>
        </w:tc>
        <w:tc>
          <w:tcPr>
            <w:tcW w:w="2190" w:type="dxa"/>
            <w:vAlign w:val="center"/>
          </w:tcPr>
          <w:p w14:paraId="1C0EDC61">
            <w:pPr>
              <w:widowControl/>
              <w:snapToGrid w:val="0"/>
              <w:spacing w:line="340" w:lineRule="exact"/>
              <w:textAlignment w:val="center"/>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3.5 特定账户</w:t>
            </w:r>
          </w:p>
        </w:tc>
        <w:tc>
          <w:tcPr>
            <w:tcW w:w="4020" w:type="dxa"/>
            <w:vAlign w:val="center"/>
          </w:tcPr>
          <w:p w14:paraId="3E209E38">
            <w:pPr>
              <w:widowControl/>
              <w:snapToGrid w:val="0"/>
              <w:spacing w:line="340" w:lineRule="exact"/>
              <w:jc w:val="left"/>
              <w:textAlignment w:val="center"/>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以公允价值计量的金融资产/负债、长短期借款、长期股权投资等</w:t>
            </w:r>
          </w:p>
        </w:tc>
      </w:tr>
      <w:tr w14:paraId="35AA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10" w:type="dxa"/>
            <w:vMerge w:val="continue"/>
            <w:vAlign w:val="center"/>
          </w:tcPr>
          <w:p w14:paraId="29DB52CF">
            <w:pPr>
              <w:snapToGrid w:val="0"/>
              <w:spacing w:line="300" w:lineRule="exact"/>
              <w:jc w:val="center"/>
              <w:rPr>
                <w:rFonts w:asciiTheme="minorEastAsia" w:hAnsiTheme="minorEastAsia" w:cstheme="minorEastAsia"/>
                <w:szCs w:val="21"/>
              </w:rPr>
            </w:pPr>
          </w:p>
        </w:tc>
        <w:tc>
          <w:tcPr>
            <w:tcW w:w="1320" w:type="dxa"/>
            <w:vMerge w:val="continue"/>
            <w:vAlign w:val="center"/>
          </w:tcPr>
          <w:p w14:paraId="6C69011B">
            <w:pPr>
              <w:widowControl/>
              <w:snapToGrid w:val="0"/>
              <w:spacing w:line="340" w:lineRule="exact"/>
              <w:textAlignment w:val="center"/>
              <w:rPr>
                <w:rFonts w:asciiTheme="minorEastAsia" w:hAnsiTheme="minorEastAsia" w:cstheme="minorEastAsia"/>
                <w:kern w:val="0"/>
                <w:szCs w:val="21"/>
                <w:lang w:bidi="ar"/>
              </w:rPr>
            </w:pPr>
          </w:p>
        </w:tc>
        <w:tc>
          <w:tcPr>
            <w:tcW w:w="2190" w:type="dxa"/>
            <w:vAlign w:val="center"/>
          </w:tcPr>
          <w:p w14:paraId="5B1A1727">
            <w:pPr>
              <w:widowControl/>
              <w:snapToGrid w:val="0"/>
              <w:spacing w:line="340" w:lineRule="exact"/>
              <w:textAlignment w:val="center"/>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3.6 向特定机构函证</w:t>
            </w:r>
          </w:p>
        </w:tc>
        <w:tc>
          <w:tcPr>
            <w:tcW w:w="4020" w:type="dxa"/>
            <w:vAlign w:val="center"/>
          </w:tcPr>
          <w:p w14:paraId="5A3286FF">
            <w:pPr>
              <w:widowControl/>
              <w:snapToGrid w:val="0"/>
              <w:spacing w:line="340" w:lineRule="exact"/>
              <w:jc w:val="left"/>
              <w:textAlignment w:val="center"/>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股东、税务机关、海关、社保局、律师等</w:t>
            </w:r>
          </w:p>
        </w:tc>
      </w:tr>
      <w:tr w14:paraId="2C8A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10" w:type="dxa"/>
            <w:vMerge w:val="continue"/>
            <w:vAlign w:val="center"/>
          </w:tcPr>
          <w:p w14:paraId="1593CD6B">
            <w:pPr>
              <w:snapToGrid w:val="0"/>
              <w:spacing w:line="300" w:lineRule="exact"/>
              <w:jc w:val="center"/>
              <w:rPr>
                <w:rFonts w:asciiTheme="minorEastAsia" w:hAnsiTheme="minorEastAsia" w:cstheme="minorEastAsia"/>
                <w:szCs w:val="21"/>
              </w:rPr>
            </w:pPr>
          </w:p>
        </w:tc>
        <w:tc>
          <w:tcPr>
            <w:tcW w:w="1320" w:type="dxa"/>
            <w:vMerge w:val="continue"/>
            <w:vAlign w:val="center"/>
          </w:tcPr>
          <w:p w14:paraId="66C89C68">
            <w:pPr>
              <w:widowControl/>
              <w:snapToGrid w:val="0"/>
              <w:spacing w:line="340" w:lineRule="exact"/>
              <w:textAlignment w:val="center"/>
              <w:rPr>
                <w:rFonts w:asciiTheme="minorEastAsia" w:hAnsiTheme="minorEastAsia" w:cstheme="minorEastAsia"/>
                <w:kern w:val="0"/>
                <w:szCs w:val="21"/>
                <w:lang w:bidi="ar"/>
              </w:rPr>
            </w:pPr>
          </w:p>
        </w:tc>
        <w:tc>
          <w:tcPr>
            <w:tcW w:w="2190" w:type="dxa"/>
            <w:vAlign w:val="center"/>
          </w:tcPr>
          <w:p w14:paraId="783B5136">
            <w:pPr>
              <w:widowControl/>
              <w:snapToGrid w:val="0"/>
              <w:spacing w:line="340" w:lineRule="exact"/>
              <w:jc w:val="left"/>
              <w:textAlignment w:val="center"/>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3.7 其他</w:t>
            </w:r>
          </w:p>
        </w:tc>
        <w:tc>
          <w:tcPr>
            <w:tcW w:w="4020" w:type="dxa"/>
            <w:vAlign w:val="center"/>
          </w:tcPr>
          <w:p w14:paraId="702C714C">
            <w:pPr>
              <w:widowControl/>
              <w:snapToGrid w:val="0"/>
              <w:spacing w:line="340" w:lineRule="exac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注册会计师根据实际情况考虑实施函证的其他事项</w:t>
            </w:r>
          </w:p>
        </w:tc>
      </w:tr>
    </w:tbl>
    <w:p w14:paraId="3DD887F1">
      <w:pPr>
        <w:numPr>
          <w:ilvl w:val="0"/>
          <w:numId w:val="2"/>
        </w:numPr>
        <w:snapToGrid w:val="0"/>
        <w:spacing w:before="312" w:beforeLines="10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应当函证事项</w:t>
      </w:r>
    </w:p>
    <w:p w14:paraId="2215A93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中国注册会计师审计准则分别对银行存款、借款及与金融机构往来的其他重要信息，应收账款以及存货等账户如何实施函证程序作出了具体规定。</w:t>
      </w:r>
    </w:p>
    <w:p w14:paraId="3F3CF8C1">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（一）银行存款、借款及与金融机构往来的其他重要信息</w:t>
      </w:r>
    </w:p>
    <w:p w14:paraId="261DA422">
      <w:pPr>
        <w:snapToGrid w:val="0"/>
        <w:spacing w:line="360" w:lineRule="auto"/>
        <w:ind w:firstLine="480" w:firstLineChars="200"/>
        <w:rPr>
          <w:rFonts w:asciiTheme="minorEastAsia" w:hAnsiTheme="minorEastAsia" w:cstheme="minorEastAsia"/>
          <w:sz w:val="24"/>
        </w:rPr>
      </w:pPr>
      <w:r>
        <w:rPr>
          <w:rFonts w:hint="eastAsia" w:asciiTheme="minorEastAsia" w:hAnsiTheme="minorEastAsia" w:eastAsiaTheme="minorEastAsia" w:cstheme="minorEastAsia"/>
          <w:sz w:val="24"/>
        </w:rPr>
        <w:t>根据《中国注册会计师审计准则第</w:t>
      </w:r>
      <w:r>
        <w:rPr>
          <w:rFonts w:asciiTheme="minorEastAsia" w:hAnsiTheme="minorEastAsia" w:eastAsiaTheme="minorEastAsia" w:cstheme="minorEastAsia"/>
          <w:sz w:val="24"/>
        </w:rPr>
        <w:t>1312号——函证》第十二条，注册会计师应当对银行存款（包括零余额账户和在本期内注销的账户）、借款及与金融机构往来的其他重要信息实施函证程序，除非有充分证据表明这些信息对财务报表不重要且与之相关的重大错报风险很低。若决定不实施函证，应当在审计工作底稿中详细记录理由。</w:t>
      </w:r>
    </w:p>
    <w:tbl>
      <w:tblPr>
        <w:tblStyle w:val="12"/>
        <w:tblpPr w:leftFromText="180" w:rightFromText="180" w:vertAnchor="text" w:horzAnchor="page" w:tblpX="1861" w:tblpY="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0"/>
        <w:gridCol w:w="1559"/>
        <w:gridCol w:w="3511"/>
        <w:gridCol w:w="2105"/>
      </w:tblGrid>
      <w:tr w14:paraId="357C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50" w:type="dxa"/>
            <w:vAlign w:val="center"/>
          </w:tcPr>
          <w:p w14:paraId="136BDB75">
            <w:pPr>
              <w:snapToGrid w:val="0"/>
              <w:spacing w:line="340" w:lineRule="exact"/>
              <w:jc w:val="center"/>
              <w:rPr>
                <w:rFonts w:asciiTheme="minorEastAsia" w:hAnsiTheme="minorEastAsia" w:cstheme="minorEastAsia"/>
                <w:b/>
                <w:bCs/>
                <w:szCs w:val="21"/>
              </w:rPr>
            </w:pPr>
            <w:r>
              <w:rPr>
                <w:rFonts w:hint="eastAsia" w:asciiTheme="minorEastAsia" w:hAnsiTheme="minorEastAsia" w:cstheme="minorEastAsia"/>
                <w:b/>
                <w:bCs/>
                <w:szCs w:val="21"/>
              </w:rPr>
              <w:t>事项</w:t>
            </w:r>
          </w:p>
        </w:tc>
        <w:tc>
          <w:tcPr>
            <w:tcW w:w="1559" w:type="dxa"/>
            <w:vAlign w:val="center"/>
          </w:tcPr>
          <w:p w14:paraId="360B23EA">
            <w:pPr>
              <w:snapToGrid w:val="0"/>
              <w:spacing w:line="340" w:lineRule="exact"/>
              <w:jc w:val="center"/>
              <w:rPr>
                <w:rFonts w:asciiTheme="minorEastAsia" w:hAnsiTheme="minorEastAsia" w:cstheme="minorEastAsia"/>
                <w:b/>
                <w:bCs/>
                <w:szCs w:val="21"/>
              </w:rPr>
            </w:pPr>
            <w:r>
              <w:rPr>
                <w:rFonts w:hint="eastAsia" w:asciiTheme="minorEastAsia" w:hAnsiTheme="minorEastAsia" w:cstheme="minorEastAsia"/>
                <w:b/>
                <w:bCs/>
                <w:szCs w:val="21"/>
              </w:rPr>
              <w:t>必要性</w:t>
            </w:r>
          </w:p>
        </w:tc>
        <w:tc>
          <w:tcPr>
            <w:tcW w:w="3511" w:type="dxa"/>
            <w:vAlign w:val="center"/>
          </w:tcPr>
          <w:p w14:paraId="53B6E3F3">
            <w:pPr>
              <w:snapToGrid w:val="0"/>
              <w:spacing w:line="340" w:lineRule="exact"/>
              <w:jc w:val="center"/>
              <w:rPr>
                <w:rFonts w:asciiTheme="minorEastAsia" w:hAnsiTheme="minorEastAsia" w:cstheme="minorEastAsia"/>
                <w:b/>
                <w:bCs/>
                <w:szCs w:val="21"/>
              </w:rPr>
            </w:pPr>
            <w:r>
              <w:rPr>
                <w:rFonts w:hint="eastAsia" w:asciiTheme="minorEastAsia" w:hAnsiTheme="minorEastAsia" w:cstheme="minorEastAsia"/>
                <w:b/>
                <w:bCs/>
                <w:szCs w:val="21"/>
              </w:rPr>
              <w:t>例外情形（不函证，同时符合）</w:t>
            </w:r>
          </w:p>
        </w:tc>
        <w:tc>
          <w:tcPr>
            <w:tcW w:w="2105" w:type="dxa"/>
            <w:vAlign w:val="center"/>
          </w:tcPr>
          <w:p w14:paraId="3957314C">
            <w:pPr>
              <w:snapToGrid w:val="0"/>
              <w:spacing w:line="340" w:lineRule="exact"/>
              <w:jc w:val="center"/>
              <w:rPr>
                <w:rFonts w:asciiTheme="minorEastAsia" w:hAnsiTheme="minorEastAsia" w:cstheme="minorEastAsia"/>
                <w:b/>
                <w:bCs/>
                <w:szCs w:val="21"/>
              </w:rPr>
            </w:pPr>
            <w:r>
              <w:rPr>
                <w:rFonts w:hint="eastAsia" w:asciiTheme="minorEastAsia" w:hAnsiTheme="minorEastAsia" w:cstheme="minorEastAsia"/>
                <w:b/>
                <w:bCs/>
                <w:szCs w:val="21"/>
              </w:rPr>
              <w:t>不函证的处理</w:t>
            </w:r>
          </w:p>
        </w:tc>
      </w:tr>
      <w:tr w14:paraId="2334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14:paraId="4489D850">
            <w:pPr>
              <w:snapToGrid w:val="0"/>
              <w:spacing w:line="340" w:lineRule="exact"/>
              <w:jc w:val="center"/>
              <w:rPr>
                <w:rFonts w:asciiTheme="minorEastAsia" w:hAnsiTheme="minorEastAsia" w:cstheme="minorEastAsia"/>
                <w:szCs w:val="21"/>
              </w:rPr>
            </w:pPr>
            <w:r>
              <w:rPr>
                <w:rFonts w:hint="eastAsia" w:asciiTheme="minorEastAsia" w:hAnsiTheme="minorEastAsia" w:cstheme="minorEastAsia"/>
                <w:szCs w:val="21"/>
              </w:rPr>
              <w:t>银行函证</w:t>
            </w:r>
          </w:p>
        </w:tc>
        <w:tc>
          <w:tcPr>
            <w:tcW w:w="1559" w:type="dxa"/>
            <w:vAlign w:val="center"/>
          </w:tcPr>
          <w:p w14:paraId="2A51160A">
            <w:pPr>
              <w:snapToGrid w:val="0"/>
              <w:spacing w:line="340" w:lineRule="exact"/>
              <w:jc w:val="center"/>
              <w:rPr>
                <w:rFonts w:asciiTheme="minorEastAsia" w:hAnsiTheme="minorEastAsia" w:cstheme="minorEastAsia"/>
                <w:szCs w:val="21"/>
              </w:rPr>
            </w:pPr>
            <w:r>
              <w:rPr>
                <w:rFonts w:hint="eastAsia" w:asciiTheme="minorEastAsia" w:hAnsiTheme="minorEastAsia" w:cstheme="minorEastAsia"/>
                <w:szCs w:val="21"/>
              </w:rPr>
              <w:t>应当函证</w:t>
            </w:r>
          </w:p>
        </w:tc>
        <w:tc>
          <w:tcPr>
            <w:tcW w:w="3511" w:type="dxa"/>
            <w:vAlign w:val="center"/>
          </w:tcPr>
          <w:p w14:paraId="529A0430">
            <w:pPr>
              <w:snapToGrid w:val="0"/>
              <w:spacing w:line="340" w:lineRule="exact"/>
              <w:jc w:val="left"/>
              <w:rPr>
                <w:rFonts w:asciiTheme="minorEastAsia" w:hAnsiTheme="minorEastAsia" w:cstheme="minorEastAsia"/>
                <w:szCs w:val="21"/>
              </w:rPr>
            </w:pPr>
            <w:r>
              <w:rPr>
                <w:rFonts w:hint="eastAsia" w:asciiTheme="minorEastAsia" w:hAnsiTheme="minorEastAsia" w:cstheme="minorEastAsia"/>
                <w:szCs w:val="21"/>
              </w:rPr>
              <w:t>1. 有充分证据表明这些信息对财务报表不重要</w:t>
            </w:r>
          </w:p>
          <w:p w14:paraId="6B20A736">
            <w:pPr>
              <w:snapToGrid w:val="0"/>
              <w:spacing w:line="340" w:lineRule="exact"/>
              <w:jc w:val="left"/>
              <w:rPr>
                <w:rFonts w:asciiTheme="minorEastAsia" w:hAnsiTheme="minorEastAsia" w:cstheme="minorEastAsia"/>
                <w:szCs w:val="21"/>
              </w:rPr>
            </w:pPr>
            <w:r>
              <w:rPr>
                <w:rFonts w:hint="eastAsia" w:asciiTheme="minorEastAsia" w:hAnsiTheme="minorEastAsia" w:cstheme="minorEastAsia"/>
                <w:szCs w:val="21"/>
              </w:rPr>
              <w:t>2. 与之相关的重大错报风险很低</w:t>
            </w:r>
          </w:p>
        </w:tc>
        <w:tc>
          <w:tcPr>
            <w:tcW w:w="2105" w:type="dxa"/>
            <w:vAlign w:val="center"/>
          </w:tcPr>
          <w:p w14:paraId="3E1C0D41">
            <w:pPr>
              <w:snapToGrid w:val="0"/>
              <w:spacing w:line="340" w:lineRule="exact"/>
              <w:jc w:val="left"/>
              <w:rPr>
                <w:rFonts w:asciiTheme="minorEastAsia" w:hAnsiTheme="minorEastAsia" w:cstheme="minorEastAsia"/>
                <w:szCs w:val="21"/>
              </w:rPr>
            </w:pPr>
            <w:r>
              <w:rPr>
                <w:rFonts w:hint="eastAsia" w:asciiTheme="minorEastAsia" w:hAnsiTheme="minorEastAsia" w:cstheme="minorEastAsia"/>
                <w:szCs w:val="21"/>
              </w:rPr>
              <w:t>在审计工作底稿中详细记录理由</w:t>
            </w:r>
          </w:p>
        </w:tc>
      </w:tr>
    </w:tbl>
    <w:p w14:paraId="36F9F235">
      <w:pPr>
        <w:spacing w:before="156" w:beforeLines="50" w:line="360" w:lineRule="auto"/>
        <w:ind w:firstLine="482" w:firstLineChars="200"/>
        <w:outlineLvl w:val="9"/>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（二）应收账款</w:t>
      </w:r>
    </w:p>
    <w:p w14:paraId="72E72867">
      <w:pPr>
        <w:snapToGrid w:val="0"/>
        <w:spacing w:line="360" w:lineRule="auto"/>
        <w:ind w:firstLine="480" w:firstLineChars="200"/>
        <w:rPr>
          <w:rFonts w:asciiTheme="minorEastAsia" w:hAnsiTheme="minorEastAsia" w:cstheme="minorEastAsia"/>
          <w:sz w:val="24"/>
        </w:rPr>
      </w:pPr>
      <w:bookmarkStart w:id="44" w:name="_Toc10288"/>
      <w:r>
        <w:rPr>
          <w:rFonts w:hint="eastAsia" w:asciiTheme="minorEastAsia" w:hAnsiTheme="minorEastAsia" w:eastAsiaTheme="minorEastAsia" w:cstheme="minorEastAsia"/>
          <w:sz w:val="24"/>
        </w:rPr>
        <w:t>《中国注册会计师审计准则第</w:t>
      </w:r>
      <w:r>
        <w:rPr>
          <w:rFonts w:asciiTheme="minorEastAsia" w:hAnsiTheme="minorEastAsia" w:eastAsiaTheme="minorEastAsia" w:cstheme="minorEastAsia"/>
          <w:sz w:val="24"/>
        </w:rPr>
        <w:t>1312号——函证》第十三条规定，注册会计师应当对应收账款实施函证程序，除非有充分证据表明应收账款对财务报表不重要，或函证很可能无效。如果认为函证很可能无效，注册会计师应当实施替代审计程序，获取相关、可靠的审计证据；如果不对应收账款实施函证，注册会计师应当在审计工作底稿中说明理由。</w:t>
      </w:r>
      <w:bookmarkEnd w:id="44"/>
    </w:p>
    <w:tbl>
      <w:tblPr>
        <w:tblStyle w:val="12"/>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0"/>
        <w:gridCol w:w="1559"/>
        <w:gridCol w:w="3511"/>
        <w:gridCol w:w="2105"/>
        <w:tblGridChange w:id="0">
          <w:tblGrid>
            <w:gridCol w:w="105"/>
            <w:gridCol w:w="113"/>
            <w:gridCol w:w="1319"/>
            <w:gridCol w:w="18"/>
            <w:gridCol w:w="95"/>
            <w:gridCol w:w="1425"/>
            <w:gridCol w:w="3459"/>
            <w:gridCol w:w="2074"/>
          </w:tblGrid>
        </w:tblGridChange>
      </w:tblGrid>
      <w:tr w14:paraId="2237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50" w:type="dxa"/>
            <w:vAlign w:val="center"/>
          </w:tcPr>
          <w:p w14:paraId="2D296658">
            <w:pPr>
              <w:snapToGrid w:val="0"/>
              <w:spacing w:line="340" w:lineRule="exact"/>
              <w:jc w:val="center"/>
              <w:rPr>
                <w:rFonts w:asciiTheme="minorEastAsia" w:hAnsiTheme="minorEastAsia" w:cstheme="minorEastAsia"/>
                <w:b/>
                <w:bCs/>
                <w:szCs w:val="21"/>
              </w:rPr>
            </w:pPr>
            <w:r>
              <w:rPr>
                <w:rFonts w:hint="eastAsia" w:asciiTheme="minorEastAsia" w:hAnsiTheme="minorEastAsia" w:cstheme="minorEastAsia"/>
                <w:b/>
                <w:bCs/>
                <w:szCs w:val="21"/>
              </w:rPr>
              <w:t>事项</w:t>
            </w:r>
          </w:p>
        </w:tc>
        <w:tc>
          <w:tcPr>
            <w:tcW w:w="1559" w:type="dxa"/>
            <w:vAlign w:val="center"/>
          </w:tcPr>
          <w:p w14:paraId="5F8D8517">
            <w:pPr>
              <w:snapToGrid w:val="0"/>
              <w:spacing w:line="340" w:lineRule="exact"/>
              <w:jc w:val="center"/>
              <w:rPr>
                <w:rFonts w:asciiTheme="minorEastAsia" w:hAnsiTheme="minorEastAsia" w:cstheme="minorEastAsia"/>
                <w:b/>
                <w:bCs/>
                <w:szCs w:val="21"/>
              </w:rPr>
            </w:pPr>
            <w:r>
              <w:rPr>
                <w:rFonts w:hint="eastAsia" w:asciiTheme="minorEastAsia" w:hAnsiTheme="minorEastAsia" w:cstheme="minorEastAsia"/>
                <w:b/>
                <w:bCs/>
                <w:szCs w:val="21"/>
              </w:rPr>
              <w:t>必要性</w:t>
            </w:r>
          </w:p>
        </w:tc>
        <w:tc>
          <w:tcPr>
            <w:tcW w:w="3511" w:type="dxa"/>
            <w:vAlign w:val="center"/>
          </w:tcPr>
          <w:p w14:paraId="0646411A">
            <w:pPr>
              <w:snapToGrid w:val="0"/>
              <w:spacing w:line="340" w:lineRule="exact"/>
              <w:jc w:val="center"/>
              <w:rPr>
                <w:rFonts w:asciiTheme="minorEastAsia" w:hAnsiTheme="minorEastAsia" w:cstheme="minorEastAsia"/>
                <w:b/>
                <w:bCs/>
                <w:szCs w:val="21"/>
              </w:rPr>
            </w:pPr>
            <w:r>
              <w:rPr>
                <w:rFonts w:hint="eastAsia" w:asciiTheme="minorEastAsia" w:hAnsiTheme="minorEastAsia" w:cstheme="minorEastAsia"/>
                <w:b/>
                <w:bCs/>
                <w:szCs w:val="21"/>
              </w:rPr>
              <w:t>例外情形（不函证，同时符合）</w:t>
            </w:r>
          </w:p>
        </w:tc>
        <w:tc>
          <w:tcPr>
            <w:tcW w:w="2105" w:type="dxa"/>
            <w:vAlign w:val="center"/>
          </w:tcPr>
          <w:p w14:paraId="39CE7010">
            <w:pPr>
              <w:snapToGrid w:val="0"/>
              <w:spacing w:line="340" w:lineRule="exact"/>
              <w:jc w:val="center"/>
              <w:rPr>
                <w:rFonts w:asciiTheme="minorEastAsia" w:hAnsiTheme="minorEastAsia" w:cstheme="minorEastAsia"/>
                <w:b/>
                <w:bCs/>
                <w:szCs w:val="21"/>
              </w:rPr>
            </w:pPr>
            <w:r>
              <w:rPr>
                <w:rFonts w:hint="eastAsia" w:asciiTheme="minorEastAsia" w:hAnsiTheme="minorEastAsia" w:cstheme="minorEastAsia"/>
                <w:b/>
                <w:bCs/>
                <w:szCs w:val="21"/>
              </w:rPr>
              <w:t>不函证的处理</w:t>
            </w:r>
          </w:p>
        </w:tc>
      </w:tr>
      <w:tr w14:paraId="24FF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Merge w:val="restart"/>
            <w:vAlign w:val="center"/>
          </w:tcPr>
          <w:p w14:paraId="72BCD00A">
            <w:pPr>
              <w:snapToGrid w:val="0"/>
              <w:spacing w:line="340" w:lineRule="exact"/>
              <w:jc w:val="center"/>
              <w:rPr>
                <w:rFonts w:asciiTheme="minorEastAsia" w:hAnsiTheme="minorEastAsia" w:cstheme="minorEastAsia"/>
                <w:szCs w:val="21"/>
              </w:rPr>
            </w:pPr>
            <w:r>
              <w:rPr>
                <w:rFonts w:hint="eastAsia" w:asciiTheme="minorEastAsia" w:hAnsiTheme="minorEastAsia" w:cstheme="minorEastAsia"/>
                <w:szCs w:val="21"/>
              </w:rPr>
              <w:t>应收账款</w:t>
            </w:r>
          </w:p>
          <w:p w14:paraId="6681B7AD">
            <w:pPr>
              <w:snapToGrid w:val="0"/>
              <w:spacing w:line="340" w:lineRule="exact"/>
              <w:jc w:val="center"/>
              <w:rPr>
                <w:rFonts w:asciiTheme="minorEastAsia" w:hAnsiTheme="minorEastAsia" w:cstheme="minorEastAsia"/>
                <w:szCs w:val="21"/>
              </w:rPr>
            </w:pPr>
            <w:r>
              <w:rPr>
                <w:rFonts w:hint="eastAsia" w:asciiTheme="minorEastAsia" w:hAnsiTheme="minorEastAsia" w:cstheme="minorEastAsia"/>
                <w:szCs w:val="21"/>
              </w:rPr>
              <w:t>函证</w:t>
            </w:r>
          </w:p>
        </w:tc>
        <w:tc>
          <w:tcPr>
            <w:tcW w:w="1559" w:type="dxa"/>
            <w:vMerge w:val="restart"/>
            <w:vAlign w:val="center"/>
          </w:tcPr>
          <w:p w14:paraId="6736B102">
            <w:pPr>
              <w:snapToGrid w:val="0"/>
              <w:spacing w:line="340" w:lineRule="exact"/>
              <w:jc w:val="center"/>
              <w:rPr>
                <w:rFonts w:asciiTheme="minorEastAsia" w:hAnsiTheme="minorEastAsia" w:cstheme="minorEastAsia"/>
                <w:szCs w:val="21"/>
              </w:rPr>
            </w:pPr>
            <w:r>
              <w:rPr>
                <w:rFonts w:hint="eastAsia" w:asciiTheme="minorEastAsia" w:hAnsiTheme="minorEastAsia" w:cstheme="minorEastAsia"/>
                <w:szCs w:val="21"/>
              </w:rPr>
              <w:t>应当函证</w:t>
            </w:r>
          </w:p>
        </w:tc>
        <w:tc>
          <w:tcPr>
            <w:tcW w:w="3511" w:type="dxa"/>
            <w:vAlign w:val="center"/>
          </w:tcPr>
          <w:p w14:paraId="5AECAC43">
            <w:pPr>
              <w:snapToGrid w:val="0"/>
              <w:spacing w:line="340" w:lineRule="exact"/>
              <w:jc w:val="left"/>
              <w:rPr>
                <w:rFonts w:asciiTheme="minorEastAsia" w:hAnsiTheme="minorEastAsia" w:cstheme="minorEastAsia"/>
                <w:szCs w:val="21"/>
              </w:rPr>
            </w:pPr>
            <w:r>
              <w:rPr>
                <w:rFonts w:hint="eastAsia" w:asciiTheme="minorEastAsia" w:hAnsiTheme="minorEastAsia" w:cstheme="minorEastAsia"/>
                <w:szCs w:val="21"/>
              </w:rPr>
              <w:t xml:space="preserve">1. </w:t>
            </w:r>
            <w:r>
              <w:rPr>
                <w:rFonts w:hint="eastAsia" w:asciiTheme="minorEastAsia" w:hAnsiTheme="minorEastAsia" w:cstheme="minorEastAsia"/>
                <w:sz w:val="21"/>
                <w:szCs w:val="21"/>
              </w:rPr>
              <w:t>有充分证据表明应收账款对财务报表不重要</w:t>
            </w:r>
          </w:p>
        </w:tc>
        <w:tc>
          <w:tcPr>
            <w:tcW w:w="2105" w:type="dxa"/>
            <w:vAlign w:val="center"/>
          </w:tcPr>
          <w:p w14:paraId="0026BE89">
            <w:pPr>
              <w:snapToGrid w:val="0"/>
              <w:spacing w:line="340" w:lineRule="exact"/>
              <w:jc w:val="left"/>
              <w:rPr>
                <w:rFonts w:asciiTheme="minorEastAsia" w:hAnsiTheme="minorEastAsia" w:cstheme="minorEastAsia"/>
                <w:szCs w:val="21"/>
              </w:rPr>
            </w:pPr>
            <w:r>
              <w:rPr>
                <w:rFonts w:hint="eastAsia" w:asciiTheme="minorEastAsia" w:hAnsiTheme="minorEastAsia" w:cstheme="minorEastAsia"/>
                <w:sz w:val="21"/>
                <w:szCs w:val="21"/>
              </w:rPr>
              <w:t>在审计工作底稿中详细记录理由</w:t>
            </w:r>
          </w:p>
        </w:tc>
      </w:tr>
      <w:tr w14:paraId="47DD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5" w:hRule="atLeast"/>
        </w:trPr>
        <w:tc>
          <w:tcPr>
            <w:tcW w:w="1450" w:type="dxa"/>
            <w:vMerge w:val="continue"/>
            <w:vAlign w:val="center"/>
          </w:tcPr>
          <w:p w14:paraId="6F543B0C">
            <w:pPr>
              <w:snapToGrid w:val="0"/>
              <w:spacing w:line="340" w:lineRule="exact"/>
              <w:jc w:val="left"/>
              <w:rPr>
                <w:rFonts w:asciiTheme="minorEastAsia" w:hAnsiTheme="minorEastAsia" w:cstheme="minorEastAsia"/>
                <w:szCs w:val="21"/>
              </w:rPr>
            </w:pPr>
          </w:p>
        </w:tc>
        <w:tc>
          <w:tcPr>
            <w:tcW w:w="1559" w:type="dxa"/>
            <w:vMerge w:val="continue"/>
            <w:vAlign w:val="center"/>
          </w:tcPr>
          <w:p w14:paraId="233E5FE7">
            <w:pPr>
              <w:snapToGrid w:val="0"/>
              <w:spacing w:line="340" w:lineRule="exact"/>
              <w:jc w:val="left"/>
              <w:rPr>
                <w:rFonts w:asciiTheme="minorEastAsia" w:hAnsiTheme="minorEastAsia" w:cstheme="minorEastAsia"/>
                <w:szCs w:val="21"/>
              </w:rPr>
            </w:pPr>
          </w:p>
        </w:tc>
        <w:tc>
          <w:tcPr>
            <w:tcW w:w="3511" w:type="dxa"/>
            <w:vAlign w:val="center"/>
          </w:tcPr>
          <w:p w14:paraId="5F94B757">
            <w:pPr>
              <w:snapToGrid w:val="0"/>
              <w:spacing w:line="340" w:lineRule="exact"/>
              <w:jc w:val="left"/>
              <w:rPr>
                <w:rFonts w:asciiTheme="minorEastAsia" w:hAnsiTheme="minorEastAsia" w:cstheme="minorEastAsia"/>
                <w:sz w:val="21"/>
                <w:szCs w:val="21"/>
              </w:rPr>
            </w:pPr>
            <w:r>
              <w:rPr>
                <w:rFonts w:asciiTheme="minorEastAsia" w:hAnsiTheme="minorEastAsia" w:cstheme="minorEastAsia"/>
                <w:sz w:val="21"/>
                <w:szCs w:val="21"/>
              </w:rPr>
              <w:t xml:space="preserve">2. </w:t>
            </w:r>
            <w:r>
              <w:rPr>
                <w:rFonts w:hint="eastAsia" w:asciiTheme="minorEastAsia" w:hAnsiTheme="minorEastAsia" w:cstheme="minorEastAsia"/>
                <w:sz w:val="21"/>
                <w:szCs w:val="21"/>
              </w:rPr>
              <w:t>函证很可能无效</w:t>
            </w:r>
          </w:p>
        </w:tc>
        <w:tc>
          <w:tcPr>
            <w:tcW w:w="2105" w:type="dxa"/>
            <w:vAlign w:val="center"/>
          </w:tcPr>
          <w:p w14:paraId="4A0E162C">
            <w:pPr>
              <w:snapToGrid w:val="0"/>
              <w:spacing w:line="340" w:lineRule="exact"/>
              <w:jc w:val="left"/>
              <w:rPr>
                <w:rFonts w:asciiTheme="minorEastAsia" w:hAnsiTheme="minorEastAsia" w:cstheme="minorEastAsia"/>
                <w:szCs w:val="21"/>
              </w:rPr>
            </w:pPr>
            <w:r>
              <w:rPr>
                <w:rFonts w:hint="eastAsia" w:asciiTheme="minorEastAsia" w:hAnsiTheme="minorEastAsia" w:cstheme="minorEastAsia"/>
                <w:sz w:val="21"/>
                <w:szCs w:val="21"/>
              </w:rPr>
              <w:t>实施替代审计程序</w:t>
            </w:r>
          </w:p>
        </w:tc>
      </w:tr>
    </w:tbl>
    <w:p w14:paraId="13C43D6C">
      <w:pPr>
        <w:snapToGrid w:val="0"/>
        <w:spacing w:before="156" w:beforeLines="50" w:line="360" w:lineRule="auto"/>
        <w:ind w:firstLine="480" w:firstLineChars="200"/>
        <w:rPr>
          <w:rFonts w:asciiTheme="minorEastAsia" w:hAnsiTheme="minorEastAsia" w:eastAsiaTheme="minorEastAsia" w:cstheme="minorEastAsia"/>
          <w:sz w:val="24"/>
        </w:rPr>
      </w:pPr>
      <w:bookmarkStart w:id="45" w:name="_Toc31984"/>
      <w:r>
        <w:rPr>
          <w:rFonts w:hint="eastAsia" w:asciiTheme="minorEastAsia" w:hAnsiTheme="minorEastAsia" w:eastAsiaTheme="minorEastAsia" w:cstheme="minorEastAsia"/>
          <w:sz w:val="24"/>
        </w:rPr>
        <w:t>实务中，表明应收账款函证很可能无效的情况包括：</w:t>
      </w:r>
      <w:bookmarkEnd w:id="45"/>
    </w:p>
    <w:p w14:paraId="23409C97">
      <w:pPr>
        <w:snapToGrid w:val="0"/>
        <w:spacing w:line="360" w:lineRule="auto"/>
        <w:ind w:firstLine="480" w:firstLineChars="200"/>
        <w:rPr>
          <w:rFonts w:asciiTheme="minorEastAsia" w:hAnsiTheme="minorEastAsia" w:eastAsiaTheme="minorEastAsia" w:cstheme="minorEastAsia"/>
          <w:sz w:val="24"/>
        </w:rPr>
      </w:pPr>
      <w:bookmarkStart w:id="46" w:name="_Toc24938"/>
      <w:r>
        <w:rPr>
          <w:rFonts w:hint="eastAsia" w:asciiTheme="minorEastAsia" w:hAnsiTheme="minorEastAsia" w:cstheme="minorEastAsia"/>
          <w:sz w:val="24"/>
        </w:rPr>
        <w:t>1.</w:t>
      </w:r>
      <w:r>
        <w:rPr>
          <w:rFonts w:hint="eastAsia" w:asciiTheme="minorEastAsia" w:hAnsiTheme="minorEastAsia" w:eastAsiaTheme="minorEastAsia" w:cstheme="minorEastAsia"/>
          <w:sz w:val="24"/>
        </w:rPr>
        <w:t>以往审计业务经验表明回函率很低。</w:t>
      </w:r>
      <w:bookmarkEnd w:id="46"/>
    </w:p>
    <w:p w14:paraId="1866AECA">
      <w:pPr>
        <w:snapToGrid w:val="0"/>
        <w:spacing w:line="360" w:lineRule="auto"/>
        <w:ind w:firstLine="480" w:firstLineChars="200"/>
        <w:rPr>
          <w:rFonts w:asciiTheme="minorEastAsia" w:hAnsiTheme="minorEastAsia" w:eastAsiaTheme="minorEastAsia" w:cstheme="minorEastAsia"/>
          <w:sz w:val="24"/>
        </w:rPr>
      </w:pPr>
      <w:bookmarkStart w:id="47" w:name="_Toc20284"/>
      <w:r>
        <w:rPr>
          <w:rFonts w:hint="eastAsia" w:asciiTheme="minorEastAsia" w:hAnsiTheme="minorEastAsia" w:cstheme="minorEastAsia"/>
          <w:sz w:val="24"/>
        </w:rPr>
        <w:t>2.</w:t>
      </w:r>
      <w:r>
        <w:rPr>
          <w:rFonts w:hint="eastAsia" w:asciiTheme="minorEastAsia" w:hAnsiTheme="minorEastAsia" w:eastAsiaTheme="minorEastAsia" w:cstheme="minorEastAsia"/>
          <w:sz w:val="24"/>
        </w:rPr>
        <w:t>某些特定行业的客户通常不对应收账款询证函回函，如电信行业的个人客户。</w:t>
      </w:r>
      <w:bookmarkEnd w:id="47"/>
    </w:p>
    <w:p w14:paraId="6E771E2A">
      <w:pPr>
        <w:snapToGrid w:val="0"/>
        <w:spacing w:line="360" w:lineRule="auto"/>
        <w:ind w:firstLine="480" w:firstLineChars="200"/>
        <w:rPr>
          <w:rFonts w:asciiTheme="minorEastAsia" w:hAnsiTheme="minorEastAsia" w:eastAsiaTheme="minorEastAsia" w:cstheme="minorEastAsia"/>
          <w:sz w:val="24"/>
        </w:rPr>
      </w:pPr>
      <w:bookmarkStart w:id="48" w:name="_Toc10674"/>
      <w:r>
        <w:rPr>
          <w:rFonts w:hint="eastAsia" w:asciiTheme="minorEastAsia" w:hAnsiTheme="minorEastAsia" w:cstheme="minorEastAsia"/>
          <w:sz w:val="24"/>
        </w:rPr>
        <w:t>3.</w:t>
      </w:r>
      <w:r>
        <w:rPr>
          <w:rFonts w:hint="eastAsia" w:asciiTheme="minorEastAsia" w:hAnsiTheme="minorEastAsia" w:eastAsiaTheme="minorEastAsia" w:cstheme="minorEastAsia"/>
          <w:sz w:val="24"/>
        </w:rPr>
        <w:t>被询证者系出于制度的规定不能回函的单位。</w:t>
      </w:r>
      <w:bookmarkEnd w:id="48"/>
    </w:p>
    <w:p w14:paraId="292F85E6">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（三）由第三方保管或控制的重要存货</w:t>
      </w:r>
    </w:p>
    <w:p w14:paraId="5245E6B6">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根据《中国注册会计师审计准则第</w:t>
      </w:r>
      <w:r>
        <w:rPr>
          <w:rFonts w:asciiTheme="minorEastAsia" w:hAnsiTheme="minorEastAsia" w:eastAsiaTheme="minorEastAsia" w:cstheme="minorEastAsia"/>
          <w:sz w:val="24"/>
        </w:rPr>
        <w:t>1311号——对存货、诉讼和索赔、分部信息等特定项目获取审计证据的具体考虑》第八条</w:t>
      </w:r>
      <w:r>
        <w:rPr>
          <w:rFonts w:hint="eastAsia" w:asciiTheme="minorEastAsia" w:hAnsiTheme="minorEastAsia" w:cstheme="minorEastAsia"/>
          <w:sz w:val="24"/>
        </w:rPr>
        <w:t>的</w:t>
      </w:r>
      <w:r>
        <w:rPr>
          <w:rFonts w:asciiTheme="minorEastAsia" w:hAnsiTheme="minorEastAsia" w:cstheme="minorEastAsia"/>
          <w:sz w:val="24"/>
        </w:rPr>
        <w:t>规定</w:t>
      </w:r>
      <w:r>
        <w:rPr>
          <w:rFonts w:asciiTheme="minorEastAsia" w:hAnsiTheme="minorEastAsia" w:eastAsiaTheme="minorEastAsia" w:cstheme="minorEastAsia"/>
          <w:sz w:val="24"/>
        </w:rPr>
        <w:t>，若由第三方保管或控制的存货对财务报表重要，注册会计师应实施函证或检查等审计程序，以获取充分、适当的审计证据。若监盘不可行，注册会计师应当向持有被审计单位存货的第三方发出函证，核实存货的数量和实际状况，以确保存货信息的真实性和准确性。</w:t>
      </w:r>
    </w:p>
    <w:p w14:paraId="2733AD51">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例如，对于外贸公司无自有仓库，存货由供应商、物流公司或码头仓库保管的情况，若无法实施监盘，应向保管方函证存货的品名、数量和状况。</w:t>
      </w:r>
    </w:p>
    <w:p w14:paraId="0480D22E">
      <w:pPr>
        <w:snapToGrid w:val="0"/>
        <w:spacing w:before="156" w:beforeLines="50"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二、其他函证事项</w:t>
      </w:r>
    </w:p>
    <w:p w14:paraId="2E7E558F">
      <w:pPr>
        <w:snapToGrid w:val="0"/>
        <w:spacing w:line="360" w:lineRule="auto"/>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 xml:space="preserve">    </w:t>
      </w:r>
      <w:r>
        <w:rPr>
          <w:rFonts w:hint="eastAsia" w:asciiTheme="minorEastAsia" w:hAnsiTheme="minorEastAsia" w:eastAsiaTheme="minorEastAsia" w:cstheme="minorEastAsia"/>
          <w:sz w:val="24"/>
        </w:rPr>
        <w:t>其他函证事项包括但不限于：除应收账款外的其他往来款项、其他金融工具、长期股权投资情况、销售发生额、采购发生额、发出商品、诉讼和索赔事项等。实务中，注册会计师也可能因特定事项向股东、税务机关、海关、社保局、公司聘请的律师等部门或个人进行函证。</w:t>
      </w:r>
    </w:p>
    <w:p w14:paraId="6CF980AF">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（一）存在重大错报风险的诉讼或索赔事项</w:t>
      </w:r>
    </w:p>
    <w:p w14:paraId="4B823D19">
      <w:pPr>
        <w:snapToGrid w:val="0"/>
        <w:spacing w:line="360" w:lineRule="auto"/>
        <w:ind w:firstLine="480" w:firstLineChars="200"/>
        <w:rPr>
          <w:rFonts w:asciiTheme="minorEastAsia" w:hAnsiTheme="minorEastAsia" w:cstheme="minorEastAsia"/>
          <w:sz w:val="24"/>
        </w:rPr>
      </w:pPr>
      <w:r>
        <w:rPr>
          <w:rFonts w:hint="eastAsia" w:asciiTheme="minorEastAsia" w:hAnsiTheme="minorEastAsia" w:eastAsiaTheme="minorEastAsia" w:cstheme="minorEastAsia"/>
          <w:sz w:val="24"/>
        </w:rPr>
        <w:t>根据《中国注册会计师审计准则第</w:t>
      </w:r>
      <w:r>
        <w:rPr>
          <w:rFonts w:asciiTheme="minorEastAsia" w:hAnsiTheme="minorEastAsia" w:eastAsiaTheme="minorEastAsia" w:cstheme="minorEastAsia"/>
          <w:sz w:val="24"/>
        </w:rPr>
        <w:t>1311号——对存货、诉讼和索赔、分部信息等特定项目获取审计证据的具体考虑》</w:t>
      </w:r>
      <w:r>
        <w:rPr>
          <w:rFonts w:hint="eastAsia" w:asciiTheme="minorEastAsia" w:hAnsiTheme="minorEastAsia" w:cstheme="minorEastAsia"/>
          <w:sz w:val="24"/>
        </w:rPr>
        <w:t>的</w:t>
      </w:r>
      <w:r>
        <w:rPr>
          <w:rFonts w:asciiTheme="minorEastAsia" w:hAnsiTheme="minorEastAsia" w:eastAsiaTheme="minorEastAsia" w:cstheme="minorEastAsia"/>
          <w:sz w:val="24"/>
        </w:rPr>
        <w:t>规定，如果评估识别出的诉讼或索赔事项存在重大错报风险或者实施的审计程序表明可能存在其他重大诉讼或索赔事项，注册会计师应寻求与被审计单位外部法律顾问直接沟通，并亲自寄发由管</w:t>
      </w:r>
      <w:r>
        <w:rPr>
          <w:rFonts w:hint="eastAsia" w:asciiTheme="minorEastAsia" w:hAnsiTheme="minorEastAsia" w:eastAsiaTheme="minorEastAsia" w:cstheme="minorEastAsia"/>
          <w:sz w:val="24"/>
        </w:rPr>
        <w:t>理层编制的询证函，以获取关于这些或有事项的专业意见和法律评估。若法律法规禁止直接沟通，应实施替代审计程序。</w:t>
      </w:r>
    </w:p>
    <w:p w14:paraId="0A54B2F0">
      <w:pPr>
        <w:snapToGrid w:val="0"/>
        <w:spacing w:line="360" w:lineRule="auto"/>
        <w:ind w:left="0" w:leftChars="0"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（二）重大承诺、保证、抵押或质押事项</w:t>
      </w:r>
    </w:p>
    <w:p w14:paraId="75DEEE91">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当被审计单位存在重大承诺事项，或存在对外提供的保证、抵押、质押等可能影响财务报表的事项，且注册会计师评估为重大错报风险时，应考虑向相关第三方函证，以获取并验证这些信息。</w:t>
      </w:r>
    </w:p>
    <w:p w14:paraId="4528D826">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（三）其他可考虑实施函证的事项</w:t>
      </w:r>
    </w:p>
    <w:p w14:paraId="45CF9CCB">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除上述列举的重要函证事项外，注册会计师还可根据被审计单位的经营环境、内部控制有效性、账户或交易性质等因素，确定其他可考虑实施函证的事项。例如：</w:t>
      </w:r>
    </w:p>
    <w:p w14:paraId="7DB6E8F2">
      <w:pPr>
        <w:numPr>
          <w:ilvl w:val="255"/>
          <w:numId w:val="0"/>
        </w:numPr>
        <w:snapToGrid w:val="0"/>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1.</w:t>
      </w:r>
      <w:r>
        <w:rPr>
          <w:rFonts w:asciiTheme="minorEastAsia" w:hAnsiTheme="minorEastAsia" w:eastAsiaTheme="minorEastAsia" w:cstheme="minorEastAsia"/>
          <w:b/>
          <w:bCs/>
          <w:sz w:val="24"/>
        </w:rPr>
        <w:t>委托贷款</w:t>
      </w:r>
    </w:p>
    <w:p w14:paraId="542B6E35">
      <w:pPr>
        <w:numPr>
          <w:ilvl w:val="255"/>
          <w:numId w:val="0"/>
        </w:num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若注册会计师已获知某项目为委托贷款性质，但被审计单位无法提供委托贷款合同等法律性文件，或注册会计师对该项目存在疑虑或认为有必要时，应实施函证程序，以证实委托贷款的各项要素，包括贷款金额、期限、利率、担保等关键信息。</w:t>
      </w:r>
    </w:p>
    <w:p w14:paraId="296526C6">
      <w:pPr>
        <w:snapToGrid w:val="0"/>
        <w:spacing w:line="360" w:lineRule="auto"/>
        <w:ind w:firstLine="482" w:firstLineChars="200"/>
        <w:rPr>
          <w:rFonts w:asciiTheme="minorEastAsia" w:hAnsiTheme="minorEastAsia" w:cstheme="minorEastAsia"/>
          <w:b/>
          <w:bCs/>
          <w:sz w:val="24"/>
        </w:rPr>
      </w:pPr>
      <w:r>
        <w:rPr>
          <w:rFonts w:asciiTheme="minorEastAsia" w:hAnsiTheme="minorEastAsia" w:eastAsiaTheme="minorEastAsia" w:cstheme="minorEastAsia"/>
          <w:b/>
          <w:bCs/>
          <w:sz w:val="24"/>
        </w:rPr>
        <w:t>2.重大租赁业务</w:t>
      </w:r>
    </w:p>
    <w:p w14:paraId="0F2B5F82">
      <w:pPr>
        <w:snapToGrid w:val="0"/>
        <w:spacing w:line="360" w:lineRule="auto"/>
        <w:ind w:firstLine="480" w:firstLineChars="200"/>
        <w:rPr>
          <w:rFonts w:asciiTheme="minorEastAsia" w:hAnsiTheme="minorEastAsia" w:cstheme="minorEastAsia"/>
          <w:sz w:val="24"/>
        </w:rPr>
      </w:pPr>
      <w:r>
        <w:rPr>
          <w:rFonts w:asciiTheme="minorEastAsia" w:hAnsiTheme="minorEastAsia" w:eastAsiaTheme="minorEastAsia" w:cstheme="minorEastAsia"/>
          <w:sz w:val="24"/>
        </w:rPr>
        <w:t>对于被审计单位存在的重大租赁业务，若注册会计师认为存在重大错报风险，应考虑向租赁相对方发出函证，核实租赁合同的条款、租金支付情况等相关信息，以确保租赁业务的真实性和合规性。</w:t>
      </w:r>
    </w:p>
    <w:p w14:paraId="42A4ABBA">
      <w:pPr>
        <w:snapToGrid w:val="0"/>
        <w:spacing w:line="360" w:lineRule="auto"/>
        <w:ind w:left="0" w:leftChars="0" w:firstLine="482" w:firstLineChars="200"/>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3.往来款项账户余额或其他信息</w:t>
      </w:r>
    </w:p>
    <w:p w14:paraId="58737568">
      <w:pPr>
        <w:snapToGrid w:val="0"/>
        <w:spacing w:line="360" w:lineRule="auto"/>
        <w:ind w:firstLine="480" w:firstLineChars="200"/>
        <w:rPr>
          <w:rFonts w:asciiTheme="minorEastAsia" w:hAnsiTheme="minorEastAsia" w:cstheme="minorEastAsia"/>
          <w:sz w:val="24"/>
        </w:rPr>
      </w:pPr>
      <w:r>
        <w:rPr>
          <w:rFonts w:hint="eastAsia" w:asciiTheme="minorEastAsia" w:hAnsiTheme="minorEastAsia" w:eastAsiaTheme="minorEastAsia" w:cstheme="minorEastAsia"/>
          <w:sz w:val="24"/>
        </w:rPr>
        <w:t>对除应收账款以外的往来款项账户余额，如应收票据、其他应收款、应付账款、合同负债等，进行函证，以验证其真实性和准确性。</w:t>
      </w:r>
    </w:p>
    <w:p w14:paraId="6E32F206">
      <w:pPr>
        <w:snapToGrid w:val="0"/>
        <w:spacing w:line="360" w:lineRule="auto"/>
        <w:ind w:firstLine="482" w:firstLineChars="200"/>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4.重大或异常的交易</w:t>
      </w:r>
    </w:p>
    <w:p w14:paraId="67AC9DA8">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对重大或异常的交易产生怀疑时，向交易相关方核对信息，获取证据。</w:t>
      </w:r>
    </w:p>
    <w:p w14:paraId="54BA93A0">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cstheme="minorEastAsia"/>
          <w:sz w:val="24"/>
        </w:rPr>
        <w:t>（1）</w:t>
      </w:r>
      <w:r>
        <w:rPr>
          <w:rFonts w:hint="eastAsia" w:asciiTheme="minorEastAsia" w:hAnsiTheme="minorEastAsia" w:eastAsiaTheme="minorEastAsia" w:cstheme="minorEastAsia"/>
          <w:sz w:val="24"/>
        </w:rPr>
        <w:t>销售交易函证。在应收账款函证的同时，可对收入的重要内容进行函证，如合同条款、收入实现方式、结算方式及金额等，以验证收入的真实性、完整性和准确性。</w:t>
      </w:r>
    </w:p>
    <w:p w14:paraId="6E317228">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cstheme="minorEastAsia"/>
          <w:sz w:val="24"/>
        </w:rPr>
        <w:t>（2）</w:t>
      </w:r>
      <w:r>
        <w:rPr>
          <w:rFonts w:hint="eastAsia" w:asciiTheme="minorEastAsia" w:hAnsiTheme="minorEastAsia" w:eastAsiaTheme="minorEastAsia" w:cstheme="minorEastAsia"/>
          <w:sz w:val="24"/>
        </w:rPr>
        <w:t>采购交易函证。在存货盘点的基础上，对采购情况、结算及余额进行函证，如选取合适样本的供应商，对其采购合同的主要条款、采购商品的规格及数量等进行函证，以验证采购的真实性、完整性和准确性。</w:t>
      </w:r>
    </w:p>
    <w:p w14:paraId="2BB1251E">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cstheme="minorEastAsia"/>
          <w:sz w:val="24"/>
        </w:rPr>
        <w:t>（3）</w:t>
      </w:r>
      <w:r>
        <w:rPr>
          <w:rFonts w:hint="eastAsia" w:asciiTheme="minorEastAsia" w:hAnsiTheme="minorEastAsia" w:eastAsiaTheme="minorEastAsia" w:cstheme="minorEastAsia"/>
          <w:sz w:val="24"/>
        </w:rPr>
        <w:t>现金交易函证。对于现金交易占比高或被审计期间存在重大风险或舞弊迹象的现金交易，通过函证程序向交易对方了解情况，验证现金交易金额和内容。</w:t>
      </w:r>
    </w:p>
    <w:p w14:paraId="09F3C1DD">
      <w:pPr>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w:t>
      </w:r>
      <w:r>
        <w:rPr>
          <w:rFonts w:hint="eastAsia" w:asciiTheme="minorEastAsia" w:hAnsiTheme="minorEastAsia" w:eastAsiaTheme="minorEastAsia" w:cstheme="minorEastAsia"/>
          <w:sz w:val="24"/>
        </w:rPr>
        <w:t>关联交易。被审计单位与关联方发生的交易性质、金额、定价政策或依据等。</w:t>
      </w:r>
    </w:p>
    <w:p w14:paraId="49651F96">
      <w:pPr>
        <w:snapToGrid w:val="0"/>
        <w:spacing w:line="360" w:lineRule="auto"/>
        <w:ind w:left="0" w:leftChars="0" w:firstLine="482" w:firstLineChars="200"/>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5.特定账户余额或其他信息</w:t>
      </w:r>
    </w:p>
    <w:p w14:paraId="5DB7DD87">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对以公允价值计量的金融资产或金融负债、长短期借款、长期股权投资等特定账户余额进行函证，以验证其真实性和准确性。</w:t>
      </w:r>
    </w:p>
    <w:p w14:paraId="271DD29D">
      <w:pPr>
        <w:numPr>
          <w:ilvl w:val="255"/>
          <w:numId w:val="0"/>
        </w:numPr>
        <w:snapToGrid w:val="0"/>
        <w:spacing w:line="360" w:lineRule="auto"/>
        <w:ind w:firstLine="482" w:firstLineChars="200"/>
        <w:rPr>
          <w:rFonts w:asciiTheme="minorEastAsia" w:hAnsiTheme="minorEastAsia" w:cstheme="minorEastAsia"/>
          <w:b/>
          <w:bCs/>
          <w:sz w:val="24"/>
        </w:rPr>
      </w:pPr>
      <w:r>
        <w:rPr>
          <w:rFonts w:asciiTheme="minorEastAsia" w:hAnsiTheme="minorEastAsia" w:cstheme="minorEastAsia"/>
          <w:b/>
          <w:bCs/>
          <w:sz w:val="24"/>
        </w:rPr>
        <w:t>6.</w:t>
      </w:r>
      <w:r>
        <w:rPr>
          <w:rFonts w:asciiTheme="minorEastAsia" w:hAnsiTheme="minorEastAsia" w:eastAsiaTheme="minorEastAsia" w:cstheme="minorEastAsia"/>
          <w:b/>
          <w:bCs/>
          <w:sz w:val="24"/>
        </w:rPr>
        <w:t>向特定机构函证</w:t>
      </w:r>
    </w:p>
    <w:p w14:paraId="7E31DBC5">
      <w:pPr>
        <w:numPr>
          <w:ilvl w:val="255"/>
          <w:numId w:val="0"/>
        </w:num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因对被审计单位特定信息准确性产生重大疑虑，注册会计师可考虑向股东、税务机关、海关、社保局等部门进行函证，以获取与审计事项相关的官方信息或确认特定事项的真实性，确保审计结论的全面性和准确性。</w:t>
      </w:r>
    </w:p>
    <w:p w14:paraId="6CA2504B">
      <w:pPr>
        <w:snapToGrid w:val="0"/>
        <w:spacing w:before="156" w:beforeLines="50"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三、收集函证基础信息工作底稿</w:t>
      </w:r>
    </w:p>
    <w:p w14:paraId="6BE8BCB0">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银行借款、存款及金融机构往来信息。银行对账单、企业信用报告、《已开立银行结算账户清单》、涉及银行账户情况声明书、借款台账、借款合同、抵押担保合同、理财产品说明书、开户证实书、定期存单、票据备查簿等与银行或金融机构相关安排的协议等。</w:t>
      </w:r>
    </w:p>
    <w:p w14:paraId="65F839C4">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（二）应收账款及其他往来款项。包括合同台账、交易相关单据等资料。</w:t>
      </w:r>
    </w:p>
    <w:p w14:paraId="37D30804">
      <w:pPr>
        <w:snapToGrid w:val="0"/>
        <w:spacing w:line="360" w:lineRule="auto"/>
        <w:ind w:firstLine="480" w:firstLineChars="200"/>
        <w:rPr>
          <w:rFonts w:asciiTheme="minorEastAsia" w:hAnsiTheme="minorEastAsia" w:cstheme="minorEastAsia"/>
          <w:sz w:val="24"/>
        </w:rPr>
      </w:pPr>
      <w:r>
        <w:rPr>
          <w:rFonts w:hint="eastAsia" w:asciiTheme="minorEastAsia" w:hAnsiTheme="minorEastAsia" w:eastAsiaTheme="minorEastAsia" w:cstheme="minorEastAsia"/>
          <w:sz w:val="24"/>
        </w:rPr>
        <w:t>（三）其他可能函证事项的相关资料</w:t>
      </w:r>
      <w:r>
        <w:rPr>
          <w:rFonts w:hint="eastAsia" w:asciiTheme="minorEastAsia" w:hAnsiTheme="minorEastAsia" w:cstheme="minorEastAsia"/>
          <w:sz w:val="24"/>
        </w:rPr>
        <w:t>。</w:t>
      </w:r>
    </w:p>
    <w:p w14:paraId="0A47EE4F">
      <w:pPr>
        <w:snapToGrid w:val="0"/>
        <w:spacing w:line="360" w:lineRule="auto"/>
        <w:ind w:firstLine="480" w:firstLineChars="200"/>
        <w:rPr>
          <w:rFonts w:asciiTheme="minorEastAsia" w:hAnsiTheme="minorEastAsia" w:eastAsiaTheme="minorEastAsia" w:cstheme="minorEastAsia"/>
          <w:sz w:val="24"/>
        </w:rPr>
      </w:pPr>
    </w:p>
    <w:p w14:paraId="5DD6FBD5">
      <w:pPr>
        <w:snapToGrid w:val="0"/>
        <w:spacing w:line="360" w:lineRule="auto"/>
        <w:ind w:firstLine="0" w:firstLineChars="0"/>
        <w:jc w:val="center"/>
        <w:outlineLvl w:val="1"/>
        <w:rPr>
          <w:rFonts w:asciiTheme="minorEastAsia" w:hAnsiTheme="minorEastAsia" w:eastAsiaTheme="minorEastAsia" w:cstheme="minorEastAsia"/>
          <w:b/>
          <w:bCs/>
          <w:sz w:val="24"/>
        </w:rPr>
      </w:pPr>
      <w:bookmarkStart w:id="49" w:name="_Toc3121"/>
      <w:bookmarkStart w:id="50" w:name="_Toc11316"/>
      <w:bookmarkStart w:id="51" w:name="_Toc4021"/>
      <w:r>
        <w:rPr>
          <w:rFonts w:hint="eastAsia" w:asciiTheme="minorEastAsia" w:hAnsiTheme="minorEastAsia" w:eastAsiaTheme="minorEastAsia" w:cstheme="minorEastAsia"/>
          <w:b/>
          <w:bCs/>
          <w:sz w:val="24"/>
        </w:rPr>
        <w:t>第三节</w:t>
      </w:r>
      <w:r>
        <w:rPr>
          <w:rFonts w:hint="eastAsia" w:asciiTheme="minorEastAsia" w:hAnsiTheme="minorEastAsia" w:cstheme="minorEastAsia"/>
          <w:b/>
          <w:bCs/>
          <w:sz w:val="24"/>
        </w:rPr>
        <w:t xml:space="preserve">  </w:t>
      </w:r>
      <w:r>
        <w:rPr>
          <w:rFonts w:hint="eastAsia" w:asciiTheme="minorEastAsia" w:hAnsiTheme="minorEastAsia" w:eastAsiaTheme="minorEastAsia" w:cstheme="minorEastAsia"/>
          <w:b/>
          <w:bCs/>
          <w:sz w:val="24"/>
        </w:rPr>
        <w:t>确定函证项目（样本选择）</w:t>
      </w:r>
      <w:bookmarkEnd w:id="49"/>
      <w:bookmarkEnd w:id="50"/>
      <w:bookmarkEnd w:id="51"/>
    </w:p>
    <w:p w14:paraId="14C49E2B">
      <w:pPr>
        <w:snapToGrid w:val="0"/>
        <w:spacing w:line="360" w:lineRule="auto"/>
        <w:ind w:firstLine="480" w:firstLineChars="200"/>
        <w:rPr>
          <w:rFonts w:asciiTheme="minorEastAsia" w:hAnsiTheme="minorEastAsia" w:cstheme="minorEastAsia"/>
          <w:sz w:val="24"/>
        </w:rPr>
      </w:pPr>
    </w:p>
    <w:p w14:paraId="3D22A63E">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为使函证程序能有效地实施，注册会计师应当确保总体的完整性，并选择恰当的方法以确定样本规模和选取样本项目。</w:t>
      </w:r>
    </w:p>
    <w:p w14:paraId="7D505141">
      <w:pPr>
        <w:snapToGrid w:val="0"/>
        <w:spacing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一、选取函证项目的总体要求</w:t>
      </w:r>
    </w:p>
    <w:p w14:paraId="3897EFBB">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注册会计师应根据被审计单位的具体情况和风险评估结果，合理选择函证项目。选取方法应包括选取全部项目、选取特定项目和审计抽样等。</w:t>
      </w:r>
    </w:p>
    <w:p w14:paraId="6AAE468C">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在使用审计抽样时，应确保样本规模满足审计准则和会计师事务所的质量控制要求。对于未测试的剩余总体，应根据风险评估结果决定是否进一步实施审计程序。</w:t>
      </w:r>
    </w:p>
    <w:p w14:paraId="3E58CED9">
      <w:pPr>
        <w:snapToGrid w:val="0"/>
        <w:spacing w:before="156" w:beforeLines="50"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二、银行存款、借款及与金融机构往来的重要信息</w:t>
      </w:r>
    </w:p>
    <w:p w14:paraId="54EDE50F">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（一）账户目标的选择</w:t>
      </w:r>
    </w:p>
    <w:p w14:paraId="73F43E8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银行账户函证对象的选择通过日记账的记录、已开立银行结算账户清单、对账单和企业信用报告及访谈等综合分析选取。</w:t>
      </w:r>
    </w:p>
    <w:p w14:paraId="75D224C3">
      <w:pPr>
        <w:snapToGrid w:val="0"/>
        <w:spacing w:line="360" w:lineRule="auto"/>
        <w:ind w:firstLine="480"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注册会计师应全面函证所有银行账户信息，除非有充分证据表明某些账户不重要且风险低。选择账户时，应综合考虑账户余额、发生额、开立时间、账户类型等因素，不得仅凭余额小、开立时间短等理由排除函证。对于被审计单位提出的以银行对账单替代函证的要求，注册会计师应解释银行对账单无法替代函证程序的作用。</w:t>
      </w:r>
    </w:p>
    <w:p w14:paraId="6D3DFE90">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（二）特殊账户的处理</w:t>
      </w:r>
    </w:p>
    <w:p w14:paraId="680E3BD1">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于零余额账户、已注销账户、专用账户、境外账户等特殊类型账户，注册会计师应给予特别关注，根据账户性质、交易情况及风险水平决定是否函证。在函证前，可与被审计单位沟通，了解账户具体情况，并适当核实对方身份。如注册会计师实施充分的风险评估程序，直接获取到某银行账户对财务报表不重要且重大错报风险很低的充分证据，进而判断该银行账户可以不实施函证程序，注册会计师需要在审计工作底稿中清楚记录职业判断过程、相关原因理由及已执行的除函证之外的审计程序。</w:t>
      </w:r>
    </w:p>
    <w:p w14:paraId="54B6BB84">
      <w:pPr>
        <w:snapToGrid w:val="0"/>
        <w:spacing w:before="156" w:beforeLines="50"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三、拟实施函证程序的其他交易或账户余额</w:t>
      </w:r>
    </w:p>
    <w:p w14:paraId="27E388BC">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除针对银行存款、借款及与金融机构往来的其他重要信息的函证和针对特定事项的函证外，注册会计师还应根据审计需要，选择其他交易或账户余额进行函证。在选择时，可采用特定项目与审计抽样相结合的方式。</w:t>
      </w:r>
    </w:p>
    <w:p w14:paraId="2F271013">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（一）特定项目的选择</w:t>
      </w:r>
    </w:p>
    <w:p w14:paraId="2BAC476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定项目通常包括金额较大、账龄较长、非预期零余额、已注销的重大账户、预期不会合作的往来账户、交易频繁但期末余额较小的项目、重大关联方交易、重大或异常交易以及可能存在争议或舞弊的交易等。这些项目因其特殊性或风险性，应被纳入函证样本，实施</w:t>
      </w:r>
      <w:r>
        <w:rPr>
          <w:rFonts w:asciiTheme="minorEastAsia" w:hAnsiTheme="minorEastAsia" w:eastAsiaTheme="minorEastAsia" w:cstheme="minorEastAsia"/>
          <w:sz w:val="24"/>
        </w:rPr>
        <w:t xml:space="preserve"> 100% </w:t>
      </w:r>
      <w:r>
        <w:rPr>
          <w:rFonts w:hint="eastAsia" w:asciiTheme="minorEastAsia" w:hAnsiTheme="minorEastAsia" w:eastAsiaTheme="minorEastAsia" w:cstheme="minorEastAsia"/>
          <w:sz w:val="24"/>
        </w:rPr>
        <w:t>函证。</w:t>
      </w:r>
    </w:p>
    <w:p w14:paraId="49788819">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（二）审计抽样</w:t>
      </w:r>
    </w:p>
    <w:p w14:paraId="5CDACC3A">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在确定应实施函证的特定项目后，注册会计师可采用审计抽样方法，在剩余项目中选择代表性项目进行函证。为确保审计抽样的有效性，实务中需结合《中国注册会计师审计准则第</w:t>
      </w:r>
      <w:r>
        <w:rPr>
          <w:rFonts w:asciiTheme="minorEastAsia" w:hAnsiTheme="minorEastAsia" w:eastAsiaTheme="minorEastAsia" w:cstheme="minorEastAsia"/>
          <w:sz w:val="24"/>
        </w:rPr>
        <w:t>1312号——函证》</w:t>
      </w:r>
      <w:r>
        <w:rPr>
          <w:rFonts w:hint="eastAsia" w:asciiTheme="minorEastAsia" w:hAnsiTheme="minorEastAsia" w:cstheme="minorEastAsia"/>
          <w:sz w:val="24"/>
        </w:rPr>
        <w:t>和</w:t>
      </w:r>
      <w:r>
        <w:rPr>
          <w:rFonts w:asciiTheme="minorEastAsia" w:hAnsiTheme="minorEastAsia" w:eastAsiaTheme="minorEastAsia" w:cstheme="minorEastAsia"/>
          <w:sz w:val="24"/>
        </w:rPr>
        <w:t>《中国注册会计师审计准则第1314号——审计抽样》的要求，以及会计师事务所的相关规定，确保程序合规。</w:t>
      </w:r>
    </w:p>
    <w:p w14:paraId="7E328A89">
      <w:pPr>
        <w:snapToGrid w:val="0"/>
        <w:spacing w:line="360" w:lineRule="auto"/>
        <w:ind w:firstLine="482" w:firstLineChars="200"/>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1.抽样方法</w:t>
      </w:r>
    </w:p>
    <w:p w14:paraId="12F39D0A">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cstheme="minorEastAsia"/>
          <w:sz w:val="24"/>
        </w:rPr>
        <w:t>（1）</w:t>
      </w:r>
      <w:r>
        <w:rPr>
          <w:rFonts w:asciiTheme="minorEastAsia" w:hAnsiTheme="minorEastAsia" w:eastAsiaTheme="minorEastAsia" w:cstheme="minorEastAsia"/>
          <w:sz w:val="24"/>
        </w:rPr>
        <w:t>统计抽样。指随机选取样本项目并且运用概率论评价样本结果，包括计量抽样风险的抽样方法。</w:t>
      </w:r>
    </w:p>
    <w:p w14:paraId="35DCB312">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cstheme="minorEastAsia"/>
          <w:sz w:val="24"/>
        </w:rPr>
        <w:t>（2）</w:t>
      </w:r>
      <w:r>
        <w:rPr>
          <w:rFonts w:asciiTheme="minorEastAsia" w:hAnsiTheme="minorEastAsia" w:eastAsiaTheme="minorEastAsia" w:cstheme="minorEastAsia"/>
          <w:sz w:val="24"/>
        </w:rPr>
        <w:t>非统计抽样。不同时具体统计抽样特征的抽样方法为非统计抽样。</w:t>
      </w:r>
    </w:p>
    <w:p w14:paraId="0B7ADD9F">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审计准则没有限制必须采用统计抽样或者非统计抽样。注册会计师可结合经验、技术基础、成本效益原则进行选择。如果注册会计师决定选用统计抽样方法，需要确保同时满足以下两点</w:t>
      </w:r>
      <w:r>
        <w:rPr>
          <w:rFonts w:asciiTheme="minorEastAsia" w:hAnsiTheme="minorEastAsia" w:eastAsiaTheme="minorEastAsia" w:cstheme="minorEastAsia"/>
          <w:sz w:val="24"/>
        </w:rPr>
        <w:t>:</w:t>
      </w:r>
    </w:p>
    <w:p w14:paraId="5427A4C4">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cstheme="minorEastAsia"/>
          <w:sz w:val="24"/>
        </w:rPr>
        <w:t>①</w:t>
      </w:r>
      <w:r>
        <w:rPr>
          <w:rFonts w:hint="eastAsia" w:asciiTheme="minorEastAsia" w:hAnsiTheme="minorEastAsia" w:eastAsiaTheme="minorEastAsia" w:cstheme="minorEastAsia"/>
          <w:sz w:val="24"/>
        </w:rPr>
        <w:t>选取样本时应采用随机选样方法</w:t>
      </w:r>
      <w:r>
        <w:rPr>
          <w:rFonts w:hint="eastAsia" w:asciiTheme="minorEastAsia" w:hAnsiTheme="minorEastAsia" w:cstheme="minorEastAsia"/>
          <w:sz w:val="24"/>
        </w:rPr>
        <w:t>；</w:t>
      </w:r>
    </w:p>
    <w:p w14:paraId="18C99CFE">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cstheme="minorEastAsia"/>
          <w:sz w:val="24"/>
        </w:rPr>
        <w:t>②</w:t>
      </w:r>
      <w:r>
        <w:rPr>
          <w:rFonts w:hint="eastAsia" w:asciiTheme="minorEastAsia" w:hAnsiTheme="minorEastAsia" w:eastAsiaTheme="minorEastAsia" w:cstheme="minorEastAsia"/>
          <w:sz w:val="24"/>
        </w:rPr>
        <w:t>运用概率论评价样本结果、计量抽样风险。</w:t>
      </w:r>
    </w:p>
    <w:p w14:paraId="5CE0546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未同时满足这两点，则属于非统计抽样。需要注意的是非统计抽样虽然不要求用概率论评价或计量抽样风险，但仍然需要将样本推断至总体，根据专业判断评价样本和抽样风险。在使用非统计抽样时，也可采用统计抽样的方法确定样本规模和推算错报。</w:t>
      </w:r>
    </w:p>
    <w:p w14:paraId="7A06F7BC">
      <w:pPr>
        <w:snapToGrid w:val="0"/>
        <w:spacing w:line="360" w:lineRule="auto"/>
        <w:ind w:firstLine="482" w:firstLineChars="200"/>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2.抽样步骤</w:t>
      </w:r>
    </w:p>
    <w:p w14:paraId="07E44B5E">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1）定义总体和抽样单元</w:t>
      </w:r>
    </w:p>
    <w:p w14:paraId="37C198C0">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在确定函证抽样总体时，对特定项目因其特殊性或风险性，实施</w:t>
      </w:r>
      <w:r>
        <w:rPr>
          <w:rFonts w:asciiTheme="minorEastAsia" w:hAnsiTheme="minorEastAsia" w:eastAsiaTheme="minorEastAsia" w:cstheme="minorEastAsia"/>
          <w:sz w:val="24"/>
        </w:rPr>
        <w:t>100%</w:t>
      </w:r>
      <w:r>
        <w:rPr>
          <w:rFonts w:hint="eastAsia" w:asciiTheme="minorEastAsia" w:hAnsiTheme="minorEastAsia" w:eastAsiaTheme="minorEastAsia" w:cstheme="minorEastAsia"/>
          <w:sz w:val="24"/>
        </w:rPr>
        <w:t>函证，注册会计师可以从总体剔除特定项目以及极不重要项目</w:t>
      </w:r>
      <w:r>
        <w:rPr>
          <w:rFonts w:asciiTheme="minorEastAsia" w:hAnsiTheme="minorEastAsia" w:eastAsiaTheme="minorEastAsia" w:cstheme="minorEastAsia"/>
          <w:sz w:val="24"/>
        </w:rPr>
        <w:t>(</w:t>
      </w:r>
      <w:bookmarkStart w:id="52" w:name="OLE_LINK1"/>
      <w:r>
        <w:rPr>
          <w:rFonts w:hint="eastAsia" w:asciiTheme="minorEastAsia" w:hAnsiTheme="minorEastAsia" w:eastAsiaTheme="minorEastAsia" w:cstheme="minorEastAsia"/>
          <w:sz w:val="24"/>
        </w:rPr>
        <w:t>通常</w:t>
      </w:r>
      <w:bookmarkEnd w:id="52"/>
      <w:r>
        <w:rPr>
          <w:rFonts w:hint="eastAsia" w:asciiTheme="minorEastAsia" w:hAnsiTheme="minorEastAsia" w:eastAsiaTheme="minorEastAsia" w:cstheme="minorEastAsia"/>
          <w:sz w:val="24"/>
        </w:rPr>
        <w:t>等于或小于重要性水平的明显微小错报临界值</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，对剩余总体进行抽样。</w:t>
      </w:r>
    </w:p>
    <w:p w14:paraId="5FA78B47">
      <w:pPr>
        <w:snapToGrid w:val="0"/>
        <w:spacing w:after="156" w:afterLines="50" w:line="360" w:lineRule="auto"/>
        <w:ind w:firstLine="480" w:firstLineChars="200"/>
        <w:rPr>
          <w:rFonts w:asciiTheme="minorEastAsia" w:hAnsiTheme="minorEastAsia" w:cstheme="minorEastAsia"/>
          <w:sz w:val="24"/>
        </w:rPr>
      </w:pPr>
      <w:r>
        <w:rPr>
          <w:rFonts w:hint="eastAsia" w:asciiTheme="minorEastAsia" w:hAnsiTheme="minorEastAsia" w:eastAsiaTheme="minorEastAsia" w:cstheme="minorEastAsia"/>
          <w:sz w:val="24"/>
        </w:rPr>
        <w:t>例如：注册会计师对某公司审计时，截至</w:t>
      </w:r>
      <w:r>
        <w:rPr>
          <w:rFonts w:asciiTheme="minorEastAsia" w:hAnsiTheme="minorEastAsia" w:eastAsiaTheme="minorEastAsia" w:cstheme="minorEastAsia"/>
          <w:sz w:val="24"/>
        </w:rPr>
        <w:t>202X年12</w:t>
      </w:r>
      <w:r>
        <w:rPr>
          <w:rFonts w:hint="eastAsia" w:asciiTheme="minorEastAsia" w:hAnsiTheme="minorEastAsia" w:eastAsiaTheme="minorEastAsia" w:cstheme="minorEastAsia"/>
          <w:sz w:val="24"/>
        </w:rPr>
        <w:t>月</w:t>
      </w:r>
      <w:r>
        <w:rPr>
          <w:rFonts w:asciiTheme="minorEastAsia" w:hAnsiTheme="minorEastAsia" w:eastAsiaTheme="minorEastAsia" w:cstheme="minorEastAsia"/>
          <w:sz w:val="24"/>
        </w:rPr>
        <w:t>31日剔除贷方余额账户和零余额账户应收账款共有明细账户1500个，合计金额20000</w:t>
      </w:r>
      <w:r>
        <w:rPr>
          <w:rFonts w:hint="eastAsia" w:asciiTheme="minorEastAsia" w:hAnsiTheme="minorEastAsia" w:eastAsiaTheme="minorEastAsia" w:cstheme="minorEastAsia"/>
          <w:sz w:val="24"/>
        </w:rPr>
        <w:t>万元。其中，对账面金额在</w:t>
      </w:r>
      <w:r>
        <w:rPr>
          <w:rFonts w:asciiTheme="minorEastAsia" w:hAnsiTheme="minorEastAsia" w:eastAsiaTheme="minorEastAsia" w:cstheme="minorEastAsia"/>
          <w:sz w:val="24"/>
        </w:rPr>
        <w:t>100</w:t>
      </w:r>
      <w:r>
        <w:rPr>
          <w:rFonts w:hint="eastAsia" w:asciiTheme="minorEastAsia" w:hAnsiTheme="minorEastAsia" w:eastAsiaTheme="minorEastAsia" w:cstheme="minorEastAsia"/>
          <w:sz w:val="24"/>
        </w:rPr>
        <w:t>万元</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实际执行重要性水平为</w:t>
      </w:r>
      <w:r>
        <w:rPr>
          <w:rFonts w:asciiTheme="minorEastAsia" w:hAnsiTheme="minorEastAsia" w:eastAsiaTheme="minorEastAsia" w:cstheme="minorEastAsia"/>
          <w:sz w:val="24"/>
        </w:rPr>
        <w:t>100</w:t>
      </w:r>
      <w:r>
        <w:rPr>
          <w:rFonts w:hint="eastAsia" w:asciiTheme="minorEastAsia" w:hAnsiTheme="minorEastAsia" w:eastAsiaTheme="minorEastAsia" w:cstheme="minorEastAsia"/>
          <w:sz w:val="24"/>
        </w:rPr>
        <w:t>万</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以上的重大应收账款全部函证</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对账面金额在</w:t>
      </w:r>
      <w:r>
        <w:rPr>
          <w:rFonts w:asciiTheme="minorEastAsia" w:hAnsiTheme="minorEastAsia" w:eastAsiaTheme="minorEastAsia" w:cstheme="minorEastAsia"/>
          <w:sz w:val="24"/>
        </w:rPr>
        <w:t>5万元以下的极不重要应收账款不实施函证程序;</w:t>
      </w:r>
      <w:r>
        <w:rPr>
          <w:rFonts w:hint="eastAsia" w:asciiTheme="minorEastAsia" w:hAnsiTheme="minorEastAsia" w:eastAsiaTheme="minorEastAsia" w:cstheme="minorEastAsia"/>
          <w:sz w:val="24"/>
        </w:rPr>
        <w:t>对剔除</w:t>
      </w:r>
      <w:r>
        <w:rPr>
          <w:rFonts w:hint="eastAsia" w:asciiTheme="minorEastAsia" w:hAnsiTheme="minorEastAsia" w:eastAsiaTheme="minorEastAsia" w:cstheme="minorEastAsia"/>
          <w:sz w:val="24"/>
        </w:rPr>
        <w:t>单</w:t>
      </w:r>
      <w:r>
        <w:rPr>
          <w:rFonts w:hint="eastAsia" w:asciiTheme="minorEastAsia" w:hAnsiTheme="minorEastAsia" w:eastAsiaTheme="minorEastAsia" w:cstheme="minorEastAsia"/>
          <w:color w:val="auto"/>
          <w:sz w:val="24"/>
        </w:rPr>
        <w:t>项</w:t>
      </w:r>
      <w:r>
        <w:rPr>
          <w:rFonts w:hint="eastAsia" w:asciiTheme="minorEastAsia" w:hAnsiTheme="minorEastAsia" w:eastAsiaTheme="minorEastAsia" w:cstheme="minorEastAsia"/>
          <w:sz w:val="24"/>
        </w:rPr>
        <w:t>重大项目和极不重要项目之后的应收账款余额进行审计抽样。底稿示例如下：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1647"/>
        <w:gridCol w:w="1740"/>
        <w:gridCol w:w="3239"/>
      </w:tblGrid>
      <w:tr w14:paraId="2490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208" w:type="dxa"/>
            <w:vAlign w:val="center"/>
          </w:tcPr>
          <w:p w14:paraId="1AF9AEC0">
            <w:pPr>
              <w:widowControl/>
              <w:snapToGrid w:val="0"/>
              <w:spacing w:line="340" w:lineRule="exact"/>
              <w:jc w:val="center"/>
              <w:rPr>
                <w:rFonts w:asciiTheme="minorEastAsia" w:hAnsiTheme="minorEastAsia" w:cstheme="minorEastAsia"/>
                <w:b/>
                <w:bCs/>
                <w:sz w:val="21"/>
                <w:szCs w:val="21"/>
              </w:rPr>
            </w:pPr>
            <w:r>
              <w:rPr>
                <w:rFonts w:hint="eastAsia" w:asciiTheme="minorEastAsia" w:hAnsiTheme="minorEastAsia" w:cstheme="minorEastAsia"/>
                <w:b/>
                <w:bCs/>
                <w:kern w:val="0"/>
                <w:szCs w:val="21"/>
              </w:rPr>
              <w:t>项</w:t>
            </w:r>
            <w:r>
              <w:rPr>
                <w:rFonts w:asciiTheme="minorEastAsia" w:hAnsiTheme="minorEastAsia" w:cstheme="minorEastAsia"/>
                <w:b/>
                <w:bCs/>
                <w:kern w:val="0"/>
                <w:szCs w:val="21"/>
              </w:rPr>
              <w:t xml:space="preserve"> </w:t>
            </w:r>
            <w:r>
              <w:rPr>
                <w:rFonts w:hint="eastAsia" w:asciiTheme="minorEastAsia" w:hAnsiTheme="minorEastAsia" w:cstheme="minorEastAsia"/>
                <w:b/>
                <w:bCs/>
                <w:kern w:val="0"/>
                <w:szCs w:val="21"/>
              </w:rPr>
              <w:t>目</w:t>
            </w:r>
          </w:p>
        </w:tc>
        <w:tc>
          <w:tcPr>
            <w:tcW w:w="1647" w:type="dxa"/>
            <w:vAlign w:val="center"/>
          </w:tcPr>
          <w:p w14:paraId="189D07B3">
            <w:pPr>
              <w:widowControl/>
              <w:snapToGrid w:val="0"/>
              <w:spacing w:line="340" w:lineRule="exact"/>
              <w:jc w:val="center"/>
              <w:rPr>
                <w:rFonts w:asciiTheme="minorEastAsia" w:hAnsiTheme="minorEastAsia" w:cstheme="minorEastAsia"/>
                <w:b/>
                <w:bCs/>
                <w:sz w:val="21"/>
                <w:szCs w:val="21"/>
              </w:rPr>
            </w:pPr>
            <w:r>
              <w:rPr>
                <w:rFonts w:hint="eastAsia" w:asciiTheme="minorEastAsia" w:hAnsiTheme="minorEastAsia" w:cstheme="minorEastAsia"/>
                <w:b/>
                <w:bCs/>
                <w:kern w:val="0"/>
                <w:szCs w:val="21"/>
              </w:rPr>
              <w:t>金额（万元）</w:t>
            </w:r>
          </w:p>
        </w:tc>
        <w:tc>
          <w:tcPr>
            <w:tcW w:w="1740" w:type="dxa"/>
            <w:vAlign w:val="center"/>
          </w:tcPr>
          <w:p w14:paraId="2621A9BD">
            <w:pPr>
              <w:widowControl/>
              <w:snapToGrid w:val="0"/>
              <w:spacing w:line="340" w:lineRule="exact"/>
              <w:jc w:val="center"/>
              <w:rPr>
                <w:rFonts w:asciiTheme="minorEastAsia" w:hAnsiTheme="minorEastAsia" w:cstheme="minorEastAsia"/>
                <w:b/>
                <w:bCs/>
                <w:sz w:val="21"/>
                <w:szCs w:val="21"/>
              </w:rPr>
            </w:pPr>
            <w:r>
              <w:rPr>
                <w:rFonts w:hint="eastAsia" w:asciiTheme="minorEastAsia" w:hAnsiTheme="minorEastAsia" w:cstheme="minorEastAsia"/>
                <w:b/>
                <w:bCs/>
                <w:kern w:val="0"/>
                <w:szCs w:val="21"/>
              </w:rPr>
              <w:t>项目数量（个）</w:t>
            </w:r>
          </w:p>
        </w:tc>
        <w:tc>
          <w:tcPr>
            <w:tcW w:w="3239" w:type="dxa"/>
          </w:tcPr>
          <w:p w14:paraId="450BF9B9">
            <w:pPr>
              <w:snapToGrid w:val="0"/>
              <w:spacing w:line="340" w:lineRule="exact"/>
              <w:jc w:val="center"/>
              <w:rPr>
                <w:rFonts w:asciiTheme="minorEastAsia" w:hAnsiTheme="minorEastAsia" w:cstheme="minorEastAsia"/>
                <w:b/>
                <w:bCs/>
                <w:sz w:val="21"/>
                <w:szCs w:val="21"/>
              </w:rPr>
            </w:pPr>
            <w:r>
              <w:rPr>
                <w:rFonts w:hint="eastAsia" w:asciiTheme="minorEastAsia" w:hAnsiTheme="minorEastAsia" w:cstheme="minorEastAsia"/>
                <w:b/>
                <w:bCs/>
                <w:kern w:val="0"/>
                <w:szCs w:val="21"/>
              </w:rPr>
              <w:t>备</w:t>
            </w:r>
            <w:r>
              <w:rPr>
                <w:rFonts w:asciiTheme="minorEastAsia" w:hAnsiTheme="minorEastAsia" w:cstheme="minorEastAsia"/>
                <w:b/>
                <w:bCs/>
                <w:kern w:val="0"/>
                <w:szCs w:val="21"/>
              </w:rPr>
              <w:t xml:space="preserve">  </w:t>
            </w:r>
            <w:r>
              <w:rPr>
                <w:rFonts w:hint="eastAsia" w:asciiTheme="minorEastAsia" w:hAnsiTheme="minorEastAsia" w:cstheme="minorEastAsia"/>
                <w:b/>
                <w:bCs/>
                <w:kern w:val="0"/>
                <w:szCs w:val="21"/>
              </w:rPr>
              <w:t>注</w:t>
            </w:r>
          </w:p>
        </w:tc>
      </w:tr>
      <w:tr w14:paraId="71B8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8" w:type="dxa"/>
            <w:vAlign w:val="center"/>
          </w:tcPr>
          <w:p w14:paraId="31108CCA">
            <w:pPr>
              <w:widowControl/>
              <w:snapToGrid w:val="0"/>
              <w:spacing w:line="340" w:lineRule="exact"/>
              <w:jc w:val="left"/>
              <w:rPr>
                <w:rFonts w:asciiTheme="minorEastAsia" w:hAnsiTheme="minorEastAsia" w:cstheme="minorEastAsia"/>
                <w:sz w:val="21"/>
                <w:szCs w:val="21"/>
              </w:rPr>
            </w:pPr>
            <w:r>
              <w:rPr>
                <w:rFonts w:hint="eastAsia" w:asciiTheme="minorEastAsia" w:hAnsiTheme="minorEastAsia" w:cstheme="minorEastAsia"/>
                <w:kern w:val="0"/>
                <w:szCs w:val="21"/>
              </w:rPr>
              <w:t>总体（扣除特定项目前）</w:t>
            </w:r>
          </w:p>
        </w:tc>
        <w:tc>
          <w:tcPr>
            <w:tcW w:w="1647" w:type="dxa"/>
            <w:vAlign w:val="center"/>
          </w:tcPr>
          <w:p w14:paraId="5C746418">
            <w:pPr>
              <w:widowControl/>
              <w:snapToGrid w:val="0"/>
              <w:spacing w:line="340" w:lineRule="exact"/>
              <w:ind w:right="0" w:rightChars="0"/>
              <w:jc w:val="center"/>
              <w:rPr>
                <w:rFonts w:asciiTheme="minorEastAsia" w:hAnsiTheme="minorEastAsia" w:cstheme="minorEastAsia"/>
                <w:sz w:val="21"/>
                <w:szCs w:val="21"/>
              </w:rPr>
            </w:pPr>
            <w:r>
              <w:rPr>
                <w:rFonts w:hint="eastAsia" w:asciiTheme="minorEastAsia" w:hAnsiTheme="minorEastAsia" w:cstheme="minorEastAsia"/>
                <w:szCs w:val="21"/>
              </w:rPr>
              <w:t>20,000.00</w:t>
            </w:r>
          </w:p>
        </w:tc>
        <w:tc>
          <w:tcPr>
            <w:tcW w:w="1740" w:type="dxa"/>
            <w:vAlign w:val="center"/>
          </w:tcPr>
          <w:p w14:paraId="1325CC69">
            <w:pPr>
              <w:widowControl/>
              <w:snapToGrid w:val="0"/>
              <w:spacing w:line="340" w:lineRule="exact"/>
              <w:ind w:right="0" w:rightChars="0"/>
              <w:jc w:val="center"/>
              <w:rPr>
                <w:rFonts w:asciiTheme="minorEastAsia" w:hAnsiTheme="minorEastAsia" w:cstheme="minorEastAsia"/>
                <w:sz w:val="21"/>
                <w:szCs w:val="21"/>
              </w:rPr>
            </w:pPr>
            <w:r>
              <w:rPr>
                <w:rFonts w:hint="eastAsia" w:asciiTheme="minorEastAsia" w:hAnsiTheme="minorEastAsia" w:cstheme="minorEastAsia"/>
                <w:szCs w:val="21"/>
              </w:rPr>
              <w:t>1,500</w:t>
            </w:r>
          </w:p>
        </w:tc>
        <w:tc>
          <w:tcPr>
            <w:tcW w:w="3239" w:type="dxa"/>
          </w:tcPr>
          <w:p w14:paraId="11BF2C67">
            <w:pPr>
              <w:snapToGrid w:val="0"/>
              <w:spacing w:line="340" w:lineRule="exact"/>
              <w:rPr>
                <w:rFonts w:asciiTheme="minorEastAsia" w:hAnsiTheme="minorEastAsia" w:cstheme="minorEastAsia"/>
                <w:sz w:val="21"/>
                <w:szCs w:val="21"/>
              </w:rPr>
            </w:pPr>
            <w:r>
              <w:rPr>
                <w:rFonts w:hint="eastAsia" w:asciiTheme="minorEastAsia" w:hAnsiTheme="minorEastAsia" w:cstheme="minorEastAsia"/>
                <w:kern w:val="0"/>
                <w:szCs w:val="21"/>
              </w:rPr>
              <w:t>截至202X年12月31日的应收账款的账面金额、客户数量</w:t>
            </w:r>
          </w:p>
        </w:tc>
      </w:tr>
      <w:tr w14:paraId="4CD2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8" w:type="dxa"/>
            <w:vAlign w:val="center"/>
          </w:tcPr>
          <w:p w14:paraId="223902D7">
            <w:pPr>
              <w:widowControl/>
              <w:snapToGrid w:val="0"/>
              <w:spacing w:line="340" w:lineRule="exact"/>
              <w:jc w:val="left"/>
              <w:rPr>
                <w:rFonts w:asciiTheme="minorEastAsia" w:hAnsiTheme="minorEastAsia" w:cstheme="minorEastAsia"/>
                <w:sz w:val="21"/>
                <w:szCs w:val="21"/>
              </w:rPr>
            </w:pPr>
            <w:r>
              <w:rPr>
                <w:rFonts w:hint="eastAsia" w:asciiTheme="minorEastAsia" w:hAnsiTheme="minorEastAsia" w:cstheme="minorEastAsia"/>
                <w:kern w:val="0"/>
                <w:szCs w:val="21"/>
              </w:rPr>
              <w:t>减：总体中金额重大的项目</w:t>
            </w:r>
          </w:p>
        </w:tc>
        <w:tc>
          <w:tcPr>
            <w:tcW w:w="1647" w:type="dxa"/>
            <w:vAlign w:val="center"/>
          </w:tcPr>
          <w:p w14:paraId="3F551730">
            <w:pPr>
              <w:widowControl/>
              <w:snapToGrid w:val="0"/>
              <w:spacing w:line="340" w:lineRule="exact"/>
              <w:ind w:right="0" w:rightChars="0"/>
              <w:jc w:val="center"/>
              <w:rPr>
                <w:rFonts w:asciiTheme="minorEastAsia" w:hAnsiTheme="minorEastAsia" w:cstheme="minorEastAsia"/>
                <w:sz w:val="21"/>
                <w:szCs w:val="21"/>
              </w:rPr>
            </w:pPr>
            <w:r>
              <w:rPr>
                <w:rFonts w:hint="eastAsia" w:asciiTheme="minorEastAsia" w:hAnsiTheme="minorEastAsia" w:cstheme="minorEastAsia"/>
                <w:szCs w:val="21"/>
              </w:rPr>
              <w:t>3,000.00</w:t>
            </w:r>
          </w:p>
        </w:tc>
        <w:tc>
          <w:tcPr>
            <w:tcW w:w="1740" w:type="dxa"/>
            <w:vAlign w:val="center"/>
          </w:tcPr>
          <w:p w14:paraId="57B701E1">
            <w:pPr>
              <w:widowControl/>
              <w:snapToGrid w:val="0"/>
              <w:spacing w:line="340" w:lineRule="exact"/>
              <w:ind w:right="0" w:rightChars="0"/>
              <w:jc w:val="center"/>
              <w:rPr>
                <w:rFonts w:asciiTheme="minorEastAsia" w:hAnsiTheme="minorEastAsia" w:cstheme="minorEastAsia"/>
                <w:sz w:val="21"/>
                <w:szCs w:val="21"/>
              </w:rPr>
            </w:pPr>
            <w:r>
              <w:rPr>
                <w:rFonts w:hint="eastAsia" w:asciiTheme="minorEastAsia" w:hAnsiTheme="minorEastAsia" w:cstheme="minorEastAsia"/>
                <w:szCs w:val="21"/>
              </w:rPr>
              <w:t>20</w:t>
            </w:r>
          </w:p>
        </w:tc>
        <w:tc>
          <w:tcPr>
            <w:tcW w:w="3239" w:type="dxa"/>
          </w:tcPr>
          <w:p w14:paraId="4D18C4E5">
            <w:pPr>
              <w:snapToGrid w:val="0"/>
              <w:spacing w:line="340" w:lineRule="exact"/>
              <w:rPr>
                <w:rFonts w:asciiTheme="minorEastAsia" w:hAnsiTheme="minorEastAsia" w:cstheme="minorEastAsia"/>
                <w:sz w:val="21"/>
                <w:szCs w:val="21"/>
              </w:rPr>
            </w:pPr>
            <w:r>
              <w:rPr>
                <w:rFonts w:hint="eastAsia" w:asciiTheme="minorEastAsia" w:hAnsiTheme="minorEastAsia" w:cstheme="minorEastAsia"/>
                <w:kern w:val="0"/>
                <w:szCs w:val="21"/>
              </w:rPr>
              <w:t>判断标准：单项金额≧100万元，超过可容忍错报</w:t>
            </w:r>
          </w:p>
        </w:tc>
      </w:tr>
      <w:tr w14:paraId="3F81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8" w:type="dxa"/>
            <w:vAlign w:val="center"/>
          </w:tcPr>
          <w:p w14:paraId="4A01A4A5">
            <w:pPr>
              <w:widowControl/>
              <w:snapToGrid w:val="0"/>
              <w:spacing w:line="340" w:lineRule="exact"/>
              <w:jc w:val="left"/>
              <w:rPr>
                <w:rFonts w:asciiTheme="minorEastAsia" w:hAnsiTheme="minorEastAsia" w:cstheme="minorEastAsia"/>
                <w:sz w:val="21"/>
                <w:szCs w:val="21"/>
              </w:rPr>
            </w:pPr>
            <w:r>
              <w:rPr>
                <w:rFonts w:hint="eastAsia" w:asciiTheme="minorEastAsia" w:hAnsiTheme="minorEastAsia" w:cstheme="minorEastAsia"/>
                <w:kern w:val="0"/>
                <w:szCs w:val="21"/>
              </w:rPr>
              <w:t>总体中性质特殊的重大项目</w:t>
            </w:r>
          </w:p>
        </w:tc>
        <w:tc>
          <w:tcPr>
            <w:tcW w:w="1647" w:type="dxa"/>
            <w:vAlign w:val="center"/>
          </w:tcPr>
          <w:p w14:paraId="7F02D270">
            <w:pPr>
              <w:widowControl/>
              <w:snapToGrid w:val="0"/>
              <w:spacing w:line="340" w:lineRule="exact"/>
              <w:ind w:right="0" w:rightChars="0"/>
              <w:jc w:val="center"/>
              <w:rPr>
                <w:rFonts w:asciiTheme="minorEastAsia" w:hAnsiTheme="minorEastAsia" w:cstheme="minorEastAsia"/>
                <w:sz w:val="21"/>
                <w:szCs w:val="21"/>
              </w:rPr>
            </w:pPr>
            <w:r>
              <w:rPr>
                <w:rFonts w:hint="eastAsia" w:asciiTheme="minorEastAsia" w:hAnsiTheme="minorEastAsia" w:cstheme="minorEastAsia"/>
                <w:szCs w:val="21"/>
              </w:rPr>
              <w:t>50.00</w:t>
            </w:r>
          </w:p>
        </w:tc>
        <w:tc>
          <w:tcPr>
            <w:tcW w:w="1740" w:type="dxa"/>
            <w:vAlign w:val="center"/>
          </w:tcPr>
          <w:p w14:paraId="21C85CC5">
            <w:pPr>
              <w:widowControl/>
              <w:snapToGrid w:val="0"/>
              <w:spacing w:line="340" w:lineRule="exact"/>
              <w:ind w:right="0" w:rightChars="0"/>
              <w:jc w:val="center"/>
              <w:rPr>
                <w:rFonts w:asciiTheme="minorEastAsia" w:hAnsiTheme="minorEastAsia" w:cstheme="minorEastAsia"/>
                <w:sz w:val="21"/>
                <w:szCs w:val="21"/>
              </w:rPr>
            </w:pPr>
            <w:r>
              <w:rPr>
                <w:rFonts w:hint="eastAsia" w:asciiTheme="minorEastAsia" w:hAnsiTheme="minorEastAsia" w:cstheme="minorEastAsia"/>
                <w:szCs w:val="21"/>
              </w:rPr>
              <w:t>2</w:t>
            </w:r>
          </w:p>
        </w:tc>
        <w:tc>
          <w:tcPr>
            <w:tcW w:w="3239" w:type="dxa"/>
          </w:tcPr>
          <w:p w14:paraId="66442EE8">
            <w:pPr>
              <w:snapToGrid w:val="0"/>
              <w:spacing w:line="340" w:lineRule="exact"/>
              <w:rPr>
                <w:rFonts w:asciiTheme="minorEastAsia" w:hAnsiTheme="minorEastAsia" w:cstheme="minorEastAsia"/>
                <w:sz w:val="21"/>
                <w:szCs w:val="21"/>
              </w:rPr>
            </w:pPr>
            <w:r>
              <w:rPr>
                <w:rFonts w:hint="eastAsia" w:asciiTheme="minorEastAsia" w:hAnsiTheme="minorEastAsia" w:cstheme="minorEastAsia"/>
                <w:kern w:val="0"/>
                <w:szCs w:val="21"/>
              </w:rPr>
              <w:t>判断标准：重大关联方交易、交易频繁但期末余额较小</w:t>
            </w:r>
          </w:p>
        </w:tc>
      </w:tr>
      <w:tr w14:paraId="26DA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8" w:type="dxa"/>
            <w:vAlign w:val="center"/>
          </w:tcPr>
          <w:p w14:paraId="10307544">
            <w:pPr>
              <w:widowControl/>
              <w:snapToGrid w:val="0"/>
              <w:spacing w:line="340" w:lineRule="exact"/>
              <w:jc w:val="left"/>
              <w:rPr>
                <w:rFonts w:asciiTheme="minorEastAsia" w:hAnsiTheme="minorEastAsia" w:cstheme="minorEastAsia"/>
                <w:sz w:val="21"/>
                <w:szCs w:val="21"/>
              </w:rPr>
            </w:pPr>
            <w:r>
              <w:rPr>
                <w:rFonts w:hint="eastAsia" w:asciiTheme="minorEastAsia" w:hAnsiTheme="minorEastAsia" w:cstheme="minorEastAsia"/>
                <w:kern w:val="0"/>
                <w:szCs w:val="21"/>
              </w:rPr>
              <w:t>总体中极不重要项目</w:t>
            </w:r>
          </w:p>
        </w:tc>
        <w:tc>
          <w:tcPr>
            <w:tcW w:w="1647" w:type="dxa"/>
            <w:vAlign w:val="center"/>
          </w:tcPr>
          <w:p w14:paraId="4F4C1BBC">
            <w:pPr>
              <w:widowControl/>
              <w:snapToGrid w:val="0"/>
              <w:spacing w:line="340" w:lineRule="exact"/>
              <w:ind w:right="0" w:rightChars="0"/>
              <w:jc w:val="center"/>
              <w:rPr>
                <w:rFonts w:asciiTheme="minorEastAsia" w:hAnsiTheme="minorEastAsia" w:cstheme="minorEastAsia"/>
                <w:sz w:val="21"/>
                <w:szCs w:val="21"/>
              </w:rPr>
            </w:pPr>
            <w:r>
              <w:rPr>
                <w:rFonts w:hint="eastAsia" w:asciiTheme="minorEastAsia" w:hAnsiTheme="minorEastAsia" w:cstheme="minorEastAsia"/>
                <w:szCs w:val="21"/>
              </w:rPr>
              <w:t>500.00</w:t>
            </w:r>
          </w:p>
        </w:tc>
        <w:tc>
          <w:tcPr>
            <w:tcW w:w="1740" w:type="dxa"/>
            <w:vAlign w:val="center"/>
          </w:tcPr>
          <w:p w14:paraId="12314726">
            <w:pPr>
              <w:widowControl/>
              <w:snapToGrid w:val="0"/>
              <w:spacing w:line="340" w:lineRule="exact"/>
              <w:ind w:right="0" w:rightChars="0"/>
              <w:jc w:val="center"/>
              <w:rPr>
                <w:rFonts w:asciiTheme="minorEastAsia" w:hAnsiTheme="minorEastAsia" w:cstheme="minorEastAsia"/>
                <w:sz w:val="21"/>
                <w:szCs w:val="21"/>
              </w:rPr>
            </w:pPr>
            <w:r>
              <w:rPr>
                <w:rFonts w:hint="eastAsia" w:asciiTheme="minorEastAsia" w:hAnsiTheme="minorEastAsia" w:cstheme="minorEastAsia"/>
                <w:szCs w:val="21"/>
              </w:rPr>
              <w:t>178</w:t>
            </w:r>
          </w:p>
        </w:tc>
        <w:tc>
          <w:tcPr>
            <w:tcW w:w="3239" w:type="dxa"/>
          </w:tcPr>
          <w:p w14:paraId="29A55BDA">
            <w:pPr>
              <w:snapToGrid w:val="0"/>
              <w:spacing w:line="340" w:lineRule="exact"/>
              <w:rPr>
                <w:rFonts w:asciiTheme="minorEastAsia" w:hAnsiTheme="minorEastAsia" w:cstheme="minorEastAsia"/>
                <w:sz w:val="21"/>
                <w:szCs w:val="21"/>
              </w:rPr>
            </w:pPr>
            <w:r>
              <w:rPr>
                <w:rFonts w:hint="eastAsia" w:asciiTheme="minorEastAsia" w:hAnsiTheme="minorEastAsia" w:cstheme="minorEastAsia"/>
                <w:kern w:val="0"/>
                <w:szCs w:val="21"/>
              </w:rPr>
              <w:t>判断标准：单项金额&lt;5万元，低于明显微小错报临界值</w:t>
            </w:r>
          </w:p>
        </w:tc>
      </w:tr>
      <w:tr w14:paraId="022F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8" w:type="dxa"/>
            <w:vAlign w:val="center"/>
          </w:tcPr>
          <w:p w14:paraId="713C98D8">
            <w:pPr>
              <w:widowControl/>
              <w:snapToGrid w:val="0"/>
              <w:spacing w:line="340" w:lineRule="exact"/>
              <w:jc w:val="left"/>
              <w:rPr>
                <w:rFonts w:asciiTheme="minorEastAsia" w:hAnsiTheme="minorEastAsia" w:cstheme="minorEastAsia"/>
                <w:sz w:val="21"/>
                <w:szCs w:val="21"/>
              </w:rPr>
            </w:pPr>
            <w:r>
              <w:rPr>
                <w:rFonts w:hint="eastAsia" w:asciiTheme="minorEastAsia" w:hAnsiTheme="minorEastAsia" w:cstheme="minorEastAsia"/>
                <w:kern w:val="0"/>
                <w:szCs w:val="21"/>
              </w:rPr>
              <w:t>待抽样的测试总体（扣除特定项目后）</w:t>
            </w:r>
          </w:p>
        </w:tc>
        <w:tc>
          <w:tcPr>
            <w:tcW w:w="1647" w:type="dxa"/>
            <w:vAlign w:val="center"/>
          </w:tcPr>
          <w:p w14:paraId="1E11856C">
            <w:pPr>
              <w:widowControl/>
              <w:snapToGrid w:val="0"/>
              <w:spacing w:line="340" w:lineRule="exact"/>
              <w:ind w:right="0" w:rightChars="0"/>
              <w:jc w:val="center"/>
              <w:rPr>
                <w:rFonts w:asciiTheme="minorEastAsia" w:hAnsiTheme="minorEastAsia" w:cstheme="minorEastAsia"/>
                <w:sz w:val="21"/>
                <w:szCs w:val="21"/>
              </w:rPr>
            </w:pPr>
            <w:r>
              <w:rPr>
                <w:rFonts w:hint="eastAsia" w:asciiTheme="minorEastAsia" w:hAnsiTheme="minorEastAsia" w:cstheme="minorEastAsia"/>
                <w:szCs w:val="21"/>
              </w:rPr>
              <w:t>16,450.00</w:t>
            </w:r>
          </w:p>
        </w:tc>
        <w:tc>
          <w:tcPr>
            <w:tcW w:w="1740" w:type="dxa"/>
            <w:vAlign w:val="center"/>
          </w:tcPr>
          <w:p w14:paraId="1E8B524E">
            <w:pPr>
              <w:widowControl/>
              <w:snapToGrid w:val="0"/>
              <w:spacing w:line="340" w:lineRule="exact"/>
              <w:ind w:right="0" w:rightChars="0"/>
              <w:jc w:val="center"/>
              <w:rPr>
                <w:rFonts w:asciiTheme="minorEastAsia" w:hAnsiTheme="minorEastAsia" w:cstheme="minorEastAsia"/>
                <w:sz w:val="21"/>
                <w:szCs w:val="21"/>
              </w:rPr>
            </w:pPr>
            <w:r>
              <w:rPr>
                <w:rFonts w:hint="eastAsia" w:asciiTheme="minorEastAsia" w:hAnsiTheme="minorEastAsia" w:cstheme="minorEastAsia"/>
                <w:szCs w:val="21"/>
              </w:rPr>
              <w:t>1,300</w:t>
            </w:r>
          </w:p>
        </w:tc>
        <w:tc>
          <w:tcPr>
            <w:tcW w:w="3239" w:type="dxa"/>
          </w:tcPr>
          <w:p w14:paraId="65E06CDB">
            <w:pPr>
              <w:snapToGrid w:val="0"/>
              <w:spacing w:line="340" w:lineRule="exact"/>
              <w:rPr>
                <w:rFonts w:asciiTheme="minorEastAsia" w:hAnsiTheme="minorEastAsia" w:cstheme="minorEastAsia"/>
                <w:sz w:val="21"/>
                <w:szCs w:val="21"/>
              </w:rPr>
            </w:pPr>
          </w:p>
        </w:tc>
      </w:tr>
    </w:tbl>
    <w:p w14:paraId="5223BA3B">
      <w:pPr>
        <w:spacing w:before="156"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w:t>
      </w:r>
      <w:r>
        <w:rPr>
          <w:rFonts w:asciiTheme="minorEastAsia" w:hAnsiTheme="minorEastAsia" w:eastAsiaTheme="minorEastAsia" w:cstheme="minorEastAsia"/>
          <w:color w:val="auto"/>
          <w:sz w:val="24"/>
        </w:rPr>
        <w:t>2）确定样本规模</w:t>
      </w:r>
    </w:p>
    <w:p w14:paraId="54033046">
      <w:pPr>
        <w:snapToGrid w:val="0"/>
        <w:spacing w:line="360" w:lineRule="auto"/>
        <w:ind w:firstLine="480" w:firstLineChars="200"/>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在确定样本规模时，注册会计师应当考虑能否将抽样风险降至可接受的低水平。样本规模受注册会计师可接受的抽样风险水平的影响；可接受的风险水平越低，需要的样本规模越大。</w:t>
      </w:r>
    </w:p>
    <w:tbl>
      <w:tblPr>
        <w:tblStyle w:val="12"/>
        <w:tblpPr w:leftFromText="180" w:rightFromText="180" w:vertAnchor="text" w:horzAnchor="page" w:tblpX="1782" w:tblpY="176"/>
        <w:tblOverlap w:val="never"/>
        <w:tblW w:w="4855" w:type="pct"/>
        <w:tblInd w:w="0" w:type="dxa"/>
        <w:tblLayout w:type="autofit"/>
        <w:tblCellMar>
          <w:top w:w="0" w:type="dxa"/>
          <w:left w:w="108" w:type="dxa"/>
          <w:bottom w:w="0" w:type="dxa"/>
          <w:right w:w="108" w:type="dxa"/>
        </w:tblCellMar>
      </w:tblPr>
      <w:tblGrid>
        <w:gridCol w:w="1915"/>
        <w:gridCol w:w="6663"/>
      </w:tblGrid>
      <w:tr w14:paraId="1C91A05F">
        <w:tblPrEx>
          <w:tblCellMar>
            <w:top w:w="0" w:type="dxa"/>
            <w:left w:w="108" w:type="dxa"/>
            <w:bottom w:w="0" w:type="dxa"/>
            <w:right w:w="108" w:type="dxa"/>
          </w:tblCellMar>
        </w:tblPrEx>
        <w:trPr>
          <w:trHeight w:val="479" w:hRule="atLeast"/>
        </w:trPr>
        <w:tc>
          <w:tcPr>
            <w:tcW w:w="1116" w:type="pct"/>
            <w:tcBorders>
              <w:top w:val="single" w:color="auto" w:sz="4" w:space="0"/>
              <w:left w:val="single" w:color="auto" w:sz="4" w:space="0"/>
              <w:bottom w:val="single" w:color="auto" w:sz="4" w:space="0"/>
              <w:right w:val="single" w:color="auto" w:sz="4" w:space="0"/>
            </w:tcBorders>
            <w:shd w:val="clear" w:color="auto" w:fill="auto"/>
            <w:vAlign w:val="center"/>
          </w:tcPr>
          <w:p w14:paraId="0E6C9CB6">
            <w:pPr>
              <w:widowControl/>
              <w:snapToGrid w:val="0"/>
              <w:spacing w:line="320" w:lineRule="exact"/>
              <w:jc w:val="center"/>
              <w:textAlignment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kern w:val="0"/>
                <w:szCs w:val="21"/>
                <w:lang w:bidi="ar"/>
              </w:rPr>
              <w:t>影响因素</w:t>
            </w:r>
          </w:p>
        </w:tc>
        <w:tc>
          <w:tcPr>
            <w:tcW w:w="3883" w:type="pct"/>
            <w:tcBorders>
              <w:top w:val="single" w:color="auto" w:sz="4" w:space="0"/>
              <w:left w:val="single" w:color="auto" w:sz="4" w:space="0"/>
              <w:bottom w:val="single" w:color="auto" w:sz="4" w:space="0"/>
              <w:right w:val="single" w:color="auto" w:sz="4" w:space="0"/>
            </w:tcBorders>
            <w:shd w:val="clear" w:color="auto" w:fill="auto"/>
            <w:vAlign w:val="center"/>
          </w:tcPr>
          <w:p w14:paraId="428F1E1F">
            <w:pPr>
              <w:widowControl/>
              <w:snapToGrid w:val="0"/>
              <w:spacing w:line="320" w:lineRule="exact"/>
              <w:jc w:val="center"/>
              <w:textAlignment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kern w:val="0"/>
                <w:szCs w:val="21"/>
                <w:lang w:bidi="ar"/>
              </w:rPr>
              <w:t>具体说明</w:t>
            </w:r>
          </w:p>
        </w:tc>
      </w:tr>
      <w:tr w14:paraId="17D951C9">
        <w:tblPrEx>
          <w:tblCellMar>
            <w:top w:w="0" w:type="dxa"/>
            <w:left w:w="108" w:type="dxa"/>
            <w:bottom w:w="0" w:type="dxa"/>
            <w:right w:w="108" w:type="dxa"/>
          </w:tblCellMar>
        </w:tblPrEx>
        <w:trPr>
          <w:trHeight w:val="639" w:hRule="atLeast"/>
        </w:trPr>
        <w:tc>
          <w:tcPr>
            <w:tcW w:w="1116" w:type="pct"/>
            <w:tcBorders>
              <w:top w:val="single" w:color="auto" w:sz="4" w:space="0"/>
              <w:left w:val="single" w:color="auto" w:sz="4" w:space="0"/>
              <w:bottom w:val="single" w:color="auto" w:sz="4" w:space="0"/>
              <w:right w:val="single" w:color="auto" w:sz="4" w:space="0"/>
            </w:tcBorders>
            <w:shd w:val="clear" w:color="auto" w:fill="auto"/>
            <w:vAlign w:val="center"/>
          </w:tcPr>
          <w:p w14:paraId="1994DDF2">
            <w:pPr>
              <w:widowControl/>
              <w:snapToGrid w:val="0"/>
              <w:spacing w:line="320" w:lineRule="exact"/>
              <w:jc w:val="center"/>
              <w:textAlignment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可接受的信赖过度风险</w:t>
            </w:r>
          </w:p>
        </w:tc>
        <w:tc>
          <w:tcPr>
            <w:tcW w:w="3883" w:type="pct"/>
            <w:tcBorders>
              <w:top w:val="single" w:color="auto" w:sz="4" w:space="0"/>
              <w:left w:val="single" w:color="auto" w:sz="4" w:space="0"/>
              <w:bottom w:val="single" w:color="auto" w:sz="4" w:space="0"/>
              <w:right w:val="single" w:color="auto" w:sz="4" w:space="0"/>
            </w:tcBorders>
            <w:shd w:val="clear" w:color="auto" w:fill="auto"/>
            <w:vAlign w:val="center"/>
          </w:tcPr>
          <w:p w14:paraId="3ED8AAD8">
            <w:pPr>
              <w:widowControl/>
              <w:snapToGrid w:val="0"/>
              <w:spacing w:line="320" w:lineRule="exact"/>
              <w:jc w:val="left"/>
              <w:textAlignment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可接受信赖过度风险越低（如高风险领域），样本规模越大。例如设定为</w:t>
            </w:r>
            <w:r>
              <w:rPr>
                <w:rFonts w:asciiTheme="minorEastAsia" w:hAnsiTheme="minorEastAsia" w:eastAsiaTheme="minorEastAsia" w:cstheme="minorEastAsia"/>
                <w:color w:val="auto"/>
                <w:kern w:val="0"/>
                <w:szCs w:val="21"/>
                <w:lang w:bidi="ar"/>
              </w:rPr>
              <w:t>5%-10%。</w:t>
            </w:r>
          </w:p>
        </w:tc>
      </w:tr>
      <w:tr w14:paraId="62406D20">
        <w:tblPrEx>
          <w:tblCellMar>
            <w:top w:w="0" w:type="dxa"/>
            <w:left w:w="108" w:type="dxa"/>
            <w:bottom w:w="0" w:type="dxa"/>
            <w:right w:w="108" w:type="dxa"/>
          </w:tblCellMar>
        </w:tblPrEx>
        <w:trPr>
          <w:trHeight w:val="715" w:hRule="atLeast"/>
        </w:trPr>
        <w:tc>
          <w:tcPr>
            <w:tcW w:w="1116" w:type="pct"/>
            <w:tcBorders>
              <w:top w:val="single" w:color="auto" w:sz="4" w:space="0"/>
              <w:left w:val="single" w:color="auto" w:sz="4" w:space="0"/>
              <w:bottom w:val="single" w:color="auto" w:sz="4" w:space="0"/>
              <w:right w:val="single" w:color="auto" w:sz="4" w:space="0"/>
            </w:tcBorders>
            <w:shd w:val="clear" w:color="auto" w:fill="auto"/>
            <w:vAlign w:val="center"/>
          </w:tcPr>
          <w:p w14:paraId="70DDE9C2">
            <w:pPr>
              <w:widowControl/>
              <w:snapToGrid w:val="0"/>
              <w:spacing w:line="320" w:lineRule="exact"/>
              <w:jc w:val="center"/>
              <w:textAlignment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可容忍误差</w:t>
            </w:r>
          </w:p>
        </w:tc>
        <w:tc>
          <w:tcPr>
            <w:tcW w:w="3883" w:type="pct"/>
            <w:tcBorders>
              <w:top w:val="single" w:color="auto" w:sz="4" w:space="0"/>
              <w:left w:val="single" w:color="auto" w:sz="4" w:space="0"/>
              <w:bottom w:val="single" w:color="auto" w:sz="4" w:space="0"/>
              <w:right w:val="single" w:color="auto" w:sz="4" w:space="0"/>
            </w:tcBorders>
            <w:shd w:val="clear" w:color="auto" w:fill="auto"/>
            <w:vAlign w:val="center"/>
          </w:tcPr>
          <w:p w14:paraId="0F613157">
            <w:pPr>
              <w:widowControl/>
              <w:snapToGrid w:val="0"/>
              <w:spacing w:line="320" w:lineRule="exact"/>
              <w:jc w:val="left"/>
              <w:textAlignment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允许的最大误差金额</w:t>
            </w:r>
            <w:r>
              <w:rPr>
                <w:rFonts w:asciiTheme="minorEastAsia" w:hAnsiTheme="minorEastAsia" w:eastAsiaTheme="minorEastAsia" w:cstheme="minorEastAsia"/>
                <w:color w:val="auto"/>
                <w:kern w:val="0"/>
                <w:szCs w:val="21"/>
                <w:lang w:bidi="ar"/>
              </w:rPr>
              <w:t>/比例，与样本规模成反比（如可容忍误差越小，样本量越大）。</w:t>
            </w:r>
          </w:p>
        </w:tc>
      </w:tr>
      <w:tr w14:paraId="3459D0CB">
        <w:tblPrEx>
          <w:tblCellMar>
            <w:top w:w="0" w:type="dxa"/>
            <w:left w:w="108" w:type="dxa"/>
            <w:bottom w:w="0" w:type="dxa"/>
            <w:right w:w="108" w:type="dxa"/>
          </w:tblCellMar>
        </w:tblPrEx>
        <w:trPr>
          <w:trHeight w:val="696" w:hRule="atLeast"/>
        </w:trPr>
        <w:tc>
          <w:tcPr>
            <w:tcW w:w="1116" w:type="pct"/>
            <w:tcBorders>
              <w:top w:val="single" w:color="auto" w:sz="4" w:space="0"/>
              <w:left w:val="single" w:color="auto" w:sz="4" w:space="0"/>
              <w:bottom w:val="single" w:color="auto" w:sz="4" w:space="0"/>
              <w:right w:val="single" w:color="auto" w:sz="4" w:space="0"/>
            </w:tcBorders>
            <w:shd w:val="clear" w:color="auto" w:fill="auto"/>
            <w:vAlign w:val="center"/>
          </w:tcPr>
          <w:p w14:paraId="168F4E2D">
            <w:pPr>
              <w:widowControl/>
              <w:snapToGrid w:val="0"/>
              <w:spacing w:line="320" w:lineRule="exact"/>
              <w:jc w:val="center"/>
              <w:textAlignment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预期总体误差</w:t>
            </w:r>
          </w:p>
        </w:tc>
        <w:tc>
          <w:tcPr>
            <w:tcW w:w="3883" w:type="pct"/>
            <w:tcBorders>
              <w:top w:val="single" w:color="auto" w:sz="4" w:space="0"/>
              <w:left w:val="single" w:color="auto" w:sz="4" w:space="0"/>
              <w:bottom w:val="single" w:color="auto" w:sz="4" w:space="0"/>
              <w:right w:val="single" w:color="auto" w:sz="4" w:space="0"/>
            </w:tcBorders>
            <w:shd w:val="clear" w:color="auto" w:fill="auto"/>
            <w:vAlign w:val="center"/>
          </w:tcPr>
          <w:p w14:paraId="2FE492C2">
            <w:pPr>
              <w:widowControl/>
              <w:snapToGrid w:val="0"/>
              <w:spacing w:line="320" w:lineRule="exact"/>
              <w:jc w:val="left"/>
              <w:textAlignment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预计总体中存在的误差金额</w:t>
            </w:r>
            <w:r>
              <w:rPr>
                <w:rFonts w:asciiTheme="minorEastAsia" w:hAnsiTheme="minorEastAsia" w:eastAsiaTheme="minorEastAsia" w:cstheme="minorEastAsia"/>
                <w:color w:val="auto"/>
                <w:kern w:val="0"/>
                <w:szCs w:val="21"/>
                <w:lang w:bidi="ar"/>
              </w:rPr>
              <w:t>/比例，与样本规模成正比（预期误差越高，样本量越大）。</w:t>
            </w:r>
          </w:p>
        </w:tc>
      </w:tr>
      <w:tr w14:paraId="3C74F45F">
        <w:tblPrEx>
          <w:tblCellMar>
            <w:top w:w="0" w:type="dxa"/>
            <w:left w:w="108" w:type="dxa"/>
            <w:bottom w:w="0" w:type="dxa"/>
            <w:right w:w="108" w:type="dxa"/>
          </w:tblCellMar>
        </w:tblPrEx>
        <w:trPr>
          <w:trHeight w:val="493" w:hRule="atLeast"/>
        </w:trPr>
        <w:tc>
          <w:tcPr>
            <w:tcW w:w="1116" w:type="pct"/>
            <w:tcBorders>
              <w:top w:val="single" w:color="auto" w:sz="4" w:space="0"/>
              <w:left w:val="single" w:color="auto" w:sz="4" w:space="0"/>
              <w:bottom w:val="single" w:color="auto" w:sz="4" w:space="0"/>
              <w:right w:val="single" w:color="auto" w:sz="4" w:space="0"/>
            </w:tcBorders>
            <w:shd w:val="clear" w:color="auto" w:fill="auto"/>
            <w:vAlign w:val="center"/>
          </w:tcPr>
          <w:p w14:paraId="5BE067E8">
            <w:pPr>
              <w:widowControl/>
              <w:snapToGrid w:val="0"/>
              <w:spacing w:line="320" w:lineRule="exact"/>
              <w:jc w:val="center"/>
              <w:textAlignment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总体规模</w:t>
            </w:r>
          </w:p>
        </w:tc>
        <w:tc>
          <w:tcPr>
            <w:tcW w:w="3883" w:type="pct"/>
            <w:tcBorders>
              <w:top w:val="single" w:color="auto" w:sz="4" w:space="0"/>
              <w:left w:val="single" w:color="auto" w:sz="4" w:space="0"/>
              <w:bottom w:val="single" w:color="auto" w:sz="4" w:space="0"/>
              <w:right w:val="single" w:color="auto" w:sz="4" w:space="0"/>
            </w:tcBorders>
            <w:shd w:val="clear" w:color="auto" w:fill="auto"/>
            <w:vAlign w:val="center"/>
          </w:tcPr>
          <w:p w14:paraId="54A5D0BD">
            <w:pPr>
              <w:widowControl/>
              <w:snapToGrid w:val="0"/>
              <w:spacing w:line="320" w:lineRule="exact"/>
              <w:jc w:val="left"/>
              <w:textAlignment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总体项目数量或总金额越大，样本规模可能相应增加（但非线性关系）。</w:t>
            </w:r>
          </w:p>
        </w:tc>
      </w:tr>
    </w:tbl>
    <w:p w14:paraId="05F17598">
      <w:pPr>
        <w:snapToGrid w:val="0"/>
        <w:spacing w:before="312" w:beforeLines="10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使用非统计抽样确定样本规模时可使用下列公式计算</w:t>
      </w:r>
      <w:r>
        <w:rPr>
          <w:rFonts w:asciiTheme="minorEastAsia" w:hAnsiTheme="minorEastAsia" w:eastAsiaTheme="minorEastAsia" w:cstheme="minorEastAsia"/>
          <w:color w:val="auto"/>
          <w:sz w:val="24"/>
        </w:rPr>
        <w:t>:</w:t>
      </w:r>
    </w:p>
    <w:p w14:paraId="5FAB8598">
      <w:pPr>
        <w:snapToGrid w:val="0"/>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样本规模</w:t>
      </w:r>
      <w:r>
        <w:rPr>
          <w:rFonts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rPr>
        <w:t>抽样总体账面金额÷可容忍错报×保证系数</w:t>
      </w:r>
    </w:p>
    <w:p w14:paraId="3B42153E">
      <w:pPr>
        <w:snapToGrid w:val="0"/>
        <w:spacing w:after="156" w:afterLines="50" w:line="360" w:lineRule="auto"/>
        <w:ind w:firstLine="480" w:firstLineChars="200"/>
        <w:rPr>
          <w:rFonts w:asciiTheme="minorEastAsia" w:hAnsiTheme="minorEastAsia" w:cstheme="minorEastAsia"/>
          <w:sz w:val="24"/>
        </w:rPr>
      </w:pPr>
      <w:r>
        <w:rPr>
          <w:rFonts w:hint="eastAsia" w:asciiTheme="minorEastAsia" w:hAnsiTheme="minorEastAsia" w:eastAsiaTheme="minorEastAsia" w:cstheme="minorEastAsia"/>
          <w:color w:val="auto"/>
          <w:sz w:val="24"/>
        </w:rPr>
        <w:t>其中，可容忍错报通常等于或低于实际执行的重要性，保证系数参考下表：</w:t>
      </w:r>
    </w:p>
    <w:tbl>
      <w:tblPr>
        <w:tblStyle w:val="13"/>
        <w:tblW w:w="0" w:type="auto"/>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6"/>
        <w:gridCol w:w="1767"/>
        <w:gridCol w:w="1767"/>
        <w:gridCol w:w="1767"/>
        <w:gridCol w:w="1663"/>
        <w:tblGridChange w:id="1">
          <w:tblGrid>
            <w:gridCol w:w="120"/>
            <w:gridCol w:w="113"/>
            <w:gridCol w:w="1506"/>
            <w:gridCol w:w="27"/>
            <w:gridCol w:w="86"/>
            <w:gridCol w:w="1629"/>
            <w:gridCol w:w="52"/>
            <w:gridCol w:w="61"/>
            <w:gridCol w:w="1630"/>
            <w:gridCol w:w="1743"/>
            <w:gridCol w:w="1641"/>
          </w:tblGrid>
        </w:tblGridChange>
      </w:tblGrid>
      <w:tr w14:paraId="78D9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646" w:type="dxa"/>
            <w:vMerge w:val="restart"/>
            <w:vAlign w:val="center"/>
          </w:tcPr>
          <w:p w14:paraId="420D5B08">
            <w:pPr>
              <w:snapToGrid w:val="0"/>
              <w:spacing w:line="300" w:lineRule="exact"/>
              <w:jc w:val="center"/>
              <w:rPr>
                <w:rFonts w:asciiTheme="minorEastAsia" w:hAnsiTheme="minorEastAsia" w:cstheme="minorEastAsia"/>
                <w:sz w:val="21"/>
                <w:szCs w:val="21"/>
              </w:rPr>
            </w:pPr>
            <w:r>
              <w:rPr>
                <w:rFonts w:hint="eastAsia" w:asciiTheme="minorEastAsia" w:hAnsiTheme="minorEastAsia" w:cstheme="minorEastAsia"/>
                <w:kern w:val="0"/>
                <w:sz w:val="21"/>
                <w:szCs w:val="21"/>
              </w:rPr>
              <w:t>评估的重大错报风险</w:t>
            </w:r>
          </w:p>
        </w:tc>
        <w:tc>
          <w:tcPr>
            <w:tcW w:w="6964" w:type="dxa"/>
            <w:gridSpan w:val="4"/>
            <w:vAlign w:val="center"/>
          </w:tcPr>
          <w:p w14:paraId="4E9D9854">
            <w:pPr>
              <w:snapToGrid w:val="0"/>
              <w:spacing w:line="300" w:lineRule="exact"/>
              <w:jc w:val="center"/>
              <w:rPr>
                <w:rFonts w:asciiTheme="minorEastAsia" w:hAnsiTheme="minorEastAsia" w:cstheme="minorEastAsia"/>
                <w:sz w:val="21"/>
                <w:szCs w:val="21"/>
              </w:rPr>
            </w:pPr>
            <w:r>
              <w:rPr>
                <w:rFonts w:hint="eastAsia" w:asciiTheme="minorEastAsia" w:hAnsiTheme="minorEastAsia" w:cstheme="minorEastAsia"/>
                <w:kern w:val="0"/>
                <w:sz w:val="21"/>
                <w:szCs w:val="21"/>
              </w:rPr>
              <w:t>其他实质性程序未能发现重大错报的风险</w:t>
            </w:r>
          </w:p>
        </w:tc>
      </w:tr>
      <w:tr w14:paraId="05C9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Merge w:val="continue"/>
            <w:vAlign w:val="center"/>
          </w:tcPr>
          <w:p w14:paraId="68DDA8FA">
            <w:pPr>
              <w:snapToGrid w:val="0"/>
              <w:spacing w:line="300" w:lineRule="exact"/>
              <w:jc w:val="center"/>
              <w:rPr>
                <w:rFonts w:asciiTheme="minorEastAsia" w:hAnsiTheme="minorEastAsia" w:cstheme="minorEastAsia"/>
                <w:sz w:val="21"/>
                <w:szCs w:val="21"/>
              </w:rPr>
            </w:pPr>
          </w:p>
        </w:tc>
        <w:tc>
          <w:tcPr>
            <w:tcW w:w="1767" w:type="dxa"/>
            <w:vAlign w:val="center"/>
          </w:tcPr>
          <w:p w14:paraId="218EAFC6">
            <w:pPr>
              <w:widowControl/>
              <w:snapToGrid w:val="0"/>
              <w:spacing w:line="300" w:lineRule="exact"/>
              <w:jc w:val="center"/>
              <w:rPr>
                <w:rFonts w:asciiTheme="minorEastAsia" w:hAnsiTheme="minorEastAsia" w:cstheme="minorEastAsia"/>
                <w:sz w:val="21"/>
                <w:szCs w:val="21"/>
              </w:rPr>
            </w:pPr>
            <w:r>
              <w:rPr>
                <w:rFonts w:hint="eastAsia" w:asciiTheme="minorEastAsia" w:hAnsiTheme="minorEastAsia" w:cstheme="minorEastAsia"/>
                <w:kern w:val="0"/>
                <w:sz w:val="21"/>
                <w:szCs w:val="21"/>
              </w:rPr>
              <w:t>最高（即其他程序的保证程度：没有）</w:t>
            </w:r>
          </w:p>
        </w:tc>
        <w:tc>
          <w:tcPr>
            <w:tcW w:w="1767" w:type="dxa"/>
            <w:vAlign w:val="center"/>
          </w:tcPr>
          <w:p w14:paraId="082BDFC9">
            <w:pPr>
              <w:widowControl/>
              <w:snapToGrid w:val="0"/>
              <w:spacing w:line="300" w:lineRule="exact"/>
              <w:jc w:val="center"/>
              <w:rPr>
                <w:rFonts w:asciiTheme="minorEastAsia" w:hAnsiTheme="minorEastAsia" w:cstheme="minorEastAsia"/>
                <w:sz w:val="21"/>
                <w:szCs w:val="21"/>
              </w:rPr>
            </w:pPr>
            <w:r>
              <w:rPr>
                <w:rFonts w:hint="eastAsia" w:asciiTheme="minorEastAsia" w:hAnsiTheme="minorEastAsia" w:cstheme="minorEastAsia"/>
                <w:kern w:val="0"/>
                <w:sz w:val="21"/>
                <w:szCs w:val="21"/>
              </w:rPr>
              <w:t>高（即其他程序的保证程度：有限的）</w:t>
            </w:r>
          </w:p>
        </w:tc>
        <w:tc>
          <w:tcPr>
            <w:tcW w:w="1767" w:type="dxa"/>
            <w:vAlign w:val="center"/>
          </w:tcPr>
          <w:p w14:paraId="03B59590">
            <w:pPr>
              <w:widowControl/>
              <w:snapToGrid w:val="0"/>
              <w:spacing w:line="300" w:lineRule="exact"/>
              <w:jc w:val="center"/>
              <w:rPr>
                <w:rFonts w:asciiTheme="minorEastAsia" w:hAnsiTheme="minorEastAsia" w:cstheme="minorEastAsia"/>
                <w:sz w:val="21"/>
                <w:szCs w:val="21"/>
              </w:rPr>
            </w:pPr>
            <w:r>
              <w:rPr>
                <w:rFonts w:hint="eastAsia" w:asciiTheme="minorEastAsia" w:hAnsiTheme="minorEastAsia" w:cstheme="minorEastAsia"/>
                <w:kern w:val="0"/>
                <w:sz w:val="21"/>
                <w:szCs w:val="21"/>
              </w:rPr>
              <w:t>中（即其他程序的保证程度：中度的）</w:t>
            </w:r>
          </w:p>
        </w:tc>
        <w:tc>
          <w:tcPr>
            <w:tcW w:w="1663" w:type="dxa"/>
            <w:vAlign w:val="center"/>
          </w:tcPr>
          <w:p w14:paraId="39C96F07">
            <w:pPr>
              <w:widowControl/>
              <w:snapToGrid w:val="0"/>
              <w:spacing w:line="300" w:lineRule="exact"/>
              <w:jc w:val="center"/>
              <w:rPr>
                <w:rFonts w:asciiTheme="minorEastAsia" w:hAnsiTheme="minorEastAsia" w:cstheme="minorEastAsia"/>
                <w:sz w:val="21"/>
                <w:szCs w:val="21"/>
              </w:rPr>
            </w:pPr>
            <w:r>
              <w:rPr>
                <w:rFonts w:hint="eastAsia" w:asciiTheme="minorEastAsia" w:hAnsiTheme="minorEastAsia" w:cstheme="minorEastAsia"/>
                <w:kern w:val="0"/>
                <w:sz w:val="21"/>
                <w:szCs w:val="21"/>
              </w:rPr>
              <w:t>低（即其他程序的保证程度：重要的）</w:t>
            </w:r>
          </w:p>
        </w:tc>
      </w:tr>
      <w:tr w14:paraId="637B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14:paraId="1637FB0D">
            <w:pPr>
              <w:widowControl/>
              <w:snapToGrid w:val="0"/>
              <w:spacing w:line="300" w:lineRule="exact"/>
              <w:jc w:val="center"/>
              <w:rPr>
                <w:rFonts w:asciiTheme="minorEastAsia" w:hAnsiTheme="minorEastAsia" w:cstheme="minorEastAsia"/>
                <w:sz w:val="21"/>
                <w:szCs w:val="21"/>
              </w:rPr>
            </w:pPr>
            <w:r>
              <w:rPr>
                <w:rFonts w:hint="eastAsia" w:asciiTheme="minorEastAsia" w:hAnsiTheme="minorEastAsia" w:cstheme="minorEastAsia"/>
                <w:kern w:val="0"/>
                <w:sz w:val="21"/>
                <w:szCs w:val="21"/>
              </w:rPr>
              <w:t>最高</w:t>
            </w:r>
          </w:p>
        </w:tc>
        <w:tc>
          <w:tcPr>
            <w:tcW w:w="1767" w:type="dxa"/>
            <w:vAlign w:val="center"/>
          </w:tcPr>
          <w:p w14:paraId="06710D48">
            <w:pPr>
              <w:widowControl/>
              <w:snapToGrid w:val="0"/>
              <w:spacing w:line="300" w:lineRule="exact"/>
              <w:jc w:val="center"/>
              <w:rPr>
                <w:rFonts w:asciiTheme="minorEastAsia" w:hAnsiTheme="minorEastAsia" w:cstheme="minorEastAsia"/>
                <w:sz w:val="21"/>
                <w:szCs w:val="21"/>
              </w:rPr>
            </w:pPr>
            <w:r>
              <w:rPr>
                <w:rFonts w:asciiTheme="minorEastAsia" w:hAnsiTheme="minorEastAsia" w:cstheme="minorEastAsia"/>
                <w:kern w:val="0"/>
                <w:sz w:val="21"/>
                <w:szCs w:val="21"/>
              </w:rPr>
              <w:t>3</w:t>
            </w:r>
          </w:p>
        </w:tc>
        <w:tc>
          <w:tcPr>
            <w:tcW w:w="1767" w:type="dxa"/>
            <w:vAlign w:val="center"/>
          </w:tcPr>
          <w:p w14:paraId="14EF7654">
            <w:pPr>
              <w:widowControl/>
              <w:snapToGrid w:val="0"/>
              <w:spacing w:line="300" w:lineRule="exact"/>
              <w:jc w:val="center"/>
              <w:rPr>
                <w:rFonts w:asciiTheme="minorEastAsia" w:hAnsiTheme="minorEastAsia" w:cstheme="minorEastAsia"/>
                <w:sz w:val="21"/>
                <w:szCs w:val="21"/>
              </w:rPr>
            </w:pPr>
            <w:r>
              <w:rPr>
                <w:rFonts w:asciiTheme="minorEastAsia" w:hAnsiTheme="minorEastAsia" w:cstheme="minorEastAsia"/>
                <w:kern w:val="0"/>
                <w:sz w:val="21"/>
                <w:szCs w:val="21"/>
              </w:rPr>
              <w:t>2.7</w:t>
            </w:r>
          </w:p>
        </w:tc>
        <w:tc>
          <w:tcPr>
            <w:tcW w:w="1767" w:type="dxa"/>
            <w:vAlign w:val="center"/>
          </w:tcPr>
          <w:p w14:paraId="634D76E8">
            <w:pPr>
              <w:widowControl/>
              <w:snapToGrid w:val="0"/>
              <w:spacing w:line="300" w:lineRule="exact"/>
              <w:jc w:val="center"/>
              <w:rPr>
                <w:rFonts w:asciiTheme="minorEastAsia" w:hAnsiTheme="minorEastAsia" w:cstheme="minorEastAsia"/>
                <w:sz w:val="21"/>
                <w:szCs w:val="21"/>
              </w:rPr>
            </w:pPr>
            <w:r>
              <w:rPr>
                <w:rFonts w:asciiTheme="minorEastAsia" w:hAnsiTheme="minorEastAsia" w:cstheme="minorEastAsia"/>
                <w:kern w:val="0"/>
                <w:sz w:val="21"/>
                <w:szCs w:val="21"/>
              </w:rPr>
              <w:t>2.3</w:t>
            </w:r>
          </w:p>
        </w:tc>
        <w:tc>
          <w:tcPr>
            <w:tcW w:w="1663" w:type="dxa"/>
            <w:vAlign w:val="center"/>
          </w:tcPr>
          <w:p w14:paraId="0BEC5F07">
            <w:pPr>
              <w:widowControl/>
              <w:snapToGrid w:val="0"/>
              <w:spacing w:line="300" w:lineRule="exact"/>
              <w:jc w:val="center"/>
              <w:rPr>
                <w:rFonts w:asciiTheme="minorEastAsia" w:hAnsiTheme="minorEastAsia" w:cstheme="minorEastAsia"/>
                <w:sz w:val="21"/>
                <w:szCs w:val="21"/>
              </w:rPr>
            </w:pPr>
            <w:r>
              <w:rPr>
                <w:rFonts w:asciiTheme="minorEastAsia" w:hAnsiTheme="minorEastAsia" w:cstheme="minorEastAsia"/>
                <w:kern w:val="0"/>
                <w:sz w:val="21"/>
                <w:szCs w:val="21"/>
              </w:rPr>
              <w:t>2</w:t>
            </w:r>
          </w:p>
        </w:tc>
      </w:tr>
      <w:tr w14:paraId="61535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14:paraId="667BA761">
            <w:pPr>
              <w:widowControl/>
              <w:snapToGrid w:val="0"/>
              <w:spacing w:line="300" w:lineRule="exact"/>
              <w:jc w:val="center"/>
              <w:rPr>
                <w:rFonts w:asciiTheme="minorEastAsia" w:hAnsiTheme="minorEastAsia" w:cstheme="minorEastAsia"/>
                <w:sz w:val="21"/>
                <w:szCs w:val="21"/>
              </w:rPr>
            </w:pPr>
            <w:r>
              <w:rPr>
                <w:rFonts w:hint="eastAsia" w:asciiTheme="minorEastAsia" w:hAnsiTheme="minorEastAsia" w:cstheme="minorEastAsia"/>
                <w:kern w:val="0"/>
                <w:sz w:val="21"/>
                <w:szCs w:val="21"/>
              </w:rPr>
              <w:t>高</w:t>
            </w:r>
          </w:p>
        </w:tc>
        <w:tc>
          <w:tcPr>
            <w:tcW w:w="1767" w:type="dxa"/>
            <w:vAlign w:val="center"/>
          </w:tcPr>
          <w:p w14:paraId="074BC54D">
            <w:pPr>
              <w:widowControl/>
              <w:snapToGrid w:val="0"/>
              <w:spacing w:line="300" w:lineRule="exact"/>
              <w:jc w:val="center"/>
              <w:rPr>
                <w:rFonts w:asciiTheme="minorEastAsia" w:hAnsiTheme="minorEastAsia" w:cstheme="minorEastAsia"/>
                <w:sz w:val="21"/>
                <w:szCs w:val="21"/>
              </w:rPr>
            </w:pPr>
            <w:r>
              <w:rPr>
                <w:rFonts w:asciiTheme="minorEastAsia" w:hAnsiTheme="minorEastAsia" w:cstheme="minorEastAsia"/>
                <w:kern w:val="0"/>
                <w:sz w:val="21"/>
                <w:szCs w:val="21"/>
              </w:rPr>
              <w:t>2.7</w:t>
            </w:r>
          </w:p>
        </w:tc>
        <w:tc>
          <w:tcPr>
            <w:tcW w:w="1767" w:type="dxa"/>
            <w:vAlign w:val="center"/>
          </w:tcPr>
          <w:p w14:paraId="185E1E0E">
            <w:pPr>
              <w:widowControl/>
              <w:snapToGrid w:val="0"/>
              <w:spacing w:line="300" w:lineRule="exact"/>
              <w:jc w:val="center"/>
              <w:rPr>
                <w:rFonts w:asciiTheme="minorEastAsia" w:hAnsiTheme="minorEastAsia" w:cstheme="minorEastAsia"/>
                <w:sz w:val="21"/>
                <w:szCs w:val="21"/>
              </w:rPr>
            </w:pPr>
            <w:r>
              <w:rPr>
                <w:rFonts w:asciiTheme="minorEastAsia" w:hAnsiTheme="minorEastAsia" w:cstheme="minorEastAsia"/>
                <w:kern w:val="0"/>
                <w:sz w:val="21"/>
                <w:szCs w:val="21"/>
              </w:rPr>
              <w:t>2.4</w:t>
            </w:r>
          </w:p>
        </w:tc>
        <w:tc>
          <w:tcPr>
            <w:tcW w:w="1767" w:type="dxa"/>
            <w:vAlign w:val="center"/>
          </w:tcPr>
          <w:p w14:paraId="52D47539">
            <w:pPr>
              <w:widowControl/>
              <w:snapToGrid w:val="0"/>
              <w:spacing w:line="300" w:lineRule="exact"/>
              <w:jc w:val="center"/>
              <w:rPr>
                <w:rFonts w:asciiTheme="minorEastAsia" w:hAnsiTheme="minorEastAsia" w:cstheme="minorEastAsia"/>
                <w:sz w:val="21"/>
                <w:szCs w:val="21"/>
              </w:rPr>
            </w:pPr>
            <w:r>
              <w:rPr>
                <w:rFonts w:asciiTheme="minorEastAsia" w:hAnsiTheme="minorEastAsia" w:cstheme="minorEastAsia"/>
                <w:kern w:val="0"/>
                <w:sz w:val="21"/>
                <w:szCs w:val="21"/>
              </w:rPr>
              <w:t>2</w:t>
            </w:r>
          </w:p>
        </w:tc>
        <w:tc>
          <w:tcPr>
            <w:tcW w:w="1663" w:type="dxa"/>
            <w:vAlign w:val="center"/>
          </w:tcPr>
          <w:p w14:paraId="129DEDD9">
            <w:pPr>
              <w:widowControl/>
              <w:snapToGrid w:val="0"/>
              <w:spacing w:line="300" w:lineRule="exact"/>
              <w:jc w:val="center"/>
              <w:rPr>
                <w:rFonts w:asciiTheme="minorEastAsia" w:hAnsiTheme="minorEastAsia" w:cstheme="minorEastAsia"/>
                <w:sz w:val="21"/>
                <w:szCs w:val="21"/>
              </w:rPr>
            </w:pPr>
            <w:r>
              <w:rPr>
                <w:rFonts w:asciiTheme="minorEastAsia" w:hAnsiTheme="minorEastAsia" w:cstheme="minorEastAsia"/>
                <w:kern w:val="0"/>
                <w:sz w:val="21"/>
                <w:szCs w:val="21"/>
              </w:rPr>
              <w:t>1.6</w:t>
            </w:r>
          </w:p>
        </w:tc>
      </w:tr>
      <w:tr w14:paraId="5B50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14:paraId="622D89B0">
            <w:pPr>
              <w:widowControl/>
              <w:snapToGrid w:val="0"/>
              <w:spacing w:line="300" w:lineRule="exact"/>
              <w:jc w:val="center"/>
              <w:rPr>
                <w:rFonts w:asciiTheme="minorEastAsia" w:hAnsiTheme="minorEastAsia" w:cstheme="minorEastAsia"/>
                <w:sz w:val="21"/>
                <w:szCs w:val="21"/>
              </w:rPr>
            </w:pPr>
            <w:r>
              <w:rPr>
                <w:rFonts w:hint="eastAsia" w:asciiTheme="minorEastAsia" w:hAnsiTheme="minorEastAsia" w:cstheme="minorEastAsia"/>
                <w:kern w:val="0"/>
                <w:sz w:val="21"/>
                <w:szCs w:val="21"/>
              </w:rPr>
              <w:t>中</w:t>
            </w:r>
          </w:p>
        </w:tc>
        <w:tc>
          <w:tcPr>
            <w:tcW w:w="1767" w:type="dxa"/>
            <w:vAlign w:val="center"/>
          </w:tcPr>
          <w:p w14:paraId="5F0B7492">
            <w:pPr>
              <w:widowControl/>
              <w:snapToGrid w:val="0"/>
              <w:spacing w:line="300" w:lineRule="exact"/>
              <w:jc w:val="center"/>
              <w:rPr>
                <w:rFonts w:asciiTheme="minorEastAsia" w:hAnsiTheme="minorEastAsia" w:cstheme="minorEastAsia"/>
                <w:sz w:val="21"/>
                <w:szCs w:val="21"/>
              </w:rPr>
            </w:pPr>
            <w:r>
              <w:rPr>
                <w:rFonts w:asciiTheme="minorEastAsia" w:hAnsiTheme="minorEastAsia" w:cstheme="minorEastAsia"/>
                <w:kern w:val="0"/>
                <w:sz w:val="21"/>
                <w:szCs w:val="21"/>
              </w:rPr>
              <w:t>2.3</w:t>
            </w:r>
          </w:p>
        </w:tc>
        <w:tc>
          <w:tcPr>
            <w:tcW w:w="1767" w:type="dxa"/>
            <w:vAlign w:val="center"/>
          </w:tcPr>
          <w:p w14:paraId="25B66097">
            <w:pPr>
              <w:widowControl/>
              <w:snapToGrid w:val="0"/>
              <w:spacing w:line="300" w:lineRule="exact"/>
              <w:jc w:val="center"/>
              <w:rPr>
                <w:rFonts w:asciiTheme="minorEastAsia" w:hAnsiTheme="minorEastAsia" w:cstheme="minorEastAsia"/>
                <w:sz w:val="21"/>
                <w:szCs w:val="21"/>
              </w:rPr>
            </w:pPr>
            <w:r>
              <w:rPr>
                <w:rFonts w:asciiTheme="minorEastAsia" w:hAnsiTheme="minorEastAsia" w:cstheme="minorEastAsia"/>
                <w:kern w:val="0"/>
                <w:sz w:val="21"/>
                <w:szCs w:val="21"/>
              </w:rPr>
              <w:t>2.1</w:t>
            </w:r>
          </w:p>
        </w:tc>
        <w:tc>
          <w:tcPr>
            <w:tcW w:w="1767" w:type="dxa"/>
            <w:vAlign w:val="center"/>
          </w:tcPr>
          <w:p w14:paraId="121EAA6C">
            <w:pPr>
              <w:widowControl/>
              <w:snapToGrid w:val="0"/>
              <w:spacing w:line="300" w:lineRule="exact"/>
              <w:jc w:val="center"/>
              <w:rPr>
                <w:rFonts w:asciiTheme="minorEastAsia" w:hAnsiTheme="minorEastAsia" w:cstheme="minorEastAsia"/>
                <w:sz w:val="21"/>
                <w:szCs w:val="21"/>
              </w:rPr>
            </w:pPr>
            <w:r>
              <w:rPr>
                <w:rFonts w:asciiTheme="minorEastAsia" w:hAnsiTheme="minorEastAsia" w:cstheme="minorEastAsia"/>
                <w:kern w:val="0"/>
                <w:sz w:val="21"/>
                <w:szCs w:val="21"/>
              </w:rPr>
              <w:t>1.6</w:t>
            </w:r>
          </w:p>
        </w:tc>
        <w:tc>
          <w:tcPr>
            <w:tcW w:w="1663" w:type="dxa"/>
            <w:vAlign w:val="center"/>
          </w:tcPr>
          <w:p w14:paraId="028D45B8">
            <w:pPr>
              <w:widowControl/>
              <w:snapToGrid w:val="0"/>
              <w:spacing w:line="300" w:lineRule="exact"/>
              <w:jc w:val="center"/>
              <w:rPr>
                <w:rFonts w:asciiTheme="minorEastAsia" w:hAnsiTheme="minorEastAsia" w:cstheme="minorEastAsia"/>
                <w:sz w:val="21"/>
                <w:szCs w:val="21"/>
              </w:rPr>
            </w:pPr>
            <w:r>
              <w:rPr>
                <w:rFonts w:asciiTheme="minorEastAsia" w:hAnsiTheme="minorEastAsia" w:cstheme="minorEastAsia"/>
                <w:kern w:val="0"/>
                <w:sz w:val="21"/>
                <w:szCs w:val="21"/>
              </w:rPr>
              <w:t>1.2</w:t>
            </w:r>
          </w:p>
        </w:tc>
      </w:tr>
      <w:tr w14:paraId="5942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14:paraId="418A08BA">
            <w:pPr>
              <w:widowControl/>
              <w:snapToGrid w:val="0"/>
              <w:spacing w:line="300" w:lineRule="exact"/>
              <w:jc w:val="center"/>
              <w:rPr>
                <w:rFonts w:asciiTheme="minorEastAsia" w:hAnsiTheme="minorEastAsia" w:cstheme="minorEastAsia"/>
                <w:sz w:val="21"/>
                <w:szCs w:val="21"/>
              </w:rPr>
            </w:pPr>
            <w:r>
              <w:rPr>
                <w:rFonts w:hint="eastAsia" w:asciiTheme="minorEastAsia" w:hAnsiTheme="minorEastAsia" w:cstheme="minorEastAsia"/>
                <w:kern w:val="0"/>
                <w:sz w:val="21"/>
                <w:szCs w:val="21"/>
              </w:rPr>
              <w:t>低</w:t>
            </w:r>
          </w:p>
        </w:tc>
        <w:tc>
          <w:tcPr>
            <w:tcW w:w="1767" w:type="dxa"/>
            <w:vAlign w:val="center"/>
          </w:tcPr>
          <w:p w14:paraId="0A0C68D1">
            <w:pPr>
              <w:widowControl/>
              <w:snapToGrid w:val="0"/>
              <w:spacing w:line="300" w:lineRule="exact"/>
              <w:jc w:val="center"/>
              <w:rPr>
                <w:rFonts w:asciiTheme="minorEastAsia" w:hAnsiTheme="minorEastAsia" w:cstheme="minorEastAsia"/>
                <w:sz w:val="21"/>
                <w:szCs w:val="21"/>
              </w:rPr>
            </w:pPr>
            <w:r>
              <w:rPr>
                <w:rFonts w:asciiTheme="minorEastAsia" w:hAnsiTheme="minorEastAsia" w:cstheme="minorEastAsia"/>
                <w:kern w:val="0"/>
                <w:sz w:val="21"/>
                <w:szCs w:val="21"/>
              </w:rPr>
              <w:t>2</w:t>
            </w:r>
          </w:p>
        </w:tc>
        <w:tc>
          <w:tcPr>
            <w:tcW w:w="1767" w:type="dxa"/>
            <w:vAlign w:val="center"/>
          </w:tcPr>
          <w:p w14:paraId="574BBEAC">
            <w:pPr>
              <w:widowControl/>
              <w:snapToGrid w:val="0"/>
              <w:spacing w:line="300" w:lineRule="exact"/>
              <w:jc w:val="center"/>
              <w:rPr>
                <w:rFonts w:asciiTheme="minorEastAsia" w:hAnsiTheme="minorEastAsia" w:cstheme="minorEastAsia"/>
                <w:sz w:val="21"/>
                <w:szCs w:val="21"/>
              </w:rPr>
            </w:pPr>
            <w:r>
              <w:rPr>
                <w:rFonts w:asciiTheme="minorEastAsia" w:hAnsiTheme="minorEastAsia" w:cstheme="minorEastAsia"/>
                <w:kern w:val="0"/>
                <w:sz w:val="21"/>
                <w:szCs w:val="21"/>
              </w:rPr>
              <w:t>1.6</w:t>
            </w:r>
          </w:p>
        </w:tc>
        <w:tc>
          <w:tcPr>
            <w:tcW w:w="1767" w:type="dxa"/>
            <w:vAlign w:val="center"/>
          </w:tcPr>
          <w:p w14:paraId="26CCC150">
            <w:pPr>
              <w:widowControl/>
              <w:snapToGrid w:val="0"/>
              <w:spacing w:line="300" w:lineRule="exact"/>
              <w:jc w:val="center"/>
              <w:rPr>
                <w:rFonts w:asciiTheme="minorEastAsia" w:hAnsiTheme="minorEastAsia" w:cstheme="minorEastAsia"/>
                <w:sz w:val="21"/>
                <w:szCs w:val="21"/>
              </w:rPr>
            </w:pPr>
            <w:r>
              <w:rPr>
                <w:rFonts w:asciiTheme="minorEastAsia" w:hAnsiTheme="minorEastAsia" w:cstheme="minorEastAsia"/>
                <w:kern w:val="0"/>
                <w:sz w:val="21"/>
                <w:szCs w:val="21"/>
              </w:rPr>
              <w:t>1.2</w:t>
            </w:r>
          </w:p>
        </w:tc>
        <w:tc>
          <w:tcPr>
            <w:tcW w:w="1663" w:type="dxa"/>
            <w:vAlign w:val="center"/>
          </w:tcPr>
          <w:p w14:paraId="3800212A">
            <w:pPr>
              <w:widowControl/>
              <w:snapToGrid w:val="0"/>
              <w:spacing w:line="300" w:lineRule="exact"/>
              <w:jc w:val="center"/>
              <w:rPr>
                <w:rFonts w:asciiTheme="minorEastAsia" w:hAnsiTheme="minorEastAsia" w:cstheme="minorEastAsia"/>
                <w:sz w:val="21"/>
                <w:szCs w:val="21"/>
              </w:rPr>
            </w:pPr>
            <w:r>
              <w:rPr>
                <w:rFonts w:asciiTheme="minorEastAsia" w:hAnsiTheme="minorEastAsia" w:cstheme="minorEastAsia"/>
                <w:kern w:val="0"/>
                <w:sz w:val="21"/>
                <w:szCs w:val="21"/>
              </w:rPr>
              <w:t>1</w:t>
            </w:r>
          </w:p>
        </w:tc>
      </w:tr>
    </w:tbl>
    <w:p w14:paraId="67581AB4">
      <w:pPr>
        <w:snapToGrid w:val="0"/>
        <w:spacing w:before="156" w:beforeLines="50"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以上述案例为例，假定评估的重大错报风险和其他实质性程序未能发现重大错</w:t>
      </w:r>
    </w:p>
    <w:p w14:paraId="67121ED9">
      <w:pPr>
        <w:snapToGrid w:val="0"/>
        <w:spacing w:line="360" w:lineRule="auto"/>
        <w:ind w:firstLine="0" w:firstLineChars="0"/>
        <w:rPr>
          <w:rFonts w:asciiTheme="minorEastAsia" w:hAnsiTheme="minorEastAsia" w:eastAsiaTheme="minorEastAsia" w:cstheme="minorEastAsia"/>
          <w:color w:val="auto"/>
          <w:sz w:val="24"/>
        </w:rPr>
      </w:pPr>
      <w:r>
        <w:rPr>
          <w:rFonts w:hint="eastAsia" w:asciiTheme="minorEastAsia" w:hAnsiTheme="minorEastAsia" w:cstheme="minorEastAsia"/>
          <w:sz w:val="24"/>
        </w:rPr>
        <w:t>报的风险均为最高，保证系数为3。</w:t>
      </w:r>
    </w:p>
    <w:p w14:paraId="5A931A4B">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样本规模</w:t>
      </w:r>
      <w:r>
        <w:rPr>
          <w:rFonts w:asciiTheme="minorEastAsia" w:hAnsiTheme="minorEastAsia" w:eastAsiaTheme="minorEastAsia" w:cstheme="minorEastAsia"/>
          <w:sz w:val="24"/>
        </w:rPr>
        <w:t>=16450÷100</w:t>
      </w: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3=495个</w:t>
      </w:r>
    </w:p>
    <w:tbl>
      <w:tblPr>
        <w:tblStyle w:val="12"/>
        <w:tblW w:w="8625" w:type="dxa"/>
        <w:tblInd w:w="105" w:type="dxa"/>
        <w:shd w:val="clear" w:color="auto" w:fill="FFFFFF" w:themeFill="background1"/>
        <w:tblLayout w:type="fixed"/>
        <w:tblCellMar>
          <w:top w:w="0" w:type="dxa"/>
          <w:left w:w="108" w:type="dxa"/>
          <w:bottom w:w="0" w:type="dxa"/>
          <w:right w:w="108" w:type="dxa"/>
        </w:tblCellMar>
      </w:tblPr>
      <w:tblGrid>
        <w:gridCol w:w="3855"/>
        <w:gridCol w:w="1884"/>
        <w:gridCol w:w="2886"/>
      </w:tblGrid>
      <w:tr w14:paraId="4F4A019E">
        <w:tblPrEx>
          <w:shd w:val="clear" w:color="auto" w:fill="FFFFFF" w:themeFill="background1"/>
          <w:tblCellMar>
            <w:top w:w="0" w:type="dxa"/>
            <w:left w:w="108" w:type="dxa"/>
            <w:bottom w:w="0" w:type="dxa"/>
            <w:right w:w="108" w:type="dxa"/>
          </w:tblCellMar>
        </w:tblPrEx>
        <w:trPr>
          <w:trHeight w:val="365" w:hRule="atLeast"/>
        </w:trPr>
        <w:tc>
          <w:tcPr>
            <w:tcW w:w="385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AF85B23">
            <w:pPr>
              <w:widowControl/>
              <w:snapToGrid w:val="0"/>
              <w:spacing w:line="32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项</w:t>
            </w:r>
            <w:r>
              <w:rPr>
                <w:rFonts w:asciiTheme="minorEastAsia" w:hAnsiTheme="minorEastAsia" w:eastAsiaTheme="minorEastAsia" w:cstheme="minorEastAsia"/>
                <w:b/>
                <w:bCs/>
                <w:kern w:val="0"/>
                <w:szCs w:val="21"/>
              </w:rPr>
              <w:t xml:space="preserve"> </w:t>
            </w:r>
            <w:r>
              <w:rPr>
                <w:rFonts w:hint="eastAsia" w:asciiTheme="minorEastAsia" w:hAnsiTheme="minorEastAsia" w:eastAsiaTheme="minorEastAsia" w:cstheme="minorEastAsia"/>
                <w:b/>
                <w:bCs/>
                <w:kern w:val="0"/>
                <w:szCs w:val="21"/>
              </w:rPr>
              <w:t>目</w:t>
            </w:r>
          </w:p>
        </w:tc>
        <w:tc>
          <w:tcPr>
            <w:tcW w:w="1884" w:type="dxa"/>
            <w:tcBorders>
              <w:top w:val="single" w:color="auto" w:sz="4" w:space="0"/>
              <w:left w:val="nil"/>
              <w:bottom w:val="single" w:color="auto" w:sz="4" w:space="0"/>
              <w:right w:val="single" w:color="auto" w:sz="4" w:space="0"/>
            </w:tcBorders>
            <w:shd w:val="clear" w:color="auto" w:fill="FFFFFF" w:themeFill="background1"/>
            <w:vAlign w:val="center"/>
          </w:tcPr>
          <w:p w14:paraId="28F8107B">
            <w:pPr>
              <w:widowControl/>
              <w:snapToGrid w:val="0"/>
              <w:spacing w:line="32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金额</w:t>
            </w:r>
          </w:p>
        </w:tc>
        <w:tc>
          <w:tcPr>
            <w:tcW w:w="2886" w:type="dxa"/>
            <w:tcBorders>
              <w:top w:val="single" w:color="auto" w:sz="4" w:space="0"/>
              <w:left w:val="nil"/>
              <w:bottom w:val="single" w:color="auto" w:sz="4" w:space="0"/>
              <w:right w:val="single" w:color="auto" w:sz="4" w:space="0"/>
            </w:tcBorders>
            <w:shd w:val="clear" w:color="auto" w:fill="FFFFFF" w:themeFill="background1"/>
            <w:vAlign w:val="center"/>
          </w:tcPr>
          <w:p w14:paraId="67F1B530">
            <w:pPr>
              <w:widowControl/>
              <w:snapToGrid w:val="0"/>
              <w:spacing w:line="32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项目数量</w:t>
            </w:r>
          </w:p>
        </w:tc>
      </w:tr>
      <w:tr w14:paraId="0A649B98">
        <w:tblPrEx>
          <w:shd w:val="clear" w:color="auto" w:fill="FFFFFF" w:themeFill="background1"/>
          <w:tblCellMar>
            <w:top w:w="0" w:type="dxa"/>
            <w:left w:w="108" w:type="dxa"/>
            <w:bottom w:w="0" w:type="dxa"/>
            <w:right w:w="108" w:type="dxa"/>
          </w:tblCellMar>
        </w:tblPrEx>
        <w:trPr>
          <w:trHeight w:val="390" w:hRule="atLeast"/>
        </w:trPr>
        <w:tc>
          <w:tcPr>
            <w:tcW w:w="3855" w:type="dxa"/>
            <w:tcBorders>
              <w:top w:val="nil"/>
              <w:left w:val="single" w:color="auto" w:sz="4" w:space="0"/>
              <w:bottom w:val="single" w:color="auto" w:sz="4" w:space="0"/>
              <w:right w:val="single" w:color="auto" w:sz="4" w:space="0"/>
            </w:tcBorders>
            <w:shd w:val="clear" w:color="auto" w:fill="FFFFFF" w:themeFill="background1"/>
            <w:noWrap/>
            <w:vAlign w:val="center"/>
          </w:tcPr>
          <w:p w14:paraId="0FC707E3">
            <w:pPr>
              <w:widowControl/>
              <w:snapToGrid w:val="0"/>
              <w:spacing w:line="32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待抽样的测试总体（扣除特定项目后）</w:t>
            </w:r>
          </w:p>
        </w:tc>
        <w:tc>
          <w:tcPr>
            <w:tcW w:w="1884" w:type="dxa"/>
            <w:tcBorders>
              <w:top w:val="nil"/>
              <w:left w:val="nil"/>
              <w:bottom w:val="single" w:color="auto" w:sz="4" w:space="0"/>
              <w:right w:val="single" w:color="auto" w:sz="4" w:space="0"/>
            </w:tcBorders>
            <w:shd w:val="clear" w:color="auto" w:fill="FFFFFF" w:themeFill="background1"/>
            <w:noWrap/>
            <w:vAlign w:val="center"/>
          </w:tcPr>
          <w:p w14:paraId="3EF7FBD8">
            <w:pPr>
              <w:widowControl/>
              <w:snapToGrid w:val="0"/>
              <w:spacing w:line="320" w:lineRule="exact"/>
              <w:ind w:right="0" w:rightChars="0"/>
              <w:jc w:val="center"/>
              <w:rPr>
                <w:rFonts w:asciiTheme="minorEastAsia" w:hAnsiTheme="minorEastAsia" w:eastAsiaTheme="minorEastAsia" w:cstheme="minorEastAsia"/>
                <w:kern w:val="0"/>
                <w:szCs w:val="21"/>
              </w:rPr>
            </w:pPr>
            <w:r>
              <w:rPr>
                <w:rFonts w:hint="eastAsia" w:asciiTheme="minorEastAsia" w:hAnsiTheme="minorEastAsia" w:cstheme="minorEastAsia"/>
                <w:szCs w:val="21"/>
              </w:rPr>
              <w:t>16,450.00</w:t>
            </w:r>
          </w:p>
        </w:tc>
        <w:tc>
          <w:tcPr>
            <w:tcW w:w="2886" w:type="dxa"/>
            <w:tcBorders>
              <w:top w:val="nil"/>
              <w:left w:val="nil"/>
              <w:bottom w:val="single" w:color="auto" w:sz="4" w:space="0"/>
              <w:right w:val="single" w:color="auto" w:sz="4" w:space="0"/>
            </w:tcBorders>
            <w:shd w:val="clear" w:color="auto" w:fill="FFFFFF" w:themeFill="background1"/>
            <w:noWrap/>
            <w:vAlign w:val="center"/>
          </w:tcPr>
          <w:p w14:paraId="5D57512F">
            <w:pPr>
              <w:widowControl/>
              <w:snapToGrid w:val="0"/>
              <w:spacing w:line="320" w:lineRule="exact"/>
              <w:ind w:right="0" w:rightChars="0"/>
              <w:jc w:val="center"/>
              <w:rPr>
                <w:rFonts w:asciiTheme="minorEastAsia" w:hAnsiTheme="minorEastAsia" w:eastAsiaTheme="minorEastAsia" w:cstheme="minorEastAsia"/>
                <w:kern w:val="0"/>
                <w:szCs w:val="21"/>
              </w:rPr>
            </w:pPr>
            <w:r>
              <w:rPr>
                <w:rFonts w:hint="eastAsia" w:asciiTheme="minorEastAsia" w:hAnsiTheme="minorEastAsia" w:cstheme="minorEastAsia"/>
                <w:szCs w:val="21"/>
              </w:rPr>
              <w:t>1,300</w:t>
            </w:r>
          </w:p>
        </w:tc>
      </w:tr>
      <w:tr w14:paraId="673E6D6F">
        <w:tblPrEx>
          <w:shd w:val="clear" w:color="auto" w:fill="FFFFFF" w:themeFill="background1"/>
          <w:tblCellMar>
            <w:top w:w="0" w:type="dxa"/>
            <w:left w:w="108" w:type="dxa"/>
            <w:bottom w:w="0" w:type="dxa"/>
            <w:right w:w="108" w:type="dxa"/>
          </w:tblCellMar>
        </w:tblPrEx>
        <w:trPr>
          <w:trHeight w:val="345" w:hRule="atLeast"/>
        </w:trPr>
        <w:tc>
          <w:tcPr>
            <w:tcW w:w="3855" w:type="dxa"/>
            <w:tcBorders>
              <w:top w:val="nil"/>
              <w:left w:val="single" w:color="auto" w:sz="4" w:space="0"/>
              <w:bottom w:val="single" w:color="auto" w:sz="4" w:space="0"/>
              <w:right w:val="single" w:color="auto" w:sz="4" w:space="0"/>
            </w:tcBorders>
            <w:shd w:val="clear" w:color="auto" w:fill="FFFFFF" w:themeFill="background1"/>
            <w:noWrap/>
            <w:vAlign w:val="center"/>
          </w:tcPr>
          <w:p w14:paraId="149F4B91">
            <w:pPr>
              <w:widowControl/>
              <w:snapToGrid w:val="0"/>
              <w:spacing w:line="32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可容忍错报</w:t>
            </w:r>
          </w:p>
        </w:tc>
        <w:tc>
          <w:tcPr>
            <w:tcW w:w="1884" w:type="dxa"/>
            <w:tcBorders>
              <w:top w:val="nil"/>
              <w:left w:val="nil"/>
              <w:bottom w:val="single" w:color="auto" w:sz="4" w:space="0"/>
              <w:right w:val="single" w:color="auto" w:sz="4" w:space="0"/>
            </w:tcBorders>
            <w:shd w:val="clear" w:color="auto" w:fill="FFFFFF" w:themeFill="background1"/>
            <w:noWrap/>
            <w:vAlign w:val="center"/>
          </w:tcPr>
          <w:p w14:paraId="5D138991">
            <w:pPr>
              <w:widowControl/>
              <w:snapToGrid w:val="0"/>
              <w:spacing w:line="320" w:lineRule="exact"/>
              <w:ind w:right="0" w:rightChars="0"/>
              <w:jc w:val="center"/>
              <w:rPr>
                <w:rFonts w:asciiTheme="minorEastAsia" w:hAnsiTheme="minorEastAsia" w:eastAsiaTheme="minorEastAsia" w:cstheme="minorEastAsia"/>
                <w:kern w:val="0"/>
                <w:szCs w:val="21"/>
              </w:rPr>
            </w:pPr>
            <w:r>
              <w:rPr>
                <w:rFonts w:hint="eastAsia" w:asciiTheme="minorEastAsia" w:hAnsiTheme="minorEastAsia" w:cstheme="minorEastAsia"/>
                <w:szCs w:val="21"/>
              </w:rPr>
              <w:t>100</w:t>
            </w:r>
          </w:p>
        </w:tc>
        <w:tc>
          <w:tcPr>
            <w:tcW w:w="2886" w:type="dxa"/>
            <w:tcBorders>
              <w:top w:val="nil"/>
              <w:left w:val="nil"/>
              <w:bottom w:val="single" w:color="auto" w:sz="4" w:space="0"/>
              <w:right w:val="single" w:color="auto" w:sz="4" w:space="0"/>
            </w:tcBorders>
            <w:shd w:val="clear" w:color="auto" w:fill="FFFFFF" w:themeFill="background1"/>
            <w:noWrap/>
            <w:vAlign w:val="center"/>
          </w:tcPr>
          <w:p w14:paraId="65913C5D">
            <w:pPr>
              <w:widowControl/>
              <w:snapToGrid w:val="0"/>
              <w:spacing w:line="320" w:lineRule="exact"/>
              <w:ind w:right="349" w:rightChars="166"/>
              <w:jc w:val="center"/>
              <w:rPr>
                <w:rFonts w:asciiTheme="minorEastAsia" w:hAnsiTheme="minorEastAsia" w:eastAsiaTheme="minorEastAsia" w:cstheme="minorEastAsia"/>
                <w:kern w:val="0"/>
                <w:szCs w:val="21"/>
              </w:rPr>
            </w:pPr>
          </w:p>
        </w:tc>
      </w:tr>
      <w:tr w14:paraId="179D4564">
        <w:tblPrEx>
          <w:shd w:val="clear" w:color="auto" w:fill="FFFFFF" w:themeFill="background1"/>
          <w:tblCellMar>
            <w:top w:w="0" w:type="dxa"/>
            <w:left w:w="108" w:type="dxa"/>
            <w:bottom w:w="0" w:type="dxa"/>
            <w:right w:w="108" w:type="dxa"/>
          </w:tblCellMar>
        </w:tblPrEx>
        <w:trPr>
          <w:trHeight w:val="355" w:hRule="atLeast"/>
        </w:trPr>
        <w:tc>
          <w:tcPr>
            <w:tcW w:w="3855" w:type="dxa"/>
            <w:tcBorders>
              <w:top w:val="nil"/>
              <w:left w:val="single" w:color="auto" w:sz="4" w:space="0"/>
              <w:bottom w:val="single" w:color="auto" w:sz="4" w:space="0"/>
              <w:right w:val="single" w:color="auto" w:sz="4" w:space="0"/>
            </w:tcBorders>
            <w:shd w:val="clear" w:color="auto" w:fill="FFFFFF" w:themeFill="background1"/>
            <w:noWrap/>
            <w:vAlign w:val="center"/>
          </w:tcPr>
          <w:p w14:paraId="255E4F54">
            <w:pPr>
              <w:widowControl/>
              <w:snapToGrid w:val="0"/>
              <w:spacing w:line="32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保证系数</w:t>
            </w:r>
          </w:p>
        </w:tc>
        <w:tc>
          <w:tcPr>
            <w:tcW w:w="1884" w:type="dxa"/>
            <w:tcBorders>
              <w:top w:val="nil"/>
              <w:left w:val="nil"/>
              <w:bottom w:val="single" w:color="auto" w:sz="4" w:space="0"/>
              <w:right w:val="single" w:color="auto" w:sz="4" w:space="0"/>
            </w:tcBorders>
            <w:shd w:val="clear" w:color="auto" w:fill="FFFFFF" w:themeFill="background1"/>
            <w:noWrap/>
            <w:vAlign w:val="center"/>
          </w:tcPr>
          <w:p w14:paraId="050BD8C5">
            <w:pPr>
              <w:widowControl/>
              <w:snapToGrid w:val="0"/>
              <w:spacing w:line="320" w:lineRule="exact"/>
              <w:ind w:right="0" w:rightChars="0"/>
              <w:jc w:val="center"/>
              <w:rPr>
                <w:rFonts w:asciiTheme="minorEastAsia" w:hAnsiTheme="minorEastAsia" w:eastAsiaTheme="minorEastAsia" w:cstheme="minorEastAsia"/>
                <w:kern w:val="0"/>
                <w:szCs w:val="21"/>
              </w:rPr>
            </w:pPr>
            <w:r>
              <w:rPr>
                <w:rFonts w:hint="eastAsia" w:asciiTheme="minorEastAsia" w:hAnsiTheme="minorEastAsia" w:cstheme="minorEastAsia"/>
                <w:szCs w:val="21"/>
              </w:rPr>
              <w:t>3</w:t>
            </w:r>
          </w:p>
        </w:tc>
        <w:tc>
          <w:tcPr>
            <w:tcW w:w="2886" w:type="dxa"/>
            <w:tcBorders>
              <w:top w:val="nil"/>
              <w:left w:val="nil"/>
              <w:bottom w:val="single" w:color="auto" w:sz="4" w:space="0"/>
              <w:right w:val="single" w:color="auto" w:sz="4" w:space="0"/>
            </w:tcBorders>
            <w:shd w:val="clear" w:color="auto" w:fill="FFFFFF" w:themeFill="background1"/>
            <w:noWrap/>
            <w:vAlign w:val="center"/>
          </w:tcPr>
          <w:p w14:paraId="1E5B73A1">
            <w:pPr>
              <w:widowControl/>
              <w:snapToGrid w:val="0"/>
              <w:spacing w:line="320" w:lineRule="exact"/>
              <w:ind w:right="349" w:rightChars="166"/>
              <w:jc w:val="center"/>
              <w:rPr>
                <w:rFonts w:asciiTheme="minorEastAsia" w:hAnsiTheme="minorEastAsia" w:eastAsiaTheme="minorEastAsia" w:cstheme="minorEastAsia"/>
                <w:kern w:val="0"/>
                <w:szCs w:val="21"/>
              </w:rPr>
            </w:pPr>
          </w:p>
        </w:tc>
      </w:tr>
      <w:tr w14:paraId="5C4EFD4E">
        <w:tblPrEx>
          <w:shd w:val="clear" w:color="auto" w:fill="FFFFFF" w:themeFill="background1"/>
          <w:tblCellMar>
            <w:top w:w="0" w:type="dxa"/>
            <w:left w:w="108" w:type="dxa"/>
            <w:bottom w:w="0" w:type="dxa"/>
            <w:right w:w="108" w:type="dxa"/>
          </w:tblCellMar>
        </w:tblPrEx>
        <w:trPr>
          <w:trHeight w:val="375" w:hRule="atLeast"/>
        </w:trPr>
        <w:tc>
          <w:tcPr>
            <w:tcW w:w="3855" w:type="dxa"/>
            <w:tcBorders>
              <w:top w:val="nil"/>
              <w:left w:val="single" w:color="auto" w:sz="4" w:space="0"/>
              <w:bottom w:val="single" w:color="auto" w:sz="4" w:space="0"/>
              <w:right w:val="single" w:color="auto" w:sz="4" w:space="0"/>
            </w:tcBorders>
            <w:shd w:val="clear" w:color="auto" w:fill="FFFFFF" w:themeFill="background1"/>
            <w:noWrap/>
            <w:vAlign w:val="center"/>
          </w:tcPr>
          <w:p w14:paraId="4B0E5796">
            <w:pPr>
              <w:widowControl/>
              <w:snapToGrid w:val="0"/>
              <w:spacing w:line="32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样本规模</w:t>
            </w:r>
          </w:p>
        </w:tc>
        <w:tc>
          <w:tcPr>
            <w:tcW w:w="1884" w:type="dxa"/>
            <w:tcBorders>
              <w:top w:val="nil"/>
              <w:left w:val="nil"/>
              <w:bottom w:val="single" w:color="auto" w:sz="4" w:space="0"/>
              <w:right w:val="single" w:color="auto" w:sz="4" w:space="0"/>
            </w:tcBorders>
            <w:shd w:val="clear" w:color="auto" w:fill="FFFFFF" w:themeFill="background1"/>
            <w:noWrap/>
            <w:vAlign w:val="center"/>
          </w:tcPr>
          <w:p w14:paraId="2FB0F292">
            <w:pPr>
              <w:widowControl/>
              <w:snapToGrid w:val="0"/>
              <w:spacing w:line="320" w:lineRule="exact"/>
              <w:ind w:right="349" w:rightChars="166"/>
              <w:jc w:val="center"/>
              <w:rPr>
                <w:rFonts w:asciiTheme="minorEastAsia" w:hAnsiTheme="minorEastAsia" w:eastAsiaTheme="minorEastAsia" w:cstheme="minorEastAsia"/>
                <w:kern w:val="0"/>
                <w:szCs w:val="21"/>
              </w:rPr>
            </w:pPr>
          </w:p>
        </w:tc>
        <w:tc>
          <w:tcPr>
            <w:tcW w:w="2886" w:type="dxa"/>
            <w:tcBorders>
              <w:top w:val="nil"/>
              <w:left w:val="nil"/>
              <w:bottom w:val="single" w:color="auto" w:sz="4" w:space="0"/>
              <w:right w:val="single" w:color="auto" w:sz="4" w:space="0"/>
            </w:tcBorders>
            <w:shd w:val="clear" w:color="auto" w:fill="FFFFFF" w:themeFill="background1"/>
            <w:noWrap/>
            <w:vAlign w:val="center"/>
          </w:tcPr>
          <w:p w14:paraId="256F8AEC">
            <w:pPr>
              <w:widowControl/>
              <w:snapToGrid w:val="0"/>
              <w:spacing w:line="320" w:lineRule="exact"/>
              <w:ind w:right="0" w:rightChars="0"/>
              <w:jc w:val="center"/>
              <w:rPr>
                <w:rFonts w:asciiTheme="minorEastAsia" w:hAnsiTheme="minorEastAsia" w:eastAsiaTheme="minorEastAsia" w:cstheme="minorEastAsia"/>
                <w:kern w:val="0"/>
                <w:szCs w:val="21"/>
              </w:rPr>
            </w:pPr>
            <w:r>
              <w:rPr>
                <w:rFonts w:hint="eastAsia" w:asciiTheme="minorEastAsia" w:hAnsiTheme="minorEastAsia" w:cstheme="minorEastAsia"/>
                <w:szCs w:val="21"/>
              </w:rPr>
              <w:t>495</w:t>
            </w:r>
          </w:p>
        </w:tc>
      </w:tr>
      <w:tr w14:paraId="6F1E83F0">
        <w:tblPrEx>
          <w:shd w:val="clear" w:color="auto" w:fill="FFFFFF" w:themeFill="background1"/>
          <w:tblCellMar>
            <w:top w:w="0" w:type="dxa"/>
            <w:left w:w="108" w:type="dxa"/>
            <w:bottom w:w="0" w:type="dxa"/>
            <w:right w:w="108" w:type="dxa"/>
          </w:tblCellMar>
        </w:tblPrEx>
        <w:trPr>
          <w:trHeight w:val="375" w:hRule="atLeast"/>
        </w:trPr>
        <w:tc>
          <w:tcPr>
            <w:tcW w:w="3855" w:type="dxa"/>
            <w:tcBorders>
              <w:top w:val="nil"/>
              <w:left w:val="single" w:color="auto" w:sz="4" w:space="0"/>
              <w:bottom w:val="single" w:color="auto" w:sz="4" w:space="0"/>
              <w:right w:val="single" w:color="auto" w:sz="4" w:space="0"/>
            </w:tcBorders>
            <w:shd w:val="clear" w:color="auto" w:fill="FFFFFF" w:themeFill="background1"/>
            <w:noWrap/>
            <w:vAlign w:val="center"/>
          </w:tcPr>
          <w:p w14:paraId="22A18CF2">
            <w:pPr>
              <w:widowControl/>
              <w:snapToGrid w:val="0"/>
              <w:spacing w:line="32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重大项目数量</w:t>
            </w:r>
          </w:p>
        </w:tc>
        <w:tc>
          <w:tcPr>
            <w:tcW w:w="1884" w:type="dxa"/>
            <w:tcBorders>
              <w:top w:val="nil"/>
              <w:left w:val="nil"/>
              <w:bottom w:val="single" w:color="auto" w:sz="4" w:space="0"/>
              <w:right w:val="single" w:color="auto" w:sz="4" w:space="0"/>
            </w:tcBorders>
            <w:shd w:val="clear" w:color="auto" w:fill="FFFFFF" w:themeFill="background1"/>
            <w:noWrap/>
            <w:vAlign w:val="center"/>
          </w:tcPr>
          <w:p w14:paraId="3CC0AA3D">
            <w:pPr>
              <w:widowControl/>
              <w:snapToGrid w:val="0"/>
              <w:spacing w:line="320" w:lineRule="exact"/>
              <w:ind w:right="349" w:rightChars="166"/>
              <w:jc w:val="center"/>
              <w:rPr>
                <w:rFonts w:asciiTheme="minorEastAsia" w:hAnsiTheme="minorEastAsia" w:eastAsiaTheme="minorEastAsia" w:cstheme="minorEastAsia"/>
                <w:kern w:val="0"/>
                <w:szCs w:val="21"/>
              </w:rPr>
            </w:pPr>
          </w:p>
        </w:tc>
        <w:tc>
          <w:tcPr>
            <w:tcW w:w="2886" w:type="dxa"/>
            <w:tcBorders>
              <w:top w:val="nil"/>
              <w:left w:val="nil"/>
              <w:bottom w:val="single" w:color="auto" w:sz="4" w:space="0"/>
              <w:right w:val="single" w:color="auto" w:sz="4" w:space="0"/>
            </w:tcBorders>
            <w:shd w:val="clear" w:color="auto" w:fill="FFFFFF" w:themeFill="background1"/>
            <w:noWrap/>
            <w:vAlign w:val="center"/>
          </w:tcPr>
          <w:p w14:paraId="318FD8B1">
            <w:pPr>
              <w:widowControl/>
              <w:snapToGrid w:val="0"/>
              <w:spacing w:line="320" w:lineRule="exact"/>
              <w:ind w:right="0" w:rightChars="0"/>
              <w:jc w:val="center"/>
              <w:rPr>
                <w:rFonts w:asciiTheme="minorEastAsia" w:hAnsiTheme="minorEastAsia" w:eastAsiaTheme="minorEastAsia" w:cstheme="minorEastAsia"/>
                <w:kern w:val="0"/>
                <w:szCs w:val="21"/>
              </w:rPr>
            </w:pPr>
            <w:r>
              <w:rPr>
                <w:rFonts w:hint="eastAsia" w:asciiTheme="minorEastAsia" w:hAnsiTheme="minorEastAsia" w:cstheme="minorEastAsia"/>
                <w:szCs w:val="21"/>
              </w:rPr>
              <w:t>22</w:t>
            </w:r>
          </w:p>
        </w:tc>
      </w:tr>
      <w:tr w14:paraId="563831F5">
        <w:tblPrEx>
          <w:shd w:val="clear" w:color="auto" w:fill="FFFFFF" w:themeFill="background1"/>
          <w:tblCellMar>
            <w:top w:w="0" w:type="dxa"/>
            <w:left w:w="108" w:type="dxa"/>
            <w:bottom w:w="0" w:type="dxa"/>
            <w:right w:w="108" w:type="dxa"/>
          </w:tblCellMar>
        </w:tblPrEx>
        <w:trPr>
          <w:trHeight w:val="480" w:hRule="atLeast"/>
        </w:trPr>
        <w:tc>
          <w:tcPr>
            <w:tcW w:w="3855" w:type="dxa"/>
            <w:tcBorders>
              <w:top w:val="nil"/>
              <w:left w:val="single" w:color="auto" w:sz="4" w:space="0"/>
              <w:bottom w:val="single" w:color="auto" w:sz="4" w:space="0"/>
              <w:right w:val="single" w:color="auto" w:sz="4" w:space="0"/>
            </w:tcBorders>
            <w:shd w:val="clear" w:color="auto" w:fill="FFFFFF" w:themeFill="background1"/>
            <w:noWrap/>
            <w:vAlign w:val="center"/>
          </w:tcPr>
          <w:p w14:paraId="7EB926E5">
            <w:pPr>
              <w:widowControl/>
              <w:snapToGrid w:val="0"/>
              <w:spacing w:line="32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需函</w:t>
            </w:r>
            <w:r>
              <w:rPr>
                <w:rFonts w:hint="eastAsia" w:asciiTheme="minorEastAsia" w:hAnsiTheme="minorEastAsia" w:eastAsiaTheme="minorEastAsia" w:cstheme="minorEastAsia"/>
                <w:kern w:val="0"/>
                <w:szCs w:val="21"/>
              </w:rPr>
              <w:t>证</w:t>
            </w:r>
            <w:r>
              <w:rPr>
                <w:rFonts w:hint="eastAsia" w:asciiTheme="minorEastAsia" w:hAnsiTheme="minorEastAsia" w:eastAsiaTheme="minorEastAsia" w:cstheme="minorEastAsia"/>
                <w:kern w:val="0"/>
                <w:szCs w:val="21"/>
              </w:rPr>
              <w:t>的全部数量</w:t>
            </w:r>
          </w:p>
        </w:tc>
        <w:tc>
          <w:tcPr>
            <w:tcW w:w="1884" w:type="dxa"/>
            <w:tcBorders>
              <w:top w:val="nil"/>
              <w:left w:val="nil"/>
              <w:bottom w:val="single" w:color="auto" w:sz="4" w:space="0"/>
              <w:right w:val="single" w:color="auto" w:sz="4" w:space="0"/>
            </w:tcBorders>
            <w:shd w:val="clear" w:color="auto" w:fill="FFFFFF" w:themeFill="background1"/>
            <w:noWrap/>
            <w:vAlign w:val="center"/>
          </w:tcPr>
          <w:p w14:paraId="3176BBFE">
            <w:pPr>
              <w:widowControl/>
              <w:snapToGrid w:val="0"/>
              <w:spacing w:line="320" w:lineRule="exact"/>
              <w:ind w:right="349" w:rightChars="166"/>
              <w:jc w:val="center"/>
              <w:rPr>
                <w:rFonts w:asciiTheme="minorEastAsia" w:hAnsiTheme="minorEastAsia" w:eastAsiaTheme="minorEastAsia" w:cstheme="minorEastAsia"/>
                <w:kern w:val="0"/>
                <w:szCs w:val="21"/>
              </w:rPr>
            </w:pPr>
          </w:p>
        </w:tc>
        <w:tc>
          <w:tcPr>
            <w:tcW w:w="2886" w:type="dxa"/>
            <w:tcBorders>
              <w:top w:val="nil"/>
              <w:left w:val="nil"/>
              <w:bottom w:val="single" w:color="auto" w:sz="4" w:space="0"/>
              <w:right w:val="single" w:color="auto" w:sz="4" w:space="0"/>
            </w:tcBorders>
            <w:shd w:val="clear" w:color="auto" w:fill="FFFFFF" w:themeFill="background1"/>
            <w:noWrap/>
            <w:vAlign w:val="center"/>
          </w:tcPr>
          <w:p w14:paraId="03D2B804">
            <w:pPr>
              <w:widowControl/>
              <w:snapToGrid w:val="0"/>
              <w:spacing w:line="320" w:lineRule="exact"/>
              <w:ind w:right="0" w:rightChars="0"/>
              <w:jc w:val="center"/>
              <w:rPr>
                <w:rFonts w:asciiTheme="minorEastAsia" w:hAnsiTheme="minorEastAsia" w:eastAsiaTheme="minorEastAsia" w:cstheme="minorEastAsia"/>
                <w:kern w:val="0"/>
                <w:szCs w:val="21"/>
              </w:rPr>
            </w:pPr>
            <w:r>
              <w:rPr>
                <w:rFonts w:hint="eastAsia" w:asciiTheme="minorEastAsia" w:hAnsiTheme="minorEastAsia" w:cstheme="minorEastAsia"/>
                <w:szCs w:val="21"/>
              </w:rPr>
              <w:t>517</w:t>
            </w:r>
          </w:p>
        </w:tc>
      </w:tr>
    </w:tbl>
    <w:p w14:paraId="2B2B3407">
      <w:pPr>
        <w:snapToGrid w:val="0"/>
        <w:spacing w:line="360" w:lineRule="auto"/>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3）样本选取</w:t>
      </w:r>
    </w:p>
    <w:tbl>
      <w:tblPr>
        <w:tblStyle w:val="1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98"/>
        <w:gridCol w:w="3436"/>
        <w:gridCol w:w="4300"/>
        <w:tblGridChange w:id="2">
          <w:tblGrid>
            <w:gridCol w:w="111"/>
            <w:gridCol w:w="987"/>
            <w:gridCol w:w="111"/>
            <w:gridCol w:w="3325"/>
            <w:gridCol w:w="4078"/>
          </w:tblGrid>
        </w:tblGridChange>
      </w:tblGrid>
      <w:tr w14:paraId="26BB40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atLeast"/>
        </w:trPr>
        <w:tc>
          <w:tcPr>
            <w:tcW w:w="1098" w:type="dxa"/>
            <w:tcBorders>
              <w:tl2br w:val="nil"/>
              <w:tr2bl w:val="nil"/>
            </w:tcBorders>
            <w:shd w:val="clear" w:color="auto" w:fill="auto"/>
            <w:vAlign w:val="center"/>
          </w:tcPr>
          <w:p w14:paraId="5742B0D0">
            <w:pPr>
              <w:widowControl/>
              <w:snapToGrid w:val="0"/>
              <w:spacing w:line="340" w:lineRule="exact"/>
              <w:jc w:val="center"/>
              <w:textAlignment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lang w:bidi="ar"/>
              </w:rPr>
              <w:t>方法</w:t>
            </w:r>
          </w:p>
        </w:tc>
        <w:tc>
          <w:tcPr>
            <w:tcW w:w="3436" w:type="dxa"/>
            <w:tcBorders>
              <w:tl2br w:val="nil"/>
              <w:tr2bl w:val="nil"/>
            </w:tcBorders>
            <w:shd w:val="clear" w:color="auto" w:fill="auto"/>
            <w:vAlign w:val="center"/>
          </w:tcPr>
          <w:p w14:paraId="79047C9F">
            <w:pPr>
              <w:widowControl/>
              <w:snapToGrid w:val="0"/>
              <w:spacing w:line="340" w:lineRule="exact"/>
              <w:jc w:val="center"/>
              <w:textAlignment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lang w:bidi="ar"/>
              </w:rPr>
              <w:t>适用场景</w:t>
            </w:r>
          </w:p>
        </w:tc>
        <w:tc>
          <w:tcPr>
            <w:tcW w:w="0" w:type="auto"/>
            <w:tcBorders>
              <w:tl2br w:val="nil"/>
              <w:tr2bl w:val="nil"/>
            </w:tcBorders>
            <w:shd w:val="clear" w:color="auto" w:fill="auto"/>
            <w:vAlign w:val="center"/>
          </w:tcPr>
          <w:p w14:paraId="1C5F1A5B">
            <w:pPr>
              <w:widowControl/>
              <w:snapToGrid w:val="0"/>
              <w:spacing w:line="340" w:lineRule="exact"/>
              <w:jc w:val="center"/>
              <w:textAlignment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lang w:bidi="ar"/>
              </w:rPr>
              <w:t>操作要点</w:t>
            </w:r>
          </w:p>
        </w:tc>
      </w:tr>
      <w:tr w14:paraId="58C023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7" w:hRule="atLeast"/>
        </w:trPr>
        <w:tc>
          <w:tcPr>
            <w:tcW w:w="1098" w:type="dxa"/>
            <w:tcBorders>
              <w:tl2br w:val="nil"/>
              <w:tr2bl w:val="nil"/>
            </w:tcBorders>
            <w:shd w:val="clear" w:color="auto" w:fill="auto"/>
            <w:vAlign w:val="center"/>
          </w:tcPr>
          <w:p w14:paraId="5BCC71E9">
            <w:pPr>
              <w:widowControl/>
              <w:snapToGrid w:val="0"/>
              <w:spacing w:line="340" w:lineRule="exact"/>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随机选样</w:t>
            </w:r>
          </w:p>
        </w:tc>
        <w:tc>
          <w:tcPr>
            <w:tcW w:w="3436" w:type="dxa"/>
            <w:tcBorders>
              <w:tl2br w:val="nil"/>
              <w:tr2bl w:val="nil"/>
            </w:tcBorders>
            <w:shd w:val="clear" w:color="auto" w:fill="auto"/>
            <w:vAlign w:val="center"/>
          </w:tcPr>
          <w:p w14:paraId="2CBE20C9">
            <w:pPr>
              <w:widowControl/>
              <w:snapToGrid w:val="0"/>
              <w:spacing w:line="340" w:lineRule="exact"/>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总体无显著风险特征且分布均匀时。</w:t>
            </w:r>
          </w:p>
        </w:tc>
        <w:tc>
          <w:tcPr>
            <w:tcW w:w="0" w:type="auto"/>
            <w:tcBorders>
              <w:tl2br w:val="nil"/>
              <w:tr2bl w:val="nil"/>
            </w:tcBorders>
            <w:shd w:val="clear" w:color="auto" w:fill="auto"/>
            <w:vAlign w:val="center"/>
          </w:tcPr>
          <w:p w14:paraId="460C5466">
            <w:pPr>
              <w:widowControl/>
              <w:snapToGrid w:val="0"/>
              <w:spacing w:line="340" w:lineRule="exact"/>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使用随机数表或软件生成随机数（如</w:t>
            </w:r>
            <w:r>
              <w:rPr>
                <w:rFonts w:asciiTheme="minorEastAsia" w:hAnsiTheme="minorEastAsia" w:eastAsiaTheme="minorEastAsia" w:cstheme="minorEastAsia"/>
                <w:kern w:val="0"/>
                <w:szCs w:val="21"/>
                <w:lang w:bidi="ar"/>
              </w:rPr>
              <w:t>Excel随机函数），确保每个抽样单元被选概率均等。</w:t>
            </w:r>
          </w:p>
        </w:tc>
      </w:tr>
      <w:tr w14:paraId="54B4CB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5" w:hRule="atLeast"/>
        </w:trPr>
        <w:tc>
          <w:tcPr>
            <w:tcW w:w="1098" w:type="dxa"/>
            <w:vMerge w:val="restart"/>
            <w:tcBorders>
              <w:tl2br w:val="nil"/>
              <w:tr2bl w:val="nil"/>
            </w:tcBorders>
            <w:shd w:val="clear" w:color="auto" w:fill="auto"/>
            <w:vAlign w:val="center"/>
          </w:tcPr>
          <w:p w14:paraId="6222828E">
            <w:pPr>
              <w:widowControl/>
              <w:snapToGrid w:val="0"/>
              <w:spacing w:line="340" w:lineRule="exact"/>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系统选样</w:t>
            </w:r>
          </w:p>
        </w:tc>
        <w:tc>
          <w:tcPr>
            <w:tcW w:w="3436" w:type="dxa"/>
            <w:vMerge w:val="restart"/>
            <w:tcBorders>
              <w:tl2br w:val="nil"/>
              <w:tr2bl w:val="nil"/>
            </w:tcBorders>
            <w:shd w:val="clear" w:color="auto" w:fill="auto"/>
            <w:vAlign w:val="center"/>
          </w:tcPr>
          <w:p w14:paraId="3B00828B">
            <w:pPr>
              <w:widowControl/>
              <w:snapToGrid w:val="0"/>
              <w:spacing w:line="340" w:lineRule="exact"/>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总体排列无周期性偏差（如交易按时间顺序排列但无固定间隔重复模式）。</w:t>
            </w:r>
          </w:p>
        </w:tc>
        <w:tc>
          <w:tcPr>
            <w:tcW w:w="0" w:type="auto"/>
            <w:tcBorders>
              <w:tl2br w:val="nil"/>
              <w:tr2bl w:val="nil"/>
            </w:tcBorders>
            <w:shd w:val="clear" w:color="auto" w:fill="auto"/>
            <w:vAlign w:val="center"/>
          </w:tcPr>
          <w:p w14:paraId="43AEAA74">
            <w:pPr>
              <w:widowControl/>
              <w:snapToGrid w:val="0"/>
              <w:spacing w:line="340" w:lineRule="exact"/>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计算抽样间隔（总体量÷样本量），随机确定起点后按间隔选取样本。</w:t>
            </w:r>
          </w:p>
        </w:tc>
      </w:tr>
      <w:tr w14:paraId="5A0B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5" w:hRule="atLeast"/>
        </w:trPr>
        <w:tc>
          <w:tcPr>
            <w:tcW w:w="1098" w:type="dxa"/>
            <w:vMerge w:val="continue"/>
            <w:tcBorders>
              <w:tl2br w:val="nil"/>
              <w:tr2bl w:val="nil"/>
            </w:tcBorders>
            <w:shd w:val="clear" w:color="auto" w:fill="auto"/>
            <w:vAlign w:val="center"/>
          </w:tcPr>
          <w:p w14:paraId="2C605F80">
            <w:pPr>
              <w:snapToGrid w:val="0"/>
              <w:spacing w:line="340" w:lineRule="exact"/>
              <w:jc w:val="center"/>
              <w:rPr>
                <w:rFonts w:asciiTheme="minorEastAsia" w:hAnsiTheme="minorEastAsia" w:eastAsiaTheme="minorEastAsia" w:cstheme="minorEastAsia"/>
                <w:szCs w:val="21"/>
              </w:rPr>
            </w:pPr>
          </w:p>
        </w:tc>
        <w:tc>
          <w:tcPr>
            <w:tcW w:w="3436" w:type="dxa"/>
            <w:vMerge w:val="continue"/>
            <w:tcBorders>
              <w:tl2br w:val="nil"/>
              <w:tr2bl w:val="nil"/>
            </w:tcBorders>
            <w:shd w:val="clear" w:color="auto" w:fill="auto"/>
            <w:vAlign w:val="center"/>
          </w:tcPr>
          <w:p w14:paraId="5C9F74CD">
            <w:pPr>
              <w:snapToGrid w:val="0"/>
              <w:spacing w:line="340" w:lineRule="exact"/>
              <w:rPr>
                <w:rFonts w:asciiTheme="minorEastAsia" w:hAnsiTheme="minorEastAsia" w:eastAsiaTheme="minorEastAsia" w:cstheme="minorEastAsia"/>
                <w:szCs w:val="21"/>
              </w:rPr>
            </w:pPr>
          </w:p>
        </w:tc>
        <w:tc>
          <w:tcPr>
            <w:tcW w:w="0" w:type="auto"/>
            <w:tcBorders>
              <w:tl2br w:val="nil"/>
              <w:tr2bl w:val="nil"/>
            </w:tcBorders>
            <w:shd w:val="clear" w:color="auto" w:fill="auto"/>
            <w:vAlign w:val="center"/>
          </w:tcPr>
          <w:p w14:paraId="0159342D">
            <w:pPr>
              <w:widowControl/>
              <w:snapToGrid w:val="0"/>
              <w:spacing w:line="340" w:lineRule="exact"/>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注意需验证总体排列不隐含特殊规律（如间隔与月份周期重合）。</w:t>
            </w:r>
          </w:p>
        </w:tc>
      </w:tr>
      <w:tr w14:paraId="6BCCE1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5" w:hRule="atLeast"/>
        </w:trPr>
        <w:tc>
          <w:tcPr>
            <w:tcW w:w="1098" w:type="dxa"/>
            <w:vMerge w:val="restart"/>
            <w:tcBorders>
              <w:tl2br w:val="nil"/>
              <w:tr2bl w:val="nil"/>
            </w:tcBorders>
            <w:shd w:val="clear" w:color="auto" w:fill="auto"/>
            <w:vAlign w:val="center"/>
          </w:tcPr>
          <w:p w14:paraId="07F76E33">
            <w:pPr>
              <w:widowControl/>
              <w:snapToGrid w:val="0"/>
              <w:spacing w:line="340" w:lineRule="exact"/>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货币单元抽样</w:t>
            </w:r>
          </w:p>
        </w:tc>
        <w:tc>
          <w:tcPr>
            <w:tcW w:w="3436" w:type="dxa"/>
            <w:vMerge w:val="restart"/>
            <w:tcBorders>
              <w:tl2br w:val="nil"/>
              <w:tr2bl w:val="nil"/>
            </w:tcBorders>
            <w:shd w:val="clear" w:color="auto" w:fill="auto"/>
            <w:vAlign w:val="center"/>
          </w:tcPr>
          <w:p w14:paraId="7B2873B6">
            <w:pPr>
              <w:widowControl/>
              <w:snapToGrid w:val="0"/>
              <w:spacing w:line="340" w:lineRule="exact"/>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细节测试中高估风险领域（如验证应收账款是否虚增）。</w:t>
            </w:r>
          </w:p>
        </w:tc>
        <w:tc>
          <w:tcPr>
            <w:tcW w:w="0" w:type="auto"/>
            <w:tcBorders>
              <w:tl2br w:val="nil"/>
              <w:tr2bl w:val="nil"/>
            </w:tcBorders>
            <w:shd w:val="clear" w:color="auto" w:fill="auto"/>
            <w:vAlign w:val="center"/>
          </w:tcPr>
          <w:p w14:paraId="6497BCBE">
            <w:pPr>
              <w:widowControl/>
              <w:snapToGrid w:val="0"/>
              <w:spacing w:line="340" w:lineRule="exact"/>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将总体金额转换为货币单元，大金额项目被选概率更高。</w:t>
            </w:r>
          </w:p>
        </w:tc>
      </w:tr>
      <w:tr w14:paraId="720DE4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7" w:hRule="atLeast"/>
        </w:trPr>
        <w:tc>
          <w:tcPr>
            <w:tcW w:w="1098" w:type="dxa"/>
            <w:vMerge w:val="continue"/>
            <w:tcBorders>
              <w:tl2br w:val="nil"/>
              <w:tr2bl w:val="nil"/>
            </w:tcBorders>
            <w:shd w:val="clear" w:color="auto" w:fill="auto"/>
            <w:vAlign w:val="center"/>
          </w:tcPr>
          <w:p w14:paraId="19766114">
            <w:pPr>
              <w:snapToGrid w:val="0"/>
              <w:spacing w:line="340" w:lineRule="exact"/>
              <w:jc w:val="center"/>
              <w:rPr>
                <w:rFonts w:asciiTheme="minorEastAsia" w:hAnsiTheme="minorEastAsia" w:eastAsiaTheme="minorEastAsia" w:cstheme="minorEastAsia"/>
                <w:szCs w:val="21"/>
              </w:rPr>
            </w:pPr>
          </w:p>
        </w:tc>
        <w:tc>
          <w:tcPr>
            <w:tcW w:w="3436" w:type="dxa"/>
            <w:vMerge w:val="continue"/>
            <w:tcBorders>
              <w:tl2br w:val="nil"/>
              <w:tr2bl w:val="nil"/>
            </w:tcBorders>
            <w:shd w:val="clear" w:color="auto" w:fill="auto"/>
            <w:vAlign w:val="center"/>
          </w:tcPr>
          <w:p w14:paraId="04B89708">
            <w:pPr>
              <w:snapToGrid w:val="0"/>
              <w:spacing w:line="340" w:lineRule="exact"/>
              <w:rPr>
                <w:rFonts w:asciiTheme="minorEastAsia" w:hAnsiTheme="minorEastAsia" w:eastAsiaTheme="minorEastAsia" w:cstheme="minorEastAsia"/>
                <w:szCs w:val="21"/>
              </w:rPr>
            </w:pPr>
          </w:p>
        </w:tc>
        <w:tc>
          <w:tcPr>
            <w:tcW w:w="0" w:type="auto"/>
            <w:tcBorders>
              <w:tl2br w:val="nil"/>
              <w:tr2bl w:val="nil"/>
            </w:tcBorders>
            <w:shd w:val="clear" w:color="auto" w:fill="auto"/>
            <w:vAlign w:val="center"/>
          </w:tcPr>
          <w:p w14:paraId="7ACFCB16">
            <w:pPr>
              <w:widowControl/>
              <w:snapToGrid w:val="0"/>
              <w:spacing w:line="340" w:lineRule="exact"/>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示例：某应收账款总金额</w:t>
            </w:r>
            <w:r>
              <w:rPr>
                <w:rFonts w:asciiTheme="minorEastAsia" w:hAnsiTheme="minorEastAsia" w:eastAsiaTheme="minorEastAsia" w:cstheme="minorEastAsia"/>
                <w:kern w:val="0"/>
                <w:szCs w:val="21"/>
                <w:lang w:bidi="ar"/>
              </w:rPr>
              <w:t>1000万元，每个“1元”为一个货币单元，抽取1000个单元对应具体账户。</w:t>
            </w:r>
          </w:p>
        </w:tc>
      </w:tr>
      <w:tr w14:paraId="2C14C5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7" w:hRule="atLeast"/>
        </w:trPr>
        <w:tc>
          <w:tcPr>
            <w:tcW w:w="1098" w:type="dxa"/>
            <w:vMerge w:val="restart"/>
            <w:tcBorders>
              <w:tl2br w:val="nil"/>
              <w:tr2bl w:val="nil"/>
            </w:tcBorders>
            <w:shd w:val="clear" w:color="auto" w:fill="auto"/>
            <w:vAlign w:val="center"/>
          </w:tcPr>
          <w:p w14:paraId="7A47264B">
            <w:pPr>
              <w:widowControl/>
              <w:snapToGrid w:val="0"/>
              <w:spacing w:line="340" w:lineRule="exact"/>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随意选样</w:t>
            </w:r>
          </w:p>
        </w:tc>
        <w:tc>
          <w:tcPr>
            <w:tcW w:w="3436" w:type="dxa"/>
            <w:vMerge w:val="restart"/>
            <w:tcBorders>
              <w:tl2br w:val="nil"/>
              <w:tr2bl w:val="nil"/>
            </w:tcBorders>
            <w:shd w:val="clear" w:color="auto" w:fill="auto"/>
            <w:vAlign w:val="center"/>
          </w:tcPr>
          <w:p w14:paraId="60A731E2">
            <w:pPr>
              <w:widowControl/>
              <w:snapToGrid w:val="0"/>
              <w:spacing w:line="340" w:lineRule="exact"/>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非统计抽样下需覆盖代表性项目，且无结构化方法要求时。</w:t>
            </w:r>
          </w:p>
        </w:tc>
        <w:tc>
          <w:tcPr>
            <w:tcW w:w="0" w:type="auto"/>
            <w:tcBorders>
              <w:tl2br w:val="nil"/>
              <w:tr2bl w:val="nil"/>
            </w:tcBorders>
            <w:shd w:val="clear" w:color="auto" w:fill="auto"/>
            <w:vAlign w:val="center"/>
          </w:tcPr>
          <w:p w14:paraId="4F56DB43">
            <w:pPr>
              <w:widowControl/>
              <w:snapToGrid w:val="0"/>
              <w:spacing w:line="340" w:lineRule="exact"/>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避免主观偏向（如不刻意回避复杂项目或固定选择某位置项目），确保样本反映总体特征。</w:t>
            </w:r>
          </w:p>
        </w:tc>
      </w:tr>
      <w:tr w14:paraId="6AB3CB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trPr>
        <w:tc>
          <w:tcPr>
            <w:tcW w:w="1098" w:type="dxa"/>
            <w:vMerge w:val="continue"/>
            <w:tcBorders>
              <w:tl2br w:val="nil"/>
              <w:tr2bl w:val="nil"/>
            </w:tcBorders>
            <w:shd w:val="clear" w:color="auto" w:fill="auto"/>
            <w:vAlign w:val="center"/>
          </w:tcPr>
          <w:p w14:paraId="0DACAAF8">
            <w:pPr>
              <w:snapToGrid w:val="0"/>
              <w:spacing w:line="340" w:lineRule="exact"/>
              <w:jc w:val="center"/>
              <w:rPr>
                <w:rFonts w:asciiTheme="minorEastAsia" w:hAnsiTheme="minorEastAsia" w:eastAsiaTheme="minorEastAsia" w:cstheme="minorEastAsia"/>
                <w:szCs w:val="21"/>
              </w:rPr>
            </w:pPr>
          </w:p>
        </w:tc>
        <w:tc>
          <w:tcPr>
            <w:tcW w:w="3436" w:type="dxa"/>
            <w:vMerge w:val="continue"/>
            <w:tcBorders>
              <w:tl2br w:val="nil"/>
              <w:tr2bl w:val="nil"/>
            </w:tcBorders>
            <w:shd w:val="clear" w:color="auto" w:fill="auto"/>
            <w:vAlign w:val="center"/>
          </w:tcPr>
          <w:p w14:paraId="721AE0CF">
            <w:pPr>
              <w:snapToGrid w:val="0"/>
              <w:spacing w:line="340" w:lineRule="exact"/>
              <w:rPr>
                <w:rFonts w:asciiTheme="minorEastAsia" w:hAnsiTheme="minorEastAsia" w:eastAsiaTheme="minorEastAsia" w:cstheme="minorEastAsia"/>
                <w:szCs w:val="21"/>
              </w:rPr>
            </w:pPr>
          </w:p>
        </w:tc>
        <w:tc>
          <w:tcPr>
            <w:tcW w:w="0" w:type="auto"/>
            <w:tcBorders>
              <w:tl2br w:val="nil"/>
              <w:tr2bl w:val="nil"/>
            </w:tcBorders>
            <w:shd w:val="clear" w:color="auto" w:fill="auto"/>
            <w:vAlign w:val="center"/>
          </w:tcPr>
          <w:p w14:paraId="75BF4043">
            <w:pPr>
              <w:widowControl/>
              <w:snapToGrid w:val="0"/>
              <w:spacing w:line="340" w:lineRule="exact"/>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禁止在统计抽样中使用此方法。</w:t>
            </w:r>
          </w:p>
        </w:tc>
      </w:tr>
      <w:tr w14:paraId="0C32F1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0" w:hRule="atLeast"/>
        </w:trPr>
        <w:tc>
          <w:tcPr>
            <w:tcW w:w="1098" w:type="dxa"/>
            <w:vMerge w:val="restart"/>
            <w:tcBorders>
              <w:tl2br w:val="nil"/>
              <w:tr2bl w:val="nil"/>
            </w:tcBorders>
            <w:shd w:val="clear" w:color="auto" w:fill="auto"/>
            <w:vAlign w:val="center"/>
          </w:tcPr>
          <w:p w14:paraId="7B4D03A9">
            <w:pPr>
              <w:widowControl/>
              <w:snapToGrid w:val="0"/>
              <w:spacing w:line="340" w:lineRule="exact"/>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整群选样</w:t>
            </w:r>
          </w:p>
        </w:tc>
        <w:tc>
          <w:tcPr>
            <w:tcW w:w="3436" w:type="dxa"/>
            <w:vMerge w:val="restart"/>
            <w:tcBorders>
              <w:tl2br w:val="nil"/>
              <w:tr2bl w:val="nil"/>
            </w:tcBorders>
            <w:shd w:val="clear" w:color="auto" w:fill="auto"/>
            <w:vAlign w:val="center"/>
          </w:tcPr>
          <w:p w14:paraId="126897FE">
            <w:pPr>
              <w:widowControl/>
              <w:snapToGrid w:val="0"/>
              <w:spacing w:line="340" w:lineRule="exact"/>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通常不适用审计抽样，仅在特殊情况下检查连续项目群（如验证某批次存货）。</w:t>
            </w:r>
          </w:p>
        </w:tc>
        <w:tc>
          <w:tcPr>
            <w:tcW w:w="0" w:type="auto"/>
            <w:tcBorders>
              <w:tl2br w:val="nil"/>
              <w:tr2bl w:val="nil"/>
            </w:tcBorders>
            <w:shd w:val="clear" w:color="auto" w:fill="auto"/>
            <w:vAlign w:val="center"/>
          </w:tcPr>
          <w:p w14:paraId="0542C83E">
            <w:pPr>
              <w:widowControl/>
              <w:snapToGrid w:val="0"/>
              <w:spacing w:line="340" w:lineRule="exact"/>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极少使用，因连续项目可能具有相似特征，无法有效推断总体。</w:t>
            </w:r>
          </w:p>
        </w:tc>
      </w:tr>
      <w:tr w14:paraId="717ABB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5" w:hRule="atLeast"/>
        </w:trPr>
        <w:tc>
          <w:tcPr>
            <w:tcW w:w="1098" w:type="dxa"/>
            <w:vMerge w:val="continue"/>
            <w:tcBorders>
              <w:tl2br w:val="nil"/>
              <w:tr2bl w:val="nil"/>
            </w:tcBorders>
            <w:shd w:val="clear" w:color="auto" w:fill="auto"/>
            <w:vAlign w:val="center"/>
          </w:tcPr>
          <w:p w14:paraId="1D4D1F0B">
            <w:pPr>
              <w:snapToGrid w:val="0"/>
              <w:spacing w:line="340" w:lineRule="exact"/>
              <w:rPr>
                <w:rFonts w:asciiTheme="minorEastAsia" w:hAnsiTheme="minorEastAsia" w:eastAsiaTheme="minorEastAsia" w:cstheme="minorEastAsia"/>
                <w:szCs w:val="21"/>
              </w:rPr>
            </w:pPr>
          </w:p>
        </w:tc>
        <w:tc>
          <w:tcPr>
            <w:tcW w:w="3436" w:type="dxa"/>
            <w:vMerge w:val="continue"/>
            <w:tcBorders>
              <w:tl2br w:val="nil"/>
              <w:tr2bl w:val="nil"/>
            </w:tcBorders>
            <w:shd w:val="clear" w:color="auto" w:fill="auto"/>
            <w:vAlign w:val="center"/>
          </w:tcPr>
          <w:p w14:paraId="60DA9C7C">
            <w:pPr>
              <w:snapToGrid w:val="0"/>
              <w:spacing w:line="340" w:lineRule="exact"/>
              <w:rPr>
                <w:rFonts w:asciiTheme="minorEastAsia" w:hAnsiTheme="minorEastAsia" w:eastAsiaTheme="minorEastAsia" w:cstheme="minorEastAsia"/>
                <w:szCs w:val="21"/>
              </w:rPr>
            </w:pPr>
          </w:p>
        </w:tc>
        <w:tc>
          <w:tcPr>
            <w:tcW w:w="0" w:type="auto"/>
            <w:tcBorders>
              <w:tl2br w:val="nil"/>
              <w:tr2bl w:val="nil"/>
            </w:tcBorders>
            <w:shd w:val="clear" w:color="auto" w:fill="auto"/>
            <w:vAlign w:val="center"/>
          </w:tcPr>
          <w:p w14:paraId="36805E6E">
            <w:pPr>
              <w:widowControl/>
              <w:snapToGrid w:val="0"/>
              <w:spacing w:line="340" w:lineRule="exact"/>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示例：仅当某批次存货占总体</w:t>
            </w:r>
            <w:r>
              <w:rPr>
                <w:rFonts w:asciiTheme="minorEastAsia" w:hAnsiTheme="minorEastAsia" w:eastAsiaTheme="minorEastAsia" w:cstheme="minorEastAsia"/>
                <w:kern w:val="0"/>
                <w:szCs w:val="21"/>
                <w:lang w:bidi="ar"/>
              </w:rPr>
              <w:t>90%时，可检查该批次作为替代程序。</w:t>
            </w:r>
          </w:p>
        </w:tc>
      </w:tr>
    </w:tbl>
    <w:p w14:paraId="34A7D9A0">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除了采用随意选样、系统选样等方法外，还可以使用分层抽样方法。分层抽样是指先按总体某一标志分成若干互不交叉重叠的层</w:t>
      </w:r>
      <w:r>
        <w:rPr>
          <w:rFonts w:hint="eastAsia" w:asciiTheme="minorEastAsia" w:hAnsiTheme="minorEastAsia" w:cstheme="minorEastAsia"/>
          <w:sz w:val="24"/>
        </w:rPr>
        <w:t>，</w:t>
      </w:r>
      <w:r>
        <w:rPr>
          <w:rFonts w:hint="eastAsia" w:asciiTheme="minorEastAsia" w:hAnsiTheme="minorEastAsia" w:eastAsiaTheme="minorEastAsia" w:cstheme="minorEastAsia"/>
          <w:sz w:val="24"/>
        </w:rPr>
        <w:t>然后在每一层进行独立地简单随机抽样，将各层样本结合起来审查并对总体的目标量进行估计的一种抽样方法。注册会计师可以考虑采用分层以提高审计效率。</w:t>
      </w:r>
    </w:p>
    <w:p w14:paraId="44ABB46B">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以上述案例为例，函证抽样的总体为</w:t>
      </w:r>
      <w:r>
        <w:rPr>
          <w:rFonts w:asciiTheme="minorEastAsia" w:hAnsiTheme="minorEastAsia" w:eastAsiaTheme="minorEastAsia" w:cstheme="minorEastAsia"/>
          <w:sz w:val="24"/>
        </w:rPr>
        <w:t>16450万元，含1300个项目，按照金额升序或降序的方式对抽样总体项目进行排序，将抽样总体分为金额大约相等的两个部分。被分为8200万元和8250万元两个大约金额相等的部分，如果一个含有项目数为</w:t>
      </w:r>
      <w:r>
        <w:rPr>
          <w:rFonts w:asciiTheme="minorEastAsia" w:hAnsiTheme="minorEastAsia" w:eastAsiaTheme="minorEastAsia" w:cstheme="minorEastAsia"/>
          <w:sz w:val="24"/>
        </w:rPr>
        <w:t>670</w:t>
      </w:r>
      <w:r>
        <w:rPr>
          <w:rFonts w:hint="eastAsia" w:asciiTheme="minorEastAsia" w:hAnsiTheme="minorEastAsia" w:eastAsiaTheme="minorEastAsia" w:cstheme="minorEastAsia"/>
          <w:sz w:val="24"/>
        </w:rPr>
        <w:t>个，而另一个为</w:t>
      </w:r>
      <w:r>
        <w:rPr>
          <w:rFonts w:asciiTheme="minorEastAsia" w:hAnsiTheme="minorEastAsia" w:eastAsiaTheme="minorEastAsia" w:cstheme="minorEastAsia"/>
          <w:sz w:val="24"/>
        </w:rPr>
        <w:t>630</w:t>
      </w:r>
      <w:r>
        <w:rPr>
          <w:rFonts w:hint="eastAsia" w:asciiTheme="minorEastAsia" w:hAnsiTheme="minorEastAsia" w:eastAsiaTheme="minorEastAsia" w:cstheme="minorEastAsia"/>
          <w:sz w:val="24"/>
        </w:rPr>
        <w:t>个，说明样本分布很均匀则不必要分层。如果两部分分别有</w:t>
      </w:r>
      <w:r>
        <w:rPr>
          <w:rFonts w:asciiTheme="minorEastAsia" w:hAnsiTheme="minorEastAsia" w:eastAsiaTheme="minorEastAsia" w:cstheme="minorEastAsia"/>
          <w:sz w:val="24"/>
        </w:rPr>
        <w:t>300</w:t>
      </w:r>
      <w:r>
        <w:rPr>
          <w:rFonts w:hint="eastAsia" w:asciiTheme="minorEastAsia" w:hAnsiTheme="minorEastAsia" w:eastAsiaTheme="minorEastAsia" w:cstheme="minorEastAsia"/>
          <w:sz w:val="24"/>
        </w:rPr>
        <w:t>个和</w:t>
      </w:r>
      <w:r>
        <w:rPr>
          <w:rFonts w:asciiTheme="minorEastAsia" w:hAnsiTheme="minorEastAsia" w:eastAsiaTheme="minorEastAsia" w:cstheme="minorEastAsia"/>
          <w:sz w:val="24"/>
        </w:rPr>
        <w:t>1000</w:t>
      </w:r>
      <w:r>
        <w:rPr>
          <w:rFonts w:hint="eastAsia" w:asciiTheme="minorEastAsia" w:hAnsiTheme="minorEastAsia" w:eastAsiaTheme="minorEastAsia" w:cstheme="minorEastAsia"/>
          <w:sz w:val="24"/>
        </w:rPr>
        <w:t>个项目，则须对其进行分层。在对抽样总体分层后，将样本规模在各层之间分配，以使每层的样本数量大致与该层账户的账面金额成比例。上述总的抽样规模为</w:t>
      </w:r>
      <w:r>
        <w:rPr>
          <w:rFonts w:asciiTheme="minorEastAsia" w:hAnsiTheme="minorEastAsia" w:eastAsiaTheme="minorEastAsia" w:cstheme="minorEastAsia"/>
          <w:sz w:val="24"/>
        </w:rPr>
        <w:t>495个，则每层样本规模可以分别为245个和250个。</w:t>
      </w:r>
    </w:p>
    <w:p w14:paraId="50C6649C">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尽管分为两层之后的样本金额接近，但是在第一层中</w:t>
      </w:r>
      <w:r>
        <w:rPr>
          <w:rFonts w:asciiTheme="minorEastAsia" w:hAnsiTheme="minorEastAsia" w:eastAsiaTheme="minorEastAsia" w:cstheme="minorEastAsia"/>
          <w:sz w:val="24"/>
        </w:rPr>
        <w:t>300个样本中抽样了245个，而在第二层中1000个样本中</w:t>
      </w:r>
      <w:r>
        <w:rPr>
          <w:rFonts w:hint="eastAsia" w:asciiTheme="minorEastAsia" w:hAnsiTheme="minorEastAsia" w:eastAsiaTheme="minorEastAsia" w:cstheme="minorEastAsia"/>
          <w:sz w:val="24"/>
        </w:rPr>
        <w:t>抽样了</w:t>
      </w:r>
      <w:r>
        <w:rPr>
          <w:rFonts w:asciiTheme="minorEastAsia" w:hAnsiTheme="minorEastAsia" w:eastAsiaTheme="minorEastAsia" w:cstheme="minorEastAsia"/>
          <w:sz w:val="24"/>
        </w:rPr>
        <w:t>250个，使注册会计师能够将更多审计资源投向金额较大的项目</w:t>
      </w:r>
      <w:r>
        <w:rPr>
          <w:rFonts w:hint="eastAsia" w:asciiTheme="minorEastAsia" w:hAnsiTheme="minorEastAsia" w:eastAsiaTheme="minorEastAsia" w:cstheme="minorEastAsia"/>
          <w:sz w:val="24"/>
        </w:rPr>
        <w:t>。</w:t>
      </w:r>
    </w:p>
    <w:p w14:paraId="40049F1A">
      <w:pPr>
        <w:snapToGrid w:val="0"/>
        <w:spacing w:line="360" w:lineRule="auto"/>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样本分层表</w:t>
      </w:r>
    </w:p>
    <w:tbl>
      <w:tblPr>
        <w:tblStyle w:val="13"/>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778"/>
        <w:gridCol w:w="1779"/>
        <w:gridCol w:w="1779"/>
        <w:gridCol w:w="1721"/>
      </w:tblGrid>
      <w:tr w14:paraId="4CCA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71" w:type="dxa"/>
            <w:vAlign w:val="center"/>
          </w:tcPr>
          <w:p w14:paraId="723F86EC">
            <w:pPr>
              <w:snapToGrid w:val="0"/>
              <w:spacing w:line="340" w:lineRule="exact"/>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层</w:t>
            </w:r>
          </w:p>
        </w:tc>
        <w:tc>
          <w:tcPr>
            <w:tcW w:w="1778" w:type="dxa"/>
            <w:vAlign w:val="center"/>
          </w:tcPr>
          <w:p w14:paraId="5E61D85D">
            <w:pPr>
              <w:snapToGrid w:val="0"/>
              <w:spacing w:line="340" w:lineRule="exact"/>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账面金额（</w:t>
            </w:r>
            <w:r>
              <w:rPr>
                <w:rFonts w:hint="eastAsia" w:asciiTheme="minorEastAsia" w:hAnsiTheme="minorEastAsia" w:eastAsiaTheme="minorEastAsia" w:cstheme="minorEastAsia"/>
                <w:b/>
                <w:bCs/>
                <w:color w:val="auto"/>
                <w:sz w:val="21"/>
                <w:szCs w:val="21"/>
              </w:rPr>
              <w:t>万元）</w:t>
            </w:r>
          </w:p>
        </w:tc>
        <w:tc>
          <w:tcPr>
            <w:tcW w:w="1779" w:type="dxa"/>
            <w:vAlign w:val="center"/>
          </w:tcPr>
          <w:p w14:paraId="65D06E65">
            <w:pPr>
              <w:snapToGrid w:val="0"/>
              <w:spacing w:line="340" w:lineRule="exact"/>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客户数量</w:t>
            </w:r>
            <w:r>
              <w:rPr>
                <w:rFonts w:hint="eastAsia" w:asciiTheme="minorEastAsia" w:hAnsiTheme="minorEastAsia" w:eastAsiaTheme="minorEastAsia" w:cstheme="minorEastAsia"/>
                <w:b/>
                <w:bCs/>
                <w:color w:val="auto"/>
                <w:sz w:val="21"/>
                <w:szCs w:val="21"/>
              </w:rPr>
              <w:t>（个）</w:t>
            </w:r>
          </w:p>
        </w:tc>
        <w:tc>
          <w:tcPr>
            <w:tcW w:w="1779" w:type="dxa"/>
            <w:vAlign w:val="center"/>
          </w:tcPr>
          <w:p w14:paraId="47F38019">
            <w:pPr>
              <w:snapToGrid w:val="0"/>
              <w:spacing w:line="340" w:lineRule="exact"/>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抽样数量</w:t>
            </w:r>
            <w:r>
              <w:rPr>
                <w:rFonts w:hint="eastAsia" w:asciiTheme="minorEastAsia" w:hAnsiTheme="minorEastAsia" w:eastAsiaTheme="minorEastAsia" w:cstheme="minorEastAsia"/>
                <w:b/>
                <w:bCs/>
                <w:color w:val="auto"/>
                <w:sz w:val="21"/>
                <w:szCs w:val="21"/>
              </w:rPr>
              <w:t>（个）</w:t>
            </w:r>
          </w:p>
        </w:tc>
        <w:tc>
          <w:tcPr>
            <w:tcW w:w="1721" w:type="dxa"/>
            <w:vAlign w:val="center"/>
          </w:tcPr>
          <w:p w14:paraId="0A4E7981">
            <w:pPr>
              <w:snapToGrid w:val="0"/>
              <w:spacing w:line="340" w:lineRule="exact"/>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抽样金额</w:t>
            </w:r>
            <w:r>
              <w:rPr>
                <w:rFonts w:hint="eastAsia" w:asciiTheme="minorEastAsia" w:hAnsiTheme="minorEastAsia" w:eastAsiaTheme="minorEastAsia" w:cstheme="minorEastAsia"/>
                <w:b/>
                <w:bCs/>
                <w:color w:val="auto"/>
                <w:sz w:val="21"/>
                <w:szCs w:val="21"/>
              </w:rPr>
              <w:t>（万元）</w:t>
            </w:r>
          </w:p>
        </w:tc>
      </w:tr>
      <w:tr w14:paraId="3870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671" w:type="dxa"/>
            <w:vAlign w:val="center"/>
          </w:tcPr>
          <w:p w14:paraId="113C10E4">
            <w:pPr>
              <w:snapToGrid w:val="0"/>
              <w:spacing w:line="3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w:t>
            </w:r>
            <w:r>
              <w:rPr>
                <w:rFonts w:asciiTheme="minorEastAsia" w:hAnsiTheme="minorEastAsia" w:eastAsiaTheme="minorEastAsia" w:cstheme="minorEastAsia"/>
                <w:sz w:val="21"/>
                <w:szCs w:val="21"/>
              </w:rPr>
              <w:t>1层</w:t>
            </w:r>
          </w:p>
        </w:tc>
        <w:tc>
          <w:tcPr>
            <w:tcW w:w="1778" w:type="dxa"/>
            <w:vAlign w:val="center"/>
          </w:tcPr>
          <w:p w14:paraId="628B75DB">
            <w:pPr>
              <w:snapToGrid w:val="0"/>
              <w:spacing w:line="340" w:lineRule="exact"/>
              <w:jc w:val="center"/>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8200</w:t>
            </w:r>
          </w:p>
        </w:tc>
        <w:tc>
          <w:tcPr>
            <w:tcW w:w="1779" w:type="dxa"/>
            <w:vAlign w:val="center"/>
          </w:tcPr>
          <w:p w14:paraId="164DA579">
            <w:pPr>
              <w:snapToGrid w:val="0"/>
              <w:spacing w:line="340" w:lineRule="exact"/>
              <w:jc w:val="center"/>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300</w:t>
            </w:r>
          </w:p>
        </w:tc>
        <w:tc>
          <w:tcPr>
            <w:tcW w:w="1779" w:type="dxa"/>
            <w:vAlign w:val="center"/>
          </w:tcPr>
          <w:p w14:paraId="05E1F956">
            <w:pPr>
              <w:snapToGrid w:val="0"/>
              <w:spacing w:line="340" w:lineRule="exact"/>
              <w:jc w:val="center"/>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245</w:t>
            </w:r>
          </w:p>
        </w:tc>
        <w:tc>
          <w:tcPr>
            <w:tcW w:w="1721" w:type="dxa"/>
            <w:vAlign w:val="center"/>
          </w:tcPr>
          <w:p w14:paraId="798E57D5">
            <w:pPr>
              <w:snapToGrid w:val="0"/>
              <w:spacing w:line="340" w:lineRule="exact"/>
              <w:jc w:val="center"/>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6500</w:t>
            </w:r>
          </w:p>
        </w:tc>
      </w:tr>
      <w:tr w14:paraId="7899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671" w:type="dxa"/>
            <w:vAlign w:val="center"/>
          </w:tcPr>
          <w:p w14:paraId="40797043">
            <w:pPr>
              <w:snapToGrid w:val="0"/>
              <w:spacing w:line="3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w:t>
            </w:r>
            <w:r>
              <w:rPr>
                <w:rFonts w:asciiTheme="minorEastAsia" w:hAnsiTheme="minorEastAsia" w:eastAsiaTheme="minorEastAsia" w:cstheme="minorEastAsia"/>
                <w:sz w:val="21"/>
                <w:szCs w:val="21"/>
              </w:rPr>
              <w:t>2层</w:t>
            </w:r>
          </w:p>
        </w:tc>
        <w:tc>
          <w:tcPr>
            <w:tcW w:w="1778" w:type="dxa"/>
            <w:vAlign w:val="center"/>
          </w:tcPr>
          <w:p w14:paraId="55C83C56">
            <w:pPr>
              <w:snapToGrid w:val="0"/>
              <w:spacing w:line="340" w:lineRule="exact"/>
              <w:jc w:val="center"/>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8250</w:t>
            </w:r>
          </w:p>
        </w:tc>
        <w:tc>
          <w:tcPr>
            <w:tcW w:w="1779" w:type="dxa"/>
            <w:vAlign w:val="center"/>
          </w:tcPr>
          <w:p w14:paraId="661A794B">
            <w:pPr>
              <w:snapToGrid w:val="0"/>
              <w:spacing w:line="340" w:lineRule="exact"/>
              <w:jc w:val="center"/>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1000</w:t>
            </w:r>
          </w:p>
        </w:tc>
        <w:tc>
          <w:tcPr>
            <w:tcW w:w="1779" w:type="dxa"/>
            <w:vAlign w:val="center"/>
          </w:tcPr>
          <w:p w14:paraId="7265BDA1">
            <w:pPr>
              <w:snapToGrid w:val="0"/>
              <w:spacing w:line="340" w:lineRule="exact"/>
              <w:jc w:val="center"/>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250</w:t>
            </w:r>
          </w:p>
        </w:tc>
        <w:tc>
          <w:tcPr>
            <w:tcW w:w="1721" w:type="dxa"/>
            <w:vAlign w:val="center"/>
          </w:tcPr>
          <w:p w14:paraId="606F0A19">
            <w:pPr>
              <w:snapToGrid w:val="0"/>
              <w:spacing w:line="340" w:lineRule="exact"/>
              <w:jc w:val="center"/>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2100</w:t>
            </w:r>
          </w:p>
        </w:tc>
      </w:tr>
      <w:tr w14:paraId="331C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71" w:type="dxa"/>
            <w:vAlign w:val="center"/>
          </w:tcPr>
          <w:p w14:paraId="1D64D8F7">
            <w:pPr>
              <w:snapToGrid w:val="0"/>
              <w:spacing w:line="3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合计</w:t>
            </w:r>
          </w:p>
        </w:tc>
        <w:tc>
          <w:tcPr>
            <w:tcW w:w="1778" w:type="dxa"/>
            <w:vAlign w:val="center"/>
          </w:tcPr>
          <w:p w14:paraId="680A4F66">
            <w:pPr>
              <w:snapToGrid w:val="0"/>
              <w:spacing w:line="340" w:lineRule="exact"/>
              <w:jc w:val="center"/>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16450</w:t>
            </w:r>
          </w:p>
        </w:tc>
        <w:tc>
          <w:tcPr>
            <w:tcW w:w="1779" w:type="dxa"/>
            <w:vAlign w:val="center"/>
          </w:tcPr>
          <w:p w14:paraId="3EF0DAE5">
            <w:pPr>
              <w:snapToGrid w:val="0"/>
              <w:spacing w:line="340" w:lineRule="exact"/>
              <w:jc w:val="center"/>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1300</w:t>
            </w:r>
          </w:p>
        </w:tc>
        <w:tc>
          <w:tcPr>
            <w:tcW w:w="1779" w:type="dxa"/>
            <w:vAlign w:val="center"/>
          </w:tcPr>
          <w:p w14:paraId="4D7B6C90">
            <w:pPr>
              <w:snapToGrid w:val="0"/>
              <w:spacing w:line="340" w:lineRule="exact"/>
              <w:jc w:val="center"/>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495</w:t>
            </w:r>
          </w:p>
        </w:tc>
        <w:tc>
          <w:tcPr>
            <w:tcW w:w="1721" w:type="dxa"/>
            <w:vAlign w:val="center"/>
          </w:tcPr>
          <w:p w14:paraId="03371ADA">
            <w:pPr>
              <w:snapToGrid w:val="0"/>
              <w:spacing w:line="340" w:lineRule="exact"/>
              <w:jc w:val="center"/>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8600</w:t>
            </w:r>
          </w:p>
        </w:tc>
      </w:tr>
    </w:tbl>
    <w:p w14:paraId="27901B38">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注：示例仅供参考，注册会计师需结合《中国注册会计师审计准则第</w:t>
      </w:r>
      <w:r>
        <w:rPr>
          <w:rFonts w:asciiTheme="minorEastAsia" w:hAnsiTheme="minorEastAsia" w:eastAsiaTheme="minorEastAsia" w:cstheme="minorEastAsia"/>
          <w:sz w:val="24"/>
        </w:rPr>
        <w:t xml:space="preserve"> 1314 </w:t>
      </w:r>
      <w:r>
        <w:rPr>
          <w:rFonts w:hint="eastAsia" w:asciiTheme="minorEastAsia" w:hAnsiTheme="minorEastAsia" w:eastAsiaTheme="minorEastAsia" w:cstheme="minorEastAsia"/>
          <w:sz w:val="24"/>
        </w:rPr>
        <w:t>号</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审计抽样》及应用指南，从金额与数量维度科学确定样本规模。</w:t>
      </w:r>
    </w:p>
    <w:p w14:paraId="00385B9A">
      <w:pPr>
        <w:snapToGrid w:val="0"/>
        <w:spacing w:before="156" w:beforeLines="50"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四、管理层不允许寄发函证的处理</w:t>
      </w:r>
    </w:p>
    <w:p w14:paraId="3CC3F942">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cstheme="minorEastAsia"/>
          <w:b/>
          <w:bCs/>
          <w:sz w:val="24"/>
        </w:rPr>
        <w:t>（一）</w:t>
      </w:r>
      <w:r>
        <w:rPr>
          <w:rFonts w:hint="eastAsia" w:asciiTheme="minorEastAsia" w:hAnsiTheme="minorEastAsia" w:eastAsiaTheme="minorEastAsia" w:cstheme="minorEastAsia"/>
          <w:b/>
          <w:bCs/>
          <w:sz w:val="24"/>
        </w:rPr>
        <w:t>不允许寄发银行询证函</w:t>
      </w:r>
    </w:p>
    <w:p w14:paraId="5A28E969">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如果</w:t>
      </w:r>
      <w:r>
        <w:rPr>
          <w:rFonts w:asciiTheme="minorEastAsia" w:hAnsiTheme="minorEastAsia" w:eastAsiaTheme="minorEastAsia" w:cstheme="minorEastAsia"/>
          <w:sz w:val="24"/>
        </w:rPr>
        <w:t>管理层不允许寄发询证函，且无合理理由</w:t>
      </w: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可能表明函证程序不可靠</w:t>
      </w:r>
      <w:r>
        <w:rPr>
          <w:rFonts w:hint="eastAsia" w:asciiTheme="minorEastAsia" w:hAnsiTheme="minorEastAsia" w:eastAsiaTheme="minorEastAsia" w:cstheme="minorEastAsia"/>
          <w:color w:val="auto"/>
          <w:sz w:val="24"/>
        </w:rPr>
        <w:t>及审计程序受限，</w:t>
      </w:r>
      <w:r>
        <w:rPr>
          <w:rFonts w:hint="eastAsia" w:asciiTheme="minorEastAsia" w:hAnsiTheme="minorEastAsia" w:eastAsiaTheme="minorEastAsia" w:cstheme="minorEastAsia"/>
          <w:sz w:val="24"/>
        </w:rPr>
        <w:t>注册会计师应当考虑按照《中国注册会计师审计准则第</w:t>
      </w:r>
      <w:r>
        <w:rPr>
          <w:rFonts w:asciiTheme="minorEastAsia" w:hAnsiTheme="minorEastAsia" w:eastAsiaTheme="minorEastAsia" w:cstheme="minorEastAsia"/>
          <w:sz w:val="24"/>
        </w:rPr>
        <w:t xml:space="preserve"> 1502 </w:t>
      </w:r>
      <w:r>
        <w:rPr>
          <w:rFonts w:hint="eastAsia" w:asciiTheme="minorEastAsia" w:hAnsiTheme="minorEastAsia" w:eastAsiaTheme="minorEastAsia" w:cstheme="minorEastAsia"/>
          <w:sz w:val="24"/>
        </w:rPr>
        <w:t>号——在审计报告中发表非无保留意见》的规定，确定其对审计工作和审计意见的影响。</w:t>
      </w:r>
    </w:p>
    <w:p w14:paraId="5DFACB45">
      <w:pPr>
        <w:numPr>
          <w:ilvl w:val="0"/>
          <w:numId w:val="3"/>
        </w:num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不允许寄发企业询证函</w:t>
      </w:r>
    </w:p>
    <w:p w14:paraId="2E4B4CCB">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1.询问并记录原因</w:t>
      </w:r>
    </w:p>
    <w:p w14:paraId="24972953">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如果管理层不允许对某个项目（如部分涉诉对象、不再继续合作的经销商客户等）寄发询证函，注册会计师应当询问管理层不允许寄发的原因，并就其原因的正当性和合理性收集审计证据。</w:t>
      </w:r>
    </w:p>
    <w:p w14:paraId="78140D93">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cstheme="minorEastAsia"/>
          <w:sz w:val="24"/>
        </w:rPr>
        <w:t>（1）</w:t>
      </w:r>
      <w:r>
        <w:rPr>
          <w:rFonts w:hint="eastAsia" w:asciiTheme="minorEastAsia" w:hAnsiTheme="minorEastAsia" w:eastAsiaTheme="minorEastAsia" w:cstheme="minorEastAsia"/>
          <w:sz w:val="24"/>
        </w:rPr>
        <w:t>如果原因具有正当性和合理性，注册会计师应当实施替代程序，以获取相关、可靠的审计证据；</w:t>
      </w:r>
    </w:p>
    <w:p w14:paraId="37E83C6E">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cstheme="minorEastAsia"/>
          <w:sz w:val="24"/>
        </w:rPr>
        <w:t>（2）</w:t>
      </w:r>
      <w:r>
        <w:rPr>
          <w:rFonts w:hint="eastAsia" w:asciiTheme="minorEastAsia" w:hAnsiTheme="minorEastAsia" w:eastAsiaTheme="minorEastAsia" w:cstheme="minorEastAsia"/>
          <w:sz w:val="24"/>
        </w:rPr>
        <w:t>如果原因不合理，或实施替代程序无法获取相关、可靠的审计证据，注册会计师应当与治理层沟通，并确定该事项对审计工作和审计意见的影响。</w:t>
      </w:r>
    </w:p>
    <w:p w14:paraId="3F245268">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2.评估风险与影响</w:t>
      </w:r>
    </w:p>
    <w:p w14:paraId="39F1DF11">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注册会计师应评估管理层不允许寄发询证函对评估的相关重大错报风险（包括舞弊风险）的影响，以及对其他审计程序性质、时间安排和范围的影响。</w:t>
      </w:r>
    </w:p>
    <w:p w14:paraId="2834B81A">
      <w:pPr>
        <w:snapToGrid w:val="0"/>
        <w:spacing w:before="156" w:beforeLines="50"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五、函证很可能无效的处理</w:t>
      </w:r>
    </w:p>
    <w:p w14:paraId="57C600EE">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在特定情况下，对于确定的函证项目，注册会计师可能认为函证很可能无效。函证无效的情况主要有：</w:t>
      </w:r>
      <w:r>
        <w:rPr>
          <w:rFonts w:hint="eastAsia" w:asciiTheme="minorEastAsia" w:hAnsiTheme="minorEastAsia" w:cstheme="minorEastAsia"/>
          <w:sz w:val="24"/>
        </w:rPr>
        <w:t>（1）</w:t>
      </w:r>
      <w:r>
        <w:rPr>
          <w:rFonts w:asciiTheme="minorEastAsia" w:hAnsiTheme="minorEastAsia" w:eastAsiaTheme="minorEastAsia" w:cstheme="minorEastAsia"/>
          <w:sz w:val="24"/>
        </w:rPr>
        <w:t>以往审计经验显示回函率极低；（2）某些特定行业的客户通常不对应收账款询证函回函，如电信行业的个人客户；（3）被询证者系出于制度的规定不能回函的单位，如军工涉密企业无法回函。</w:t>
      </w:r>
    </w:p>
    <w:p w14:paraId="399788C9">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这些情况下，注册会计师不实施函证程序，应在审计工作底稿中详细记录不予函证的理由。同时，应结合客户性质及实际情况，补充实施进一步的审计程序，包括有效的替代测试、现场走访、电话访谈等，以确保获取相关、可靠的审计证据。</w:t>
      </w:r>
    </w:p>
    <w:p w14:paraId="411E1A6B">
      <w:pPr>
        <w:snapToGrid w:val="0"/>
        <w:spacing w:before="156" w:beforeLines="50"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六、常见错误或风险</w:t>
      </w:r>
    </w:p>
    <w:p w14:paraId="544D8786">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（一）选取函证项目缺乏合理依据或标准不明确，例如随意确定函证项目数量。</w:t>
      </w:r>
    </w:p>
    <w:p w14:paraId="50F7F0B6">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（二）选取特定项目时，没有明确选取标准，仅以“金额较大”等作为选取理由。</w:t>
      </w:r>
    </w:p>
    <w:p w14:paraId="2F7B5718">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（三）遗漏了重要或重大错报风险较高的银行账户，如余额较小、零余额或本期内销户但发生额较大的账户，异地开立的账户以及重要分支机构开立的账户等。</w:t>
      </w:r>
    </w:p>
    <w:p w14:paraId="24080658">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（四）未对全部银行账户实施函证，但是审计工作底稿未记录不实施函证程序的理由或记录的理由不充分。</w:t>
      </w:r>
    </w:p>
    <w:p w14:paraId="7D0D2F90">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（五）在确定函证项目后，未对部分选取项目实施函证，也未在审计工作底稿中说明理由。</w:t>
      </w:r>
    </w:p>
    <w:p w14:paraId="4ECB53B0">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（六）未对应收账款实施函证，但是底稿未记录理由或记录的理由不充分，或未实施替代审计程序获取相关、可靠的审计证据。</w:t>
      </w:r>
    </w:p>
    <w:p w14:paraId="00BBF53B">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（七）出于节省费用或者其他考虑，以提供银行对账单作为不实施函证的理由。</w:t>
      </w:r>
    </w:p>
    <w:p w14:paraId="269021FF">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（八）在选定函证项目后，管理层不允许对某个项目寄发询证函，注册会计师未询问管理层不允许寄发询证函的原因，未就其不允许寄发询证函原因的正当性及合理性收集审计证据。</w:t>
      </w:r>
    </w:p>
    <w:p w14:paraId="50553642">
      <w:pPr>
        <w:snapToGrid w:val="0"/>
        <w:spacing w:before="156" w:beforeLines="50"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cstheme="minorEastAsia"/>
          <w:b/>
          <w:bCs/>
          <w:sz w:val="24"/>
        </w:rPr>
        <w:t>七</w:t>
      </w:r>
      <w:r>
        <w:rPr>
          <w:rFonts w:hint="eastAsia" w:asciiTheme="minorEastAsia" w:hAnsiTheme="minorEastAsia" w:eastAsiaTheme="minorEastAsia" w:cstheme="minorEastAsia"/>
          <w:b/>
          <w:bCs/>
          <w:sz w:val="24"/>
        </w:rPr>
        <w:t>、选取函证样本工作底稿</w:t>
      </w:r>
    </w:p>
    <w:p w14:paraId="60AD8DF8">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注册会计师应在工作底稿中记录所选择的样本特征、样本选择过程和结果。</w:t>
      </w:r>
    </w:p>
    <w:p w14:paraId="6B6462F2">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使用审计抽样时，应详细记录抽样方法（统计抽样还是非统计抽样）、统计抽样中涉及的参数和相关考虑。</w:t>
      </w:r>
    </w:p>
    <w:p w14:paraId="4BD602E4">
      <w:pPr>
        <w:snapToGrid w:val="0"/>
        <w:spacing w:line="360" w:lineRule="auto"/>
        <w:ind w:firstLine="480" w:firstLineChars="200"/>
        <w:rPr>
          <w:rFonts w:asciiTheme="minorEastAsia" w:hAnsiTheme="minorEastAsia" w:cstheme="minorEastAsia"/>
          <w:sz w:val="24"/>
        </w:rPr>
      </w:pPr>
      <w:r>
        <w:rPr>
          <w:rFonts w:hint="eastAsia" w:asciiTheme="minorEastAsia" w:hAnsiTheme="minorEastAsia" w:eastAsiaTheme="minorEastAsia" w:cstheme="minorEastAsia"/>
          <w:sz w:val="24"/>
        </w:rPr>
        <w:t>对于未实施函证的项目，应记录不予函证的理由及实施的替代程序。</w:t>
      </w:r>
    </w:p>
    <w:p w14:paraId="46FA3758">
      <w:pPr>
        <w:snapToGrid w:val="0"/>
        <w:spacing w:line="360" w:lineRule="auto"/>
        <w:ind w:firstLine="0" w:firstLineChars="0"/>
        <w:jc w:val="center"/>
        <w:outlineLvl w:val="1"/>
        <w:rPr>
          <w:rFonts w:asciiTheme="minorEastAsia" w:hAnsiTheme="minorEastAsia" w:eastAsiaTheme="minorEastAsia" w:cstheme="minorEastAsia"/>
          <w:b/>
          <w:bCs/>
          <w:sz w:val="24"/>
        </w:rPr>
      </w:pPr>
      <w:bookmarkStart w:id="53" w:name="_Toc30408"/>
      <w:bookmarkStart w:id="54" w:name="_Toc19595"/>
      <w:bookmarkStart w:id="55" w:name="_Toc22819"/>
      <w:r>
        <w:rPr>
          <w:rFonts w:hint="eastAsia" w:asciiTheme="minorEastAsia" w:hAnsiTheme="minorEastAsia" w:eastAsiaTheme="minorEastAsia" w:cstheme="minorEastAsia"/>
          <w:b/>
          <w:bCs/>
          <w:sz w:val="24"/>
        </w:rPr>
        <w:t>第四节</w:t>
      </w:r>
      <w:r>
        <w:rPr>
          <w:rFonts w:hint="eastAsia" w:asciiTheme="minorEastAsia" w:hAnsiTheme="minorEastAsia" w:cstheme="minorEastAsia"/>
          <w:b/>
          <w:bCs/>
          <w:sz w:val="24"/>
        </w:rPr>
        <w:t xml:space="preserve">  </w:t>
      </w:r>
      <w:r>
        <w:rPr>
          <w:rFonts w:hint="eastAsia" w:asciiTheme="minorEastAsia" w:hAnsiTheme="minorEastAsia" w:eastAsiaTheme="minorEastAsia" w:cstheme="minorEastAsia"/>
          <w:b/>
          <w:bCs/>
          <w:sz w:val="24"/>
        </w:rPr>
        <w:t>核对被函证单位信息</w:t>
      </w:r>
      <w:bookmarkEnd w:id="53"/>
      <w:bookmarkEnd w:id="54"/>
      <w:bookmarkEnd w:id="55"/>
    </w:p>
    <w:p w14:paraId="32A9BCBA">
      <w:pPr>
        <w:snapToGrid w:val="0"/>
        <w:spacing w:line="360" w:lineRule="auto"/>
        <w:ind w:firstLine="482" w:firstLineChars="200"/>
        <w:outlineLvl w:val="2"/>
        <w:rPr>
          <w:rFonts w:asciiTheme="minorEastAsia" w:hAnsiTheme="minorEastAsia" w:cstheme="minorEastAsia"/>
          <w:b/>
          <w:bCs/>
          <w:sz w:val="24"/>
        </w:rPr>
      </w:pPr>
    </w:p>
    <w:p w14:paraId="30EEF4BC">
      <w:pPr>
        <w:snapToGrid w:val="0"/>
        <w:spacing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一、函证信息核对与验证</w:t>
      </w:r>
    </w:p>
    <w:p w14:paraId="72FCEC64">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（一）信息获取</w:t>
      </w:r>
    </w:p>
    <w:p w14:paraId="7C20E190">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向被审计单位索取被函证单位的详细地址（明确区分经营地与注册地）、相关联系人、联系电话（包括办公座机号码、私人手机号码、传真号码）等全面信息。</w:t>
      </w:r>
    </w:p>
    <w:p w14:paraId="257B7915">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（二）信息验证</w:t>
      </w:r>
    </w:p>
    <w:p w14:paraId="50F20D1B">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部分或全面验证，根据函证项目的重要性和风险程度，对部分或全部被函证单位的信息进行有效性验证。将核实过程中形成的痕迹证据及文字记录等详细记录在审计工作底稿中。</w:t>
      </w:r>
    </w:p>
    <w:p w14:paraId="21900AE8">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（三）具体验证程序</w:t>
      </w:r>
    </w:p>
    <w:p w14:paraId="5DDD755F">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注册会计师可以执行的函证信息验证程序包括但不限于：</w:t>
      </w:r>
    </w:p>
    <w:p w14:paraId="3274A3F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公共电话查询：通过公开查询系统或工具查询或者拨打公共查询电话核对被询证单位的名称和地址。</w:t>
      </w:r>
    </w:p>
    <w:p w14:paraId="489B60E4">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网站核对：利用被函证单位的官方网站或其他可靠公开网站</w:t>
      </w:r>
      <w:r>
        <w:rPr>
          <w:rFonts w:hint="eastAsia" w:asciiTheme="minorEastAsia" w:hAnsiTheme="minorEastAsia" w:eastAsiaTheme="minorEastAsia" w:cstheme="minorEastAsia"/>
          <w:color w:val="auto"/>
          <w:sz w:val="24"/>
        </w:rPr>
        <w:t>（如企查查等）</w:t>
      </w:r>
      <w:r>
        <w:rPr>
          <w:rFonts w:hint="eastAsia" w:asciiTheme="minorEastAsia" w:hAnsiTheme="minorEastAsia" w:eastAsiaTheme="minorEastAsia" w:cstheme="minorEastAsia"/>
          <w:sz w:val="24"/>
        </w:rPr>
        <w:t>进行信息核对，并保存网站查询记录的截屏作为证据。</w:t>
      </w:r>
    </w:p>
    <w:p w14:paraId="0601F3B5">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内部资料比对：将被函证单位的名称和地址信息与被审计单位持有的相关资料（如客户或供应商清单、销售或采购合同、增值税发票、日常票证或商品邮寄地址等）进行仔细比对。</w:t>
      </w:r>
    </w:p>
    <w:p w14:paraId="49A770C2">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历史记录比对：检查以前年度或本所其他审计项目中对同一被函证单位的函证地址是否一致，以发现任何潜在的不一致或变化。</w:t>
      </w:r>
    </w:p>
    <w:p w14:paraId="45897B1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银行函证特别处理：对于银行函证，需将被询证银行的名称和地址信息与开户手续、银行凭单、贷款合同等官方资料或与银行官网查询的网点地址进行交叉核对。</w:t>
      </w:r>
    </w:p>
    <w:p w14:paraId="6D6CD286">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（四）特殊事项关注</w:t>
      </w:r>
    </w:p>
    <w:p w14:paraId="7E6D2F02">
      <w:pPr>
        <w:snapToGrid w:val="0"/>
        <w:spacing w:line="360" w:lineRule="auto"/>
        <w:ind w:firstLine="482" w:firstLineChars="200"/>
        <w:rPr>
          <w:rFonts w:asciiTheme="minorEastAsia" w:hAnsiTheme="minorEastAsia" w:eastAsiaTheme="minorEastAsia" w:cstheme="minorEastAsia"/>
          <w:sz w:val="24"/>
        </w:rPr>
      </w:pPr>
      <w:r>
        <w:rPr>
          <w:rFonts w:asciiTheme="minorEastAsia" w:hAnsiTheme="minorEastAsia" w:cstheme="minorEastAsia"/>
          <w:b/>
          <w:bCs/>
          <w:sz w:val="24"/>
        </w:rPr>
        <w:t>1.</w:t>
      </w:r>
      <w:r>
        <w:rPr>
          <w:rFonts w:hint="eastAsia" w:asciiTheme="minorEastAsia" w:hAnsiTheme="minorEastAsia" w:eastAsiaTheme="minorEastAsia" w:cstheme="minorEastAsia"/>
          <w:b/>
          <w:bCs/>
          <w:sz w:val="24"/>
        </w:rPr>
        <w:t>地址不一致的处理。</w:t>
      </w:r>
      <w:r>
        <w:rPr>
          <w:rFonts w:hint="eastAsia" w:asciiTheme="minorEastAsia" w:hAnsiTheme="minorEastAsia" w:eastAsiaTheme="minorEastAsia" w:cstheme="minorEastAsia"/>
          <w:sz w:val="24"/>
        </w:rPr>
        <w:t>若被函证单位的函证地址与注册地不一致，应获取有效证据证明其为真实经营地址，并要求被审计单位提供书面说明，同时评估其合理性。</w:t>
      </w:r>
    </w:p>
    <w:p w14:paraId="6EAD3FFA">
      <w:pPr>
        <w:snapToGrid w:val="0"/>
        <w:spacing w:line="360" w:lineRule="auto"/>
        <w:ind w:firstLine="482" w:firstLineChars="200"/>
        <w:rPr>
          <w:rFonts w:asciiTheme="minorEastAsia" w:hAnsiTheme="minorEastAsia" w:eastAsiaTheme="minorEastAsia" w:cstheme="minorEastAsia"/>
          <w:sz w:val="24"/>
        </w:rPr>
      </w:pPr>
      <w:r>
        <w:rPr>
          <w:rFonts w:asciiTheme="minorEastAsia" w:hAnsiTheme="minorEastAsia" w:cstheme="minorEastAsia"/>
          <w:b/>
          <w:bCs/>
          <w:sz w:val="24"/>
        </w:rPr>
        <w:t>2.</w:t>
      </w:r>
      <w:r>
        <w:rPr>
          <w:rFonts w:hint="eastAsia" w:asciiTheme="minorEastAsia" w:hAnsiTheme="minorEastAsia" w:eastAsiaTheme="minorEastAsia" w:cstheme="minorEastAsia"/>
          <w:b/>
          <w:bCs/>
          <w:sz w:val="24"/>
        </w:rPr>
        <w:t>地址变更调查。</w:t>
      </w:r>
      <w:r>
        <w:rPr>
          <w:rFonts w:hint="eastAsia" w:asciiTheme="minorEastAsia" w:hAnsiTheme="minorEastAsia" w:eastAsiaTheme="minorEastAsia" w:cstheme="minorEastAsia"/>
          <w:sz w:val="24"/>
        </w:rPr>
        <w:t>对于函证地址与以前年度或本所其他项目不一致的情况，应进一步调查原因并评估其合理性。</w:t>
      </w:r>
    </w:p>
    <w:p w14:paraId="70ACEAB9">
      <w:pPr>
        <w:snapToGrid w:val="0"/>
        <w:spacing w:line="360" w:lineRule="auto"/>
        <w:ind w:firstLine="482" w:firstLineChars="200"/>
        <w:rPr>
          <w:rFonts w:asciiTheme="minorEastAsia" w:hAnsiTheme="minorEastAsia" w:eastAsiaTheme="minorEastAsia" w:cstheme="minorEastAsia"/>
          <w:sz w:val="24"/>
        </w:rPr>
      </w:pPr>
      <w:r>
        <w:rPr>
          <w:rFonts w:asciiTheme="minorEastAsia" w:hAnsiTheme="minorEastAsia" w:cstheme="minorEastAsia"/>
          <w:b/>
          <w:bCs/>
          <w:sz w:val="24"/>
        </w:rPr>
        <w:t>3.</w:t>
      </w:r>
      <w:r>
        <w:rPr>
          <w:rFonts w:hint="eastAsia" w:asciiTheme="minorEastAsia" w:hAnsiTheme="minorEastAsia" w:eastAsiaTheme="minorEastAsia" w:cstheme="minorEastAsia"/>
          <w:b/>
          <w:bCs/>
          <w:sz w:val="24"/>
        </w:rPr>
        <w:t>转交地址确认。</w:t>
      </w:r>
      <w:r>
        <w:rPr>
          <w:rFonts w:hint="eastAsia" w:asciiTheme="minorEastAsia" w:hAnsiTheme="minorEastAsia" w:eastAsiaTheme="minorEastAsia" w:cstheme="minorEastAsia"/>
          <w:sz w:val="24"/>
        </w:rPr>
        <w:t>对于“转交”地址，应进行额外调查以确认其正确性和有效性。</w:t>
      </w:r>
    </w:p>
    <w:p w14:paraId="286BC0B2">
      <w:pPr>
        <w:snapToGrid w:val="0"/>
        <w:spacing w:line="360" w:lineRule="auto"/>
        <w:ind w:firstLine="482" w:firstLineChars="200"/>
        <w:rPr>
          <w:rFonts w:asciiTheme="minorEastAsia" w:hAnsiTheme="minorEastAsia" w:eastAsiaTheme="minorEastAsia" w:cstheme="minorEastAsia"/>
          <w:b/>
          <w:bCs/>
          <w:sz w:val="24"/>
        </w:rPr>
      </w:pPr>
      <w:r>
        <w:rPr>
          <w:rFonts w:asciiTheme="minorEastAsia" w:hAnsiTheme="minorEastAsia" w:cstheme="minorEastAsia"/>
          <w:b/>
          <w:bCs/>
          <w:sz w:val="24"/>
        </w:rPr>
        <w:t>4.</w:t>
      </w:r>
      <w:r>
        <w:rPr>
          <w:rFonts w:hint="eastAsia" w:asciiTheme="minorEastAsia" w:hAnsiTheme="minorEastAsia" w:eastAsiaTheme="minorEastAsia" w:cstheme="minorEastAsia"/>
          <w:b/>
          <w:bCs/>
          <w:sz w:val="24"/>
        </w:rPr>
        <w:t>被询证者适当性评估。</w:t>
      </w:r>
    </w:p>
    <w:p w14:paraId="5DD5D8FE">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在选择被询证者时，注册会计师应考虑其是否对被函证信息知情、是否具有客观性以及是否拥有回函的授权。</w:t>
      </w:r>
    </w:p>
    <w:p w14:paraId="38A739E9">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可以通过获取被审计单位业务部门与被询证者的往来邮件、函件、名片等，进一步核实被询证者的身份和联系方式，确保其适当性。</w:t>
      </w:r>
    </w:p>
    <w:p w14:paraId="743288E3">
      <w:pPr>
        <w:snapToGrid w:val="0"/>
        <w:spacing w:before="156" w:beforeLines="50"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二、常见的错误或风险</w:t>
      </w:r>
    </w:p>
    <w:p w14:paraId="28ED46B4">
      <w:pPr>
        <w:snapToGrid w:val="0"/>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（一）管理层提供的函证相关信息含糊、矛盾、不完整或有缺失。</w:t>
      </w:r>
      <w:r>
        <w:rPr>
          <w:rFonts w:hint="eastAsia" w:asciiTheme="minorEastAsia" w:hAnsiTheme="minorEastAsia" w:eastAsiaTheme="minorEastAsia" w:cstheme="minorEastAsia"/>
          <w:sz w:val="24"/>
        </w:rPr>
        <w:t>注册会计师未进行验证核实。</w:t>
      </w:r>
    </w:p>
    <w:p w14:paraId="7238223C">
      <w:pPr>
        <w:snapToGrid w:val="0"/>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（二）未记录验证程序及结果。</w:t>
      </w:r>
      <w:r>
        <w:rPr>
          <w:rFonts w:hint="eastAsia" w:asciiTheme="minorEastAsia" w:hAnsiTheme="minorEastAsia" w:eastAsiaTheme="minorEastAsia" w:cstheme="minorEastAsia"/>
          <w:sz w:val="24"/>
        </w:rPr>
        <w:t>注册会计师并未在审计工作底稿中记录对被询证单位函证信息的有效性执行的验证程序及其结果。</w:t>
      </w:r>
    </w:p>
    <w:p w14:paraId="40E4EDB9">
      <w:pPr>
        <w:snapToGrid w:val="0"/>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（三）错误地址。</w:t>
      </w:r>
      <w:r>
        <w:rPr>
          <w:rFonts w:hint="eastAsia" w:asciiTheme="minorEastAsia" w:hAnsiTheme="minorEastAsia" w:eastAsiaTheme="minorEastAsia" w:cstheme="minorEastAsia"/>
          <w:sz w:val="24"/>
        </w:rPr>
        <w:t>询证函发出前，未认真核对被询证者的名称，未识别并验证被询证者的适当人员、地址，而是根据被审计单位提供的错误地址寄发函证。</w:t>
      </w:r>
    </w:p>
    <w:p w14:paraId="2C43A1F5">
      <w:pPr>
        <w:snapToGrid w:val="0"/>
        <w:spacing w:before="156" w:beforeLines="50"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三、核对函证信息工作底稿</w:t>
      </w:r>
    </w:p>
    <w:p w14:paraId="6E9C13E5">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cstheme="minorEastAsia"/>
          <w:sz w:val="24"/>
        </w:rPr>
        <w:t>（一）</w:t>
      </w:r>
      <w:r>
        <w:rPr>
          <w:rFonts w:asciiTheme="minorEastAsia" w:hAnsiTheme="minorEastAsia" w:eastAsiaTheme="minorEastAsia" w:cstheme="minorEastAsia"/>
          <w:sz w:val="24"/>
        </w:rPr>
        <w:t>函证地址等信息核对过程记录和控制；</w:t>
      </w:r>
    </w:p>
    <w:p w14:paraId="542B4B96">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cstheme="minorEastAsia"/>
          <w:sz w:val="24"/>
        </w:rPr>
        <w:t>（二）</w:t>
      </w:r>
      <w:r>
        <w:rPr>
          <w:rFonts w:hint="eastAsia" w:asciiTheme="minorEastAsia" w:hAnsiTheme="minorEastAsia" w:eastAsiaTheme="minorEastAsia" w:cstheme="minorEastAsia"/>
          <w:sz w:val="24"/>
        </w:rPr>
        <w:t>网站查询结果截屏或链接；</w:t>
      </w:r>
    </w:p>
    <w:p w14:paraId="34C95695">
      <w:pPr>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（三）</w:t>
      </w:r>
      <w:r>
        <w:rPr>
          <w:rFonts w:hint="eastAsia" w:asciiTheme="minorEastAsia" w:hAnsiTheme="minorEastAsia" w:eastAsiaTheme="minorEastAsia" w:cstheme="minorEastAsia"/>
          <w:sz w:val="24"/>
        </w:rPr>
        <w:t>交易合同、增值税专用发票、发货收货记录以及被审计单位的说明、被询证单位迁址说明等。</w:t>
      </w:r>
    </w:p>
    <w:p w14:paraId="0B01FBBD">
      <w:pPr>
        <w:snapToGrid w:val="0"/>
        <w:spacing w:line="360" w:lineRule="auto"/>
        <w:ind w:firstLine="480" w:firstLineChars="200"/>
        <w:rPr>
          <w:rFonts w:asciiTheme="minorEastAsia" w:hAnsiTheme="minorEastAsia" w:eastAsiaTheme="minorEastAsia" w:cstheme="minorEastAsia"/>
          <w:sz w:val="24"/>
          <w:highlight w:val="none"/>
        </w:rPr>
      </w:pPr>
    </w:p>
    <w:p w14:paraId="7C970015">
      <w:pPr>
        <w:snapToGrid w:val="0"/>
        <w:spacing w:line="360" w:lineRule="auto"/>
        <w:ind w:firstLine="0" w:firstLineChars="0"/>
        <w:jc w:val="center"/>
        <w:outlineLvl w:val="1"/>
        <w:rPr>
          <w:rFonts w:asciiTheme="minorEastAsia" w:hAnsiTheme="minorEastAsia" w:eastAsiaTheme="minorEastAsia" w:cstheme="minorEastAsia"/>
          <w:b/>
          <w:bCs/>
          <w:sz w:val="24"/>
        </w:rPr>
      </w:pPr>
      <w:bookmarkStart w:id="56" w:name="_Toc16543"/>
      <w:bookmarkStart w:id="57" w:name="_Toc16135"/>
      <w:bookmarkStart w:id="58" w:name="_Toc8452"/>
      <w:r>
        <w:rPr>
          <w:rFonts w:hint="eastAsia" w:asciiTheme="minorEastAsia" w:hAnsiTheme="minorEastAsia" w:eastAsiaTheme="minorEastAsia" w:cstheme="minorEastAsia"/>
          <w:b/>
          <w:bCs/>
          <w:sz w:val="24"/>
        </w:rPr>
        <w:t>第五节</w:t>
      </w:r>
      <w:r>
        <w:rPr>
          <w:rFonts w:hint="eastAsia" w:asciiTheme="minorEastAsia" w:hAnsiTheme="minorEastAsia" w:cstheme="minorEastAsia"/>
          <w:b/>
          <w:bCs/>
          <w:sz w:val="24"/>
        </w:rPr>
        <w:t xml:space="preserve">  </w:t>
      </w:r>
      <w:r>
        <w:rPr>
          <w:rFonts w:hint="eastAsia" w:asciiTheme="minorEastAsia" w:hAnsiTheme="minorEastAsia" w:eastAsiaTheme="minorEastAsia" w:cstheme="minorEastAsia"/>
          <w:b/>
          <w:bCs/>
          <w:sz w:val="24"/>
        </w:rPr>
        <w:t>编制询证函</w:t>
      </w:r>
      <w:bookmarkEnd w:id="56"/>
      <w:bookmarkEnd w:id="57"/>
      <w:bookmarkEnd w:id="58"/>
    </w:p>
    <w:p w14:paraId="7AC468E5">
      <w:pPr>
        <w:snapToGrid w:val="0"/>
        <w:spacing w:line="360" w:lineRule="auto"/>
        <w:ind w:firstLine="482" w:firstLineChars="200"/>
        <w:outlineLvl w:val="2"/>
        <w:rPr>
          <w:rFonts w:asciiTheme="minorEastAsia" w:hAnsiTheme="minorEastAsia" w:cstheme="minorEastAsia"/>
          <w:b/>
          <w:bCs/>
          <w:sz w:val="24"/>
        </w:rPr>
      </w:pPr>
    </w:p>
    <w:p w14:paraId="2FFD1F44">
      <w:pPr>
        <w:snapToGrid w:val="0"/>
        <w:spacing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一、函证内容</w:t>
      </w:r>
    </w:p>
    <w:p w14:paraId="79F5CA4C">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（一）银行函证的内容</w:t>
      </w:r>
    </w:p>
    <w:p w14:paraId="5554ADB1">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询证函应按照《银行函证工作操作指引》（财办会〔</w:t>
      </w:r>
      <w:r>
        <w:rPr>
          <w:rFonts w:asciiTheme="minorEastAsia" w:hAnsiTheme="minorEastAsia" w:eastAsiaTheme="minorEastAsia" w:cstheme="minorEastAsia"/>
          <w:sz w:val="24"/>
        </w:rPr>
        <w:t>2024〕2号）的格式及要求严格填制。注册会计师应注意将同一银行的不同账户及全部1-14</w:t>
      </w:r>
      <w:r>
        <w:rPr>
          <w:rFonts w:hint="eastAsia" w:asciiTheme="minorEastAsia" w:hAnsiTheme="minorEastAsia" w:eastAsiaTheme="minorEastAsia" w:cstheme="minorEastAsia"/>
          <w:sz w:val="24"/>
        </w:rPr>
        <w:t>项交易类型，包括存款、贷款、票据、担保、理财产品等，一并纳入函证范围。</w:t>
      </w:r>
    </w:p>
    <w:p w14:paraId="49A905ED">
      <w:pPr>
        <w:snapToGrid w:val="0"/>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（二）企业函证的内容</w:t>
      </w:r>
    </w:p>
    <w:p w14:paraId="05DBD6B6">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企业询证函的内容应服从于审计目标的需要，如果所在会计师事务所内部已经发布了询证函模板，注册会计师可在参考模板编制，必要时需要根据实际情况就需要确认的信息，对格式内容和表述进行增减和修改。例如，在针对账户余额的存在认定获取审计证据时，应当在询证函中列明相关信息，要求对方确认；在针对账户余额的完整性认定获取审计证据时，则需要改变询证函的内容设计。</w:t>
      </w:r>
    </w:p>
    <w:p w14:paraId="4F3C50C9">
      <w:pPr>
        <w:snapToGrid w:val="0"/>
        <w:spacing w:line="360" w:lineRule="auto"/>
        <w:ind w:firstLine="480"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在设计函证内容时注册会计师应关注但不限于以下事项：</w:t>
      </w:r>
    </w:p>
    <w:p w14:paraId="4D5A2B11">
      <w:pPr>
        <w:snapToGrid w:val="0"/>
        <w:spacing w:line="360" w:lineRule="auto"/>
        <w:ind w:firstLine="482" w:firstLineChars="200"/>
        <w:rPr>
          <w:rFonts w:asciiTheme="minorEastAsia" w:hAnsiTheme="minorEastAsia" w:eastAsiaTheme="minorEastAsia" w:cstheme="minorEastAsia"/>
          <w:sz w:val="24"/>
        </w:rPr>
      </w:pPr>
      <w:r>
        <w:rPr>
          <w:rFonts w:asciiTheme="minorEastAsia" w:hAnsiTheme="minorEastAsia" w:eastAsiaTheme="minorEastAsia" w:cstheme="minorEastAsia"/>
          <w:b/>
          <w:bCs/>
          <w:sz w:val="24"/>
        </w:rPr>
        <w:t>1.货币单位的列示。</w:t>
      </w:r>
      <w:r>
        <w:rPr>
          <w:rFonts w:asciiTheme="minorEastAsia" w:hAnsiTheme="minorEastAsia" w:eastAsiaTheme="minorEastAsia" w:cstheme="minorEastAsia"/>
          <w:sz w:val="24"/>
        </w:rPr>
        <w:t>在函证涉及不同货币核算的账户余额时，注册会计师应当列明原币币种及相应金额，以确保信息的准确性和可比性。</w:t>
      </w:r>
    </w:p>
    <w:p w14:paraId="5A8EC436">
      <w:pPr>
        <w:snapToGrid w:val="0"/>
        <w:spacing w:line="360" w:lineRule="auto"/>
        <w:ind w:firstLine="482" w:firstLineChars="200"/>
        <w:rPr>
          <w:rFonts w:asciiTheme="minorEastAsia" w:hAnsiTheme="minorEastAsia" w:eastAsiaTheme="minorEastAsia" w:cstheme="minorEastAsia"/>
          <w:sz w:val="24"/>
        </w:rPr>
      </w:pPr>
      <w:r>
        <w:rPr>
          <w:rFonts w:asciiTheme="minorEastAsia" w:hAnsiTheme="minorEastAsia" w:eastAsiaTheme="minorEastAsia" w:cstheme="minorEastAsia"/>
          <w:b/>
          <w:bCs/>
          <w:sz w:val="24"/>
        </w:rPr>
        <w:t>2.函证内容的扩展。</w:t>
      </w:r>
      <w:r>
        <w:rPr>
          <w:rFonts w:asciiTheme="minorEastAsia" w:hAnsiTheme="minorEastAsia" w:eastAsiaTheme="minorEastAsia" w:cstheme="minorEastAsia"/>
          <w:sz w:val="24"/>
        </w:rPr>
        <w:t>企业询证函的内容不必仅局限于账户余额及其要素信息，根据风险评估结果还可以考虑对被审计单位与第三方之间的协议或交易条款，或是否存在可能影响被审计单位收入确认的“秘密协议”或“私下交易”等进行函证。</w:t>
      </w:r>
    </w:p>
    <w:p w14:paraId="6E0ADDBE">
      <w:pPr>
        <w:snapToGrid w:val="0"/>
        <w:spacing w:line="360" w:lineRule="auto"/>
        <w:ind w:firstLine="482" w:firstLineChars="200"/>
        <w:rPr>
          <w:rFonts w:asciiTheme="minorEastAsia" w:hAnsiTheme="minorEastAsia" w:eastAsiaTheme="minorEastAsia" w:cstheme="minorEastAsia"/>
          <w:sz w:val="24"/>
        </w:rPr>
      </w:pPr>
      <w:r>
        <w:rPr>
          <w:rFonts w:asciiTheme="minorEastAsia" w:hAnsiTheme="minorEastAsia" w:eastAsiaTheme="minorEastAsia" w:cstheme="minorEastAsia"/>
          <w:b/>
          <w:bCs/>
          <w:sz w:val="24"/>
        </w:rPr>
        <w:t>3.期初余额。</w:t>
      </w:r>
      <w:r>
        <w:rPr>
          <w:rFonts w:asciiTheme="minorEastAsia" w:hAnsiTheme="minorEastAsia" w:eastAsiaTheme="minorEastAsia" w:cstheme="minorEastAsia"/>
          <w:sz w:val="24"/>
        </w:rPr>
        <w:t>对于新承接的审计客户，函证内容除包括账户的期末余额及其构成要素外，还应涵盖账户的期初余额（或审计期间涵盖的余额）及其构成要素。</w:t>
      </w:r>
    </w:p>
    <w:p w14:paraId="7A036E49">
      <w:pPr>
        <w:snapToGrid w:val="0"/>
        <w:spacing w:line="360" w:lineRule="auto"/>
        <w:ind w:firstLine="482" w:firstLineChars="200"/>
        <w:rPr>
          <w:rFonts w:asciiTheme="minorEastAsia" w:hAnsiTheme="minorEastAsia" w:eastAsiaTheme="minorEastAsia" w:cstheme="minorEastAsia"/>
          <w:sz w:val="24"/>
        </w:rPr>
      </w:pPr>
      <w:r>
        <w:rPr>
          <w:rFonts w:asciiTheme="minorEastAsia" w:hAnsiTheme="minorEastAsia" w:eastAsiaTheme="minorEastAsia" w:cstheme="minorEastAsia"/>
          <w:b/>
          <w:bCs/>
          <w:sz w:val="24"/>
        </w:rPr>
        <w:t>4.往来函证的综合性。</w:t>
      </w:r>
      <w:r>
        <w:rPr>
          <w:rFonts w:asciiTheme="minorEastAsia" w:hAnsiTheme="minorEastAsia" w:eastAsiaTheme="minorEastAsia" w:cstheme="minorEastAsia"/>
          <w:sz w:val="24"/>
        </w:rPr>
        <w:t>在实施往来款项函证时，应将同一客户的不同性质的往来款项纳入函证，并考虑对当期交易事项、交易数量、交易价格、交易金额、合同履约状态、结算信用期、已结算金额、已收或已付金额（货币资金或票据）、未履行的合同或重大承诺事项等进行函证。</w:t>
      </w:r>
    </w:p>
    <w:p w14:paraId="44448E15">
      <w:pPr>
        <w:snapToGrid w:val="0"/>
        <w:spacing w:line="360" w:lineRule="auto"/>
        <w:ind w:firstLine="482" w:firstLineChars="200"/>
        <w:rPr>
          <w:rFonts w:asciiTheme="minorEastAsia" w:hAnsiTheme="minorEastAsia" w:eastAsiaTheme="minorEastAsia" w:cstheme="minorEastAsia"/>
          <w:sz w:val="24"/>
        </w:rPr>
      </w:pPr>
      <w:r>
        <w:rPr>
          <w:rFonts w:asciiTheme="minorEastAsia" w:hAnsiTheme="minorEastAsia" w:eastAsiaTheme="minorEastAsia" w:cstheme="minorEastAsia"/>
          <w:b/>
          <w:bCs/>
          <w:sz w:val="24"/>
        </w:rPr>
        <w:t>5.合同或担保事项的明确性。</w:t>
      </w:r>
      <w:r>
        <w:rPr>
          <w:rFonts w:asciiTheme="minorEastAsia" w:hAnsiTheme="minorEastAsia" w:eastAsiaTheme="minorEastAsia" w:cstheme="minorEastAsia"/>
          <w:sz w:val="24"/>
        </w:rPr>
        <w:t>对于交易合同、担保事项本身或其中某一条款的函证，注册会计师应在函证中明确说明合同的约定情况。</w:t>
      </w:r>
    </w:p>
    <w:p w14:paraId="4CD7BFD7">
      <w:pPr>
        <w:snapToGrid w:val="0"/>
        <w:spacing w:line="360" w:lineRule="auto"/>
        <w:ind w:firstLine="482" w:firstLineChars="200"/>
        <w:rPr>
          <w:rFonts w:asciiTheme="minorEastAsia" w:hAnsiTheme="minorEastAsia" w:eastAsiaTheme="minorEastAsia" w:cstheme="minorEastAsia"/>
          <w:sz w:val="24"/>
        </w:rPr>
      </w:pPr>
      <w:r>
        <w:rPr>
          <w:rFonts w:asciiTheme="minorEastAsia" w:hAnsiTheme="minorEastAsia" w:eastAsiaTheme="minorEastAsia" w:cstheme="minorEastAsia"/>
          <w:b/>
          <w:bCs/>
          <w:sz w:val="24"/>
        </w:rPr>
        <w:t>6.交易项目金额和数量的确定。</w:t>
      </w:r>
      <w:r>
        <w:rPr>
          <w:rFonts w:asciiTheme="minorEastAsia" w:hAnsiTheme="minorEastAsia" w:eastAsiaTheme="minorEastAsia" w:cstheme="minorEastAsia"/>
          <w:sz w:val="24"/>
        </w:rPr>
        <w:t>在对交易项目金额进行函证时，应从明细账户中确定；对交易数量进行函证时，应从保管或销售发货记录中确定，并注意函证数量应包括尚未结算的发出商品数量。</w:t>
      </w:r>
    </w:p>
    <w:p w14:paraId="2D11872A">
      <w:pPr>
        <w:snapToGrid w:val="0"/>
        <w:spacing w:line="360" w:lineRule="auto"/>
        <w:ind w:firstLine="482" w:firstLineChars="200"/>
        <w:rPr>
          <w:rFonts w:asciiTheme="minorEastAsia" w:hAnsiTheme="minorEastAsia" w:eastAsiaTheme="minorEastAsia" w:cstheme="minorEastAsia"/>
          <w:sz w:val="24"/>
        </w:rPr>
      </w:pPr>
      <w:r>
        <w:rPr>
          <w:rFonts w:asciiTheme="minorEastAsia" w:hAnsiTheme="minorEastAsia" w:eastAsiaTheme="minorEastAsia" w:cstheme="minorEastAsia"/>
          <w:b/>
          <w:bCs/>
          <w:sz w:val="24"/>
        </w:rPr>
        <w:t>7.函证文本的完整性。</w:t>
      </w:r>
      <w:r>
        <w:rPr>
          <w:rFonts w:asciiTheme="minorEastAsia" w:hAnsiTheme="minorEastAsia" w:eastAsiaTheme="minorEastAsia" w:cstheme="minorEastAsia"/>
          <w:sz w:val="24"/>
        </w:rPr>
        <w:t>当函证文本为多页时，注册会计师应在函证文本上注明提请被询证单位协助加盖骑缝章的字样，以确保回函的完整性和防止篡改。</w:t>
      </w:r>
    </w:p>
    <w:p w14:paraId="6EBCC67D">
      <w:pPr>
        <w:snapToGrid w:val="0"/>
        <w:spacing w:line="360" w:lineRule="auto"/>
        <w:ind w:firstLine="482" w:firstLineChars="200"/>
        <w:rPr>
          <w:rFonts w:asciiTheme="minorEastAsia" w:hAnsiTheme="minorEastAsia" w:eastAsiaTheme="minorEastAsia" w:cstheme="minorEastAsia"/>
          <w:sz w:val="24"/>
        </w:rPr>
      </w:pPr>
      <w:r>
        <w:rPr>
          <w:rFonts w:asciiTheme="minorEastAsia" w:hAnsiTheme="minorEastAsia" w:eastAsiaTheme="minorEastAsia" w:cstheme="minorEastAsia"/>
          <w:b/>
          <w:bCs/>
          <w:sz w:val="24"/>
        </w:rPr>
        <w:t>8.被询证单位信息提供能力的评估。</w:t>
      </w:r>
      <w:r>
        <w:rPr>
          <w:rFonts w:asciiTheme="minorEastAsia" w:hAnsiTheme="minorEastAsia" w:eastAsiaTheme="minorEastAsia" w:cstheme="minorEastAsia"/>
          <w:sz w:val="24"/>
        </w:rPr>
        <w:t>注册会计师应考虑预期的被询证单位确认或提供信息的能力，例如被询证单位能够提供的信息是单张发票金额还是总额。</w:t>
      </w:r>
    </w:p>
    <w:p w14:paraId="4C041632">
      <w:pPr>
        <w:snapToGrid w:val="0"/>
        <w:spacing w:before="156" w:beforeLines="50"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二、确定函证方式</w:t>
      </w:r>
    </w:p>
    <w:p w14:paraId="7DFB54DB">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函证方式包括积极式函证、消极式函证。积极式函证，是指要求被询证者直接向注册会计师回复，表明是否同意询证函所列示的信息，或填列所要求的信息的一种询证方式。消极式函证，是指要求被询证者只有在不同意询证函所列示的信息时才直接向注册会计师回复的一种询证方式。</w:t>
      </w:r>
    </w:p>
    <w:p w14:paraId="34CEF0F6">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《中国注册会计师审计准则第</w:t>
      </w:r>
      <w:r>
        <w:rPr>
          <w:rFonts w:asciiTheme="minorEastAsia" w:hAnsiTheme="minorEastAsia" w:eastAsiaTheme="minorEastAsia" w:cstheme="minorEastAsia"/>
          <w:sz w:val="24"/>
        </w:rPr>
        <w:t xml:space="preserve">1312号——函 </w:t>
      </w:r>
      <w:r>
        <w:rPr>
          <w:rFonts w:hint="eastAsia" w:asciiTheme="minorEastAsia" w:hAnsiTheme="minorEastAsia" w:eastAsiaTheme="minorEastAsia" w:cstheme="minorEastAsia"/>
          <w:sz w:val="24"/>
        </w:rPr>
        <w:t>证》第二十二条规定，消极式函证比积极式函证提供的审计证据的说服力低。除非同时满足下列条件，注册会计师不得将消极式函证作为唯一实质性程序，以应对评估的认定层次重大错报风险：</w:t>
      </w:r>
    </w:p>
    <w:p w14:paraId="51EB0E26">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（一）注册会计师将重大错报风险评估为低水平，并已就与认定相关的控制运行的有效性获取了充分、适当的审计证据；</w:t>
      </w:r>
    </w:p>
    <w:p w14:paraId="536D39C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（二）需要实施消极式函证程序的总体由大量小额、同质的账户余额、交易或事项构成；</w:t>
      </w:r>
    </w:p>
    <w:p w14:paraId="62E1AAFB">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（三）预期不符事项的发生率很低；</w:t>
      </w:r>
    </w:p>
    <w:p w14:paraId="07FAE617">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（四）没有迹象表明接收询证函的人员或机构不认真对待函证。</w:t>
      </w:r>
    </w:p>
    <w:p w14:paraId="1AC3A542">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积极式函证要求被询证者在所有情况下都必须回函，确认所列示的信息是否正确或填列询证函要求的信息。通常认为，对积极式询证函的回函能够提供可靠的审计证据。鉴于消极式函证比积极式函证提供的审计证据的说服力低，因此本指引建议在设计询证函时，尽可能采用积极式函证，若采用消极式函证，注册会计师应记录原因或考虑的因素。</w:t>
      </w:r>
    </w:p>
    <w:p w14:paraId="3E4D2DE3">
      <w:pPr>
        <w:snapToGrid w:val="0"/>
        <w:spacing w:before="156" w:beforeLines="50"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三、填写与检查</w:t>
      </w:r>
    </w:p>
    <w:p w14:paraId="6890C3AD">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（一）填写</w:t>
      </w:r>
    </w:p>
    <w:p w14:paraId="2ED67FF8">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采用集约化函证的会计师事务所可由函证系统生成询证函，其他会计师事务所手动填写询证函，两种方式均需保证信息的准确性和一致性。</w:t>
      </w:r>
    </w:p>
    <w:p w14:paraId="28B55EAC">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注册会计师应尽量使用电脑填写询证函内容。一是避免出现涂改、篡改询证函的情况；二是保证函证内容清晰、字迹工整。</w:t>
      </w:r>
    </w:p>
    <w:p w14:paraId="706FF301">
      <w:pPr>
        <w:numPr>
          <w:ilvl w:val="0"/>
          <w:numId w:val="4"/>
        </w:num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检查回函信息</w:t>
      </w:r>
      <w:r>
        <w:rPr>
          <w:rFonts w:asciiTheme="minorEastAsia" w:hAnsiTheme="minorEastAsia" w:eastAsiaTheme="minorEastAsia" w:cstheme="minorEastAsia"/>
          <w:b/>
          <w:bCs/>
          <w:sz w:val="24"/>
        </w:rPr>
        <w:t xml:space="preserve"> </w:t>
      </w:r>
    </w:p>
    <w:p w14:paraId="227AEF60">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检查询证函中是否已正确填列被询证单位直接向会计师事务所回函的方式，包括邮寄地址、收件人、联系电话等详细信息，并确保询证函上填写的信息有效。</w:t>
      </w:r>
    </w:p>
    <w:p w14:paraId="78686B8B">
      <w:pPr>
        <w:numPr>
          <w:ilvl w:val="0"/>
          <w:numId w:val="4"/>
        </w:num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核对函证信息。</w:t>
      </w:r>
    </w:p>
    <w:p w14:paraId="5EAEBBAB">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与被审计单位核对函证信息，确保所有账户信息、交易细节及余额数据均准确无误。特别是当被询证单位存在多项往来款中挂账时，应将相关信息整合在同一份询证函中，还可以考虑对当期交易事项、交易数量、交易价格、交易金额、合同履约状态、结算信用期、已结算金额、已收或已付金额（货币资金或票据）、尚未履行的合同或重大承诺事项等进行函证。</w:t>
      </w:r>
    </w:p>
    <w:p w14:paraId="63ECFF59">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（四）银行询证函的特殊考虑</w:t>
      </w:r>
    </w:p>
    <w:p w14:paraId="7DF7EB17">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color w:val="auto"/>
          <w:sz w:val="24"/>
        </w:rPr>
        <w:t>1.</w:t>
      </w:r>
      <w:r>
        <w:rPr>
          <w:rFonts w:hint="eastAsia" w:asciiTheme="minorEastAsia" w:hAnsiTheme="minorEastAsia" w:eastAsiaTheme="minorEastAsia" w:cstheme="minorEastAsia"/>
          <w:sz w:val="24"/>
        </w:rPr>
        <w:t>对于境内银行的询证函，应使用《银行函证工作操作指引》（财办会〔</w:t>
      </w:r>
      <w:r>
        <w:rPr>
          <w:rFonts w:asciiTheme="minorEastAsia" w:hAnsiTheme="minorEastAsia" w:eastAsiaTheme="minorEastAsia" w:cstheme="minorEastAsia"/>
          <w:sz w:val="24"/>
        </w:rPr>
        <w:t>2024〕2号）提供的标准格式，避免因为格式的修改导致因为银行不予回函。</w:t>
      </w:r>
    </w:p>
    <w:p w14:paraId="2FFBF31B">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color w:val="auto"/>
          <w:sz w:val="24"/>
        </w:rPr>
        <w:t>2.</w:t>
      </w:r>
      <w:r>
        <w:rPr>
          <w:rFonts w:hint="eastAsia" w:asciiTheme="minorEastAsia" w:hAnsiTheme="minorEastAsia" w:eastAsiaTheme="minorEastAsia" w:cstheme="minorEastAsia"/>
          <w:sz w:val="24"/>
        </w:rPr>
        <w:t>银行询证函标准格式由</w:t>
      </w:r>
      <w:r>
        <w:rPr>
          <w:rFonts w:asciiTheme="minorEastAsia" w:hAnsiTheme="minorEastAsia" w:eastAsiaTheme="minorEastAsia" w:cstheme="minorEastAsia"/>
          <w:sz w:val="24"/>
        </w:rPr>
        <w:t>13</w:t>
      </w:r>
      <w:r>
        <w:rPr>
          <w:rFonts w:hint="eastAsia" w:asciiTheme="minorEastAsia" w:hAnsiTheme="minorEastAsia" w:eastAsiaTheme="minorEastAsia" w:cstheme="minorEastAsia"/>
          <w:sz w:val="24"/>
        </w:rPr>
        <w:t>项具体业务函证事项和其他函证事项组成，</w:t>
      </w:r>
      <w:r>
        <w:rPr>
          <w:rFonts w:asciiTheme="minorEastAsia" w:hAnsiTheme="minorEastAsia" w:eastAsiaTheme="minorEastAsia" w:cstheme="minorEastAsia"/>
          <w:sz w:val="24"/>
        </w:rPr>
        <w:t>13</w:t>
      </w:r>
      <w:r>
        <w:rPr>
          <w:rFonts w:hint="eastAsia" w:asciiTheme="minorEastAsia" w:hAnsiTheme="minorEastAsia" w:eastAsiaTheme="minorEastAsia" w:cstheme="minorEastAsia"/>
          <w:sz w:val="24"/>
        </w:rPr>
        <w:t>项具体业务函证事项基本囊括了企业与银行所有业务往来，注册会计师在填写询证函之前，应了解并核实被审计单位与被询证银行之间在报告期内发生的所有业务事项。在填写相关函证信息时应注意不能留白，所有的空白未填写部分均应划线或填写“无”。比如：银行存款信息中“是否存在冻结、担保或其他使用限制”。</w:t>
      </w:r>
    </w:p>
    <w:p w14:paraId="5804F1D4">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color w:val="auto"/>
          <w:sz w:val="24"/>
        </w:rPr>
        <w:t>3.</w:t>
      </w:r>
      <w:r>
        <w:rPr>
          <w:rFonts w:hint="eastAsia" w:asciiTheme="minorEastAsia" w:hAnsiTheme="minorEastAsia" w:eastAsiaTheme="minorEastAsia" w:cstheme="minorEastAsia"/>
          <w:sz w:val="24"/>
        </w:rPr>
        <w:t>如果对报告期内没有发生业务的函证事项采用留白方式填写，在采取亲往跟函的方式时，应观察银行工作人员对待函证的程序和方法，必要时提醒关注空白处事项银行系统是否存在。</w:t>
      </w:r>
    </w:p>
    <w:p w14:paraId="50B84EEF">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color w:val="auto"/>
          <w:sz w:val="24"/>
        </w:rPr>
        <w:t>4.</w:t>
      </w:r>
      <w:r>
        <w:rPr>
          <w:rFonts w:hint="eastAsia" w:asciiTheme="minorEastAsia" w:hAnsiTheme="minorEastAsia" w:eastAsiaTheme="minorEastAsia" w:cstheme="minorEastAsia"/>
          <w:sz w:val="24"/>
        </w:rPr>
        <w:t>如果注册会计师认为存在《银行函证工作操作指引》（财办会〔</w:t>
      </w:r>
      <w:r>
        <w:rPr>
          <w:rFonts w:asciiTheme="minorEastAsia" w:hAnsiTheme="minorEastAsia" w:eastAsiaTheme="minorEastAsia" w:cstheme="minorEastAsia"/>
          <w:sz w:val="24"/>
        </w:rPr>
        <w:t>2024〕2号）提供的标准格式中的13</w:t>
      </w:r>
      <w:r>
        <w:rPr>
          <w:rFonts w:hint="eastAsia" w:asciiTheme="minorEastAsia" w:hAnsiTheme="minorEastAsia" w:eastAsiaTheme="minorEastAsia" w:cstheme="minorEastAsia"/>
          <w:sz w:val="24"/>
        </w:rPr>
        <w:t>项内容未包括的重大且应予函证的其他事项，可能需要在第</w:t>
      </w:r>
      <w:r>
        <w:rPr>
          <w:rFonts w:asciiTheme="minorEastAsia" w:hAnsiTheme="minorEastAsia" w:eastAsiaTheme="minorEastAsia" w:cstheme="minorEastAsia"/>
          <w:sz w:val="24"/>
        </w:rPr>
        <w:t>14</w:t>
      </w:r>
      <w:r>
        <w:rPr>
          <w:rFonts w:hint="eastAsia" w:asciiTheme="minorEastAsia" w:hAnsiTheme="minorEastAsia" w:eastAsiaTheme="minorEastAsia" w:cstheme="minorEastAsia"/>
          <w:sz w:val="24"/>
        </w:rPr>
        <w:t>项“其他”中追加函证事项。如果确定在第</w:t>
      </w:r>
      <w:r>
        <w:rPr>
          <w:rFonts w:asciiTheme="minorEastAsia" w:hAnsiTheme="minorEastAsia" w:eastAsiaTheme="minorEastAsia" w:cstheme="minorEastAsia"/>
          <w:sz w:val="24"/>
        </w:rPr>
        <w:t>14</w:t>
      </w:r>
      <w:r>
        <w:rPr>
          <w:rFonts w:hint="eastAsia" w:asciiTheme="minorEastAsia" w:hAnsiTheme="minorEastAsia" w:eastAsiaTheme="minorEastAsia" w:cstheme="minorEastAsia"/>
          <w:sz w:val="24"/>
        </w:rPr>
        <w:t>项“其他”中追加函证事项，应与被审计单位沟通，请其协助并提前与银行工作人员做好沟通。</w:t>
      </w:r>
    </w:p>
    <w:p w14:paraId="6FAEDE63">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color w:val="auto"/>
          <w:sz w:val="24"/>
        </w:rPr>
        <w:t>5.</w:t>
      </w:r>
      <w:r>
        <w:rPr>
          <w:rFonts w:hint="eastAsia" w:asciiTheme="minorEastAsia" w:hAnsiTheme="minorEastAsia" w:eastAsiaTheme="minorEastAsia" w:cstheme="minorEastAsia"/>
          <w:sz w:val="24"/>
        </w:rPr>
        <w:t>根据《银行函证工作操作指引》（财办会〔</w:t>
      </w:r>
      <w:r>
        <w:rPr>
          <w:rFonts w:asciiTheme="minorEastAsia" w:hAnsiTheme="minorEastAsia" w:eastAsiaTheme="minorEastAsia" w:cstheme="minorEastAsia"/>
          <w:sz w:val="24"/>
        </w:rPr>
        <w:t>2024〕2号）的要求，银行业金融机构可校验的签章包括但不限于被审计单位在银行开户时的预留签章或被审计单位与银行约定在办理函证业务时需要加盖的签章（包括具体签章组合）。注册会计师需要明确受理银行询证函所需的被审计单位授权预留签章或电子授权要求，避免银行询证函发出后被银行退回。</w:t>
      </w:r>
    </w:p>
    <w:p w14:paraId="69A3B17B">
      <w:pPr>
        <w:snapToGrid w:val="0"/>
        <w:spacing w:line="360" w:lineRule="auto"/>
        <w:ind w:firstLine="482" w:firstLineChars="200"/>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（五）企业询证函的特殊考虑</w:t>
      </w:r>
    </w:p>
    <w:p w14:paraId="6BA5D68E">
      <w:pPr>
        <w:snapToGrid w:val="0"/>
        <w:spacing w:line="360" w:lineRule="auto"/>
        <w:ind w:firstLine="480" w:firstLineChars="200"/>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rPr>
        <w:t>函证可能同时涉及项目发生额和余额。</w:t>
      </w:r>
    </w:p>
    <w:p w14:paraId="0350C9ED">
      <w:pPr>
        <w:snapToGrid w:val="0"/>
        <w:spacing w:line="360" w:lineRule="auto"/>
        <w:ind w:firstLine="480" w:firstLineChars="200"/>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rPr>
        <w:t>函证应注明仅是核对款项，并不是对款项的结算或催收。</w:t>
      </w:r>
    </w:p>
    <w:p w14:paraId="3EB276BA">
      <w:pPr>
        <w:snapToGrid w:val="0"/>
        <w:spacing w:line="360" w:lineRule="auto"/>
        <w:ind w:firstLine="480" w:firstLineChars="200"/>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3.</w:t>
      </w:r>
      <w:r>
        <w:rPr>
          <w:rFonts w:hint="eastAsia" w:asciiTheme="minorEastAsia" w:hAnsiTheme="minorEastAsia" w:eastAsiaTheme="minorEastAsia" w:cstheme="minorEastAsia"/>
          <w:color w:val="auto"/>
          <w:sz w:val="24"/>
        </w:rPr>
        <w:t>涉及对境外客户函证时，可能需要备注所在国文字。</w:t>
      </w:r>
    </w:p>
    <w:p w14:paraId="3818186A">
      <w:pPr>
        <w:snapToGrid w:val="0"/>
        <w:spacing w:before="156" w:beforeLines="50"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四、常见的错误或风险</w:t>
      </w:r>
    </w:p>
    <w:p w14:paraId="6A6F5CBC">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（一）函证信息不完整，如遗漏定期存款余额的函证、未将货币资金质押担保等受限情况作为函证内容等，错失和遗漏重要财产受限信息及相关重要交易往来。</w:t>
      </w:r>
    </w:p>
    <w:p w14:paraId="7D8732F1">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（二）仅对银行账户余额和借款实施函证，未对票据、理财产品、对外担保、资金池账户等与银行往来的其他重要信息实施函证。</w:t>
      </w:r>
    </w:p>
    <w:p w14:paraId="41DDEA6F">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（三）未关注资金池业务，应函证资金池账户的具体信息，并在银行询证函中详细列示，以揭示潜在的舞弊风险。</w:t>
      </w:r>
    </w:p>
    <w:p w14:paraId="57EFF57F">
      <w:pPr>
        <w:tabs>
          <w:tab w:val="left" w:pos="5652"/>
        </w:tabs>
        <w:snapToGrid w:val="0"/>
        <w:spacing w:before="156" w:beforeLines="50"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五、编制询证函工作底稿</w:t>
      </w:r>
      <w:r>
        <w:rPr>
          <w:rFonts w:asciiTheme="minorEastAsia" w:hAnsiTheme="minorEastAsia" w:eastAsiaTheme="minorEastAsia" w:cstheme="minorEastAsia"/>
          <w:b/>
          <w:bCs/>
          <w:sz w:val="24"/>
        </w:rPr>
        <w:tab/>
      </w:r>
      <w:r>
        <w:rPr>
          <w:rFonts w:asciiTheme="minorEastAsia" w:hAnsiTheme="minorEastAsia" w:eastAsiaTheme="minorEastAsia" w:cstheme="minorEastAsia"/>
          <w:b/>
          <w:bCs/>
          <w:sz w:val="24"/>
        </w:rPr>
        <w:t xml:space="preserve">                                                                                                                                                                                                                                                                                                                                                                                                                                                                                                                                                                                                                                                                                                                                                                                                                                                                                                                                                                                                                                                    </w:t>
      </w:r>
    </w:p>
    <w:p w14:paraId="49B77372">
      <w:pPr>
        <w:snapToGrid w:val="0"/>
        <w:spacing w:line="360" w:lineRule="auto"/>
        <w:ind w:firstLine="480" w:firstLineChars="200"/>
        <w:rPr>
          <w:rFonts w:asciiTheme="minorEastAsia" w:hAnsiTheme="minorEastAsia" w:cstheme="minorEastAsia"/>
          <w:sz w:val="24"/>
        </w:rPr>
      </w:pPr>
      <w:r>
        <w:rPr>
          <w:rFonts w:hint="eastAsia" w:asciiTheme="minorEastAsia" w:hAnsiTheme="minorEastAsia" w:eastAsiaTheme="minorEastAsia" w:cstheme="minorEastAsia"/>
          <w:sz w:val="24"/>
        </w:rPr>
        <w:t>详细记录企业询证函的填写方式、询证函的编号和索引，以及在编制过程中采取的控制措施，确保函证过程的可追溯性和规范性。</w:t>
      </w:r>
    </w:p>
    <w:p w14:paraId="77D6372F">
      <w:pPr>
        <w:snapToGrid w:val="0"/>
        <w:spacing w:line="360" w:lineRule="auto"/>
        <w:ind w:firstLine="480" w:firstLineChars="200"/>
        <w:rPr>
          <w:rFonts w:asciiTheme="minorEastAsia" w:hAnsiTheme="minorEastAsia" w:eastAsiaTheme="minorEastAsia" w:cstheme="minorEastAsia"/>
          <w:sz w:val="24"/>
        </w:rPr>
      </w:pPr>
    </w:p>
    <w:p w14:paraId="1E9761B6">
      <w:pPr>
        <w:snapToGrid w:val="0"/>
        <w:spacing w:line="360" w:lineRule="auto"/>
        <w:ind w:firstLine="0" w:firstLineChars="0"/>
        <w:jc w:val="center"/>
        <w:outlineLvl w:val="1"/>
        <w:rPr>
          <w:rFonts w:asciiTheme="minorEastAsia" w:hAnsiTheme="minorEastAsia" w:eastAsiaTheme="minorEastAsia" w:cstheme="minorEastAsia"/>
          <w:b/>
          <w:bCs/>
          <w:sz w:val="24"/>
        </w:rPr>
      </w:pPr>
      <w:bookmarkStart w:id="59" w:name="_Toc11521"/>
      <w:bookmarkStart w:id="60" w:name="_Toc20596"/>
      <w:bookmarkStart w:id="61" w:name="_Toc29768"/>
      <w:r>
        <w:rPr>
          <w:rFonts w:hint="eastAsia" w:asciiTheme="minorEastAsia" w:hAnsiTheme="minorEastAsia" w:eastAsiaTheme="minorEastAsia" w:cstheme="minorEastAsia"/>
          <w:b/>
          <w:bCs/>
          <w:sz w:val="24"/>
        </w:rPr>
        <w:t>第六节</w:t>
      </w:r>
      <w:r>
        <w:rPr>
          <w:rFonts w:hint="eastAsia" w:asciiTheme="minorEastAsia" w:hAnsiTheme="minorEastAsia" w:cstheme="minorEastAsia"/>
          <w:b/>
          <w:bCs/>
          <w:sz w:val="24"/>
        </w:rPr>
        <w:t xml:space="preserve">  </w:t>
      </w:r>
      <w:r>
        <w:rPr>
          <w:rFonts w:hint="eastAsia" w:asciiTheme="minorEastAsia" w:hAnsiTheme="minorEastAsia" w:eastAsiaTheme="minorEastAsia" w:cstheme="minorEastAsia"/>
          <w:b/>
          <w:bCs/>
          <w:sz w:val="24"/>
        </w:rPr>
        <w:t>打印询证函并盖章</w:t>
      </w:r>
      <w:bookmarkEnd w:id="59"/>
      <w:bookmarkEnd w:id="60"/>
      <w:bookmarkEnd w:id="61"/>
    </w:p>
    <w:p w14:paraId="4A411522">
      <w:pPr>
        <w:snapToGrid w:val="0"/>
        <w:spacing w:line="360" w:lineRule="auto"/>
        <w:ind w:firstLine="482" w:firstLineChars="200"/>
        <w:outlineLvl w:val="2"/>
        <w:rPr>
          <w:rFonts w:asciiTheme="minorEastAsia" w:hAnsiTheme="minorEastAsia" w:cstheme="minorEastAsia"/>
          <w:b/>
          <w:bCs/>
          <w:sz w:val="24"/>
        </w:rPr>
      </w:pPr>
    </w:p>
    <w:p w14:paraId="004E3E66">
      <w:pPr>
        <w:snapToGrid w:val="0"/>
        <w:spacing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一、打印与核对</w:t>
      </w:r>
    </w:p>
    <w:p w14:paraId="5F916B21">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（一）如果通过第三方函证电子平台寄发询证函，无需打印询证函并盖章。</w:t>
      </w:r>
    </w:p>
    <w:p w14:paraId="6E81BBC2">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在打印前，注册会计师应对询证函上的各项信息进行核对，包括被询证单位的姓名、地址、联系方式以及需要被询证单位确认的信息是否与被审计单位账簿及其他文件中的有关记录保持一致等，确保函证信息的完整性和准确性。对于银行存款的函证，需要银行确认的信息是否与银行对账单或其他相关文件中的信息保持一致。</w:t>
      </w:r>
    </w:p>
    <w:p w14:paraId="3B55DA26">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（三）打印询证函。注册会计师应当对打印过程保持控制，以防打印稿被中途替换。</w:t>
      </w:r>
    </w:p>
    <w:p w14:paraId="2AAE4F74">
      <w:pPr>
        <w:snapToGrid w:val="0"/>
        <w:spacing w:before="156" w:beforeLines="50"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二、盖章与跟进</w:t>
      </w:r>
    </w:p>
    <w:p w14:paraId="0EF97A85">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（一）将询证函交给被审计单位盖章前，询证函上的详细内容应与被审计单位进行二次核对并确认。</w:t>
      </w:r>
    </w:p>
    <w:p w14:paraId="34F8172F">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（二）将询证函交给被审计单位确认和盖章，注册会计师应当跟进询证函的盖章过程，防止盖章过程中询证函被中途替换。</w:t>
      </w:r>
    </w:p>
    <w:p w14:paraId="5EC8A471">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（三）当询证函为多页时，应提请被审计单位加盖骑缝章。</w:t>
      </w:r>
    </w:p>
    <w:p w14:paraId="079ABAC0">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（四）被审计单位盖章后，注册会计师应当再次核对询证函上的各项信息，检查函证信息是否被篡改。同时，检查盖章是否清晰、完整，盖章位置是否正确。</w:t>
      </w:r>
    </w:p>
    <w:p w14:paraId="09246134">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（五）企业询证函是以被审计单位的角度向被询证单位询证，因此应加盖被审计单位公章，一般情况下不应以公司财务章代替。</w:t>
      </w:r>
    </w:p>
    <w:p w14:paraId="0B458EB7">
      <w:pPr>
        <w:snapToGrid w:val="0"/>
        <w:spacing w:before="156" w:beforeLines="50"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三、常见错误或风险</w:t>
      </w:r>
    </w:p>
    <w:p w14:paraId="0ACBB727">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cstheme="minorEastAsia"/>
          <w:sz w:val="24"/>
        </w:rPr>
        <w:t>（一）</w:t>
      </w:r>
      <w:r>
        <w:rPr>
          <w:rFonts w:asciiTheme="minorEastAsia" w:hAnsiTheme="minorEastAsia" w:eastAsiaTheme="minorEastAsia" w:cstheme="minorEastAsia"/>
          <w:sz w:val="24"/>
        </w:rPr>
        <w:t>从被审计单位处收回已盖章的询证函时，应再次核对询证函上的各项信息，关注询证函是否被企业截留并替换了其中几张关键信息。</w:t>
      </w:r>
    </w:p>
    <w:p w14:paraId="24A56239">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cstheme="minorEastAsia"/>
          <w:sz w:val="24"/>
        </w:rPr>
        <w:t>（二）</w:t>
      </w:r>
      <w:r>
        <w:rPr>
          <w:rFonts w:hint="eastAsia" w:asciiTheme="minorEastAsia" w:hAnsiTheme="minorEastAsia" w:eastAsiaTheme="minorEastAsia" w:cstheme="minorEastAsia"/>
          <w:sz w:val="24"/>
        </w:rPr>
        <w:t>为防范询证函被替换和篡改的风险，在被审计单位盖章后，注册会计师可以在询证函上添加不易复制的特定标识，例如，可以使用带有水印或防伪标记的纸张进行打印、现场负责人签名、加盖函证专用章、利用软件生成函证二维码或条形码等。</w:t>
      </w:r>
    </w:p>
    <w:p w14:paraId="1A4E7333">
      <w:pPr>
        <w:snapToGrid w:val="0"/>
        <w:spacing w:before="156" w:beforeLines="50"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四、控制打印签章询证函工作底稿</w:t>
      </w:r>
    </w:p>
    <w:p w14:paraId="03D175CB">
      <w:pPr>
        <w:snapToGrid w:val="0"/>
        <w:spacing w:line="360" w:lineRule="auto"/>
        <w:ind w:firstLine="480" w:firstLineChars="200"/>
        <w:rPr>
          <w:rFonts w:asciiTheme="minorEastAsia" w:hAnsiTheme="minorEastAsia" w:cstheme="minorEastAsia"/>
          <w:sz w:val="24"/>
        </w:rPr>
      </w:pPr>
      <w:r>
        <w:rPr>
          <w:rFonts w:hint="eastAsia" w:asciiTheme="minorEastAsia" w:hAnsiTheme="minorEastAsia" w:eastAsiaTheme="minorEastAsia" w:cstheme="minorEastAsia"/>
          <w:sz w:val="24"/>
        </w:rPr>
        <w:t>记录打印询证函和盖章过程中采取的控制措施，例如：打印时间、核对情况、盖章过程、盖章后的核对结果以及任何异常情况的处理等。确保工作底稿的完整性和可追溯性，以便在必要时能够迅速查找和验证相关信息。</w:t>
      </w:r>
    </w:p>
    <w:p w14:paraId="0AFAB146">
      <w:pPr>
        <w:snapToGrid w:val="0"/>
        <w:spacing w:line="360" w:lineRule="auto"/>
        <w:ind w:firstLine="480" w:firstLineChars="200"/>
        <w:rPr>
          <w:rFonts w:asciiTheme="minorEastAsia" w:hAnsiTheme="minorEastAsia" w:eastAsiaTheme="minorEastAsia" w:cstheme="minorEastAsia"/>
          <w:sz w:val="24"/>
        </w:rPr>
      </w:pPr>
    </w:p>
    <w:p w14:paraId="60D7FB87">
      <w:pPr>
        <w:snapToGrid w:val="0"/>
        <w:spacing w:line="360" w:lineRule="auto"/>
        <w:ind w:firstLine="0" w:firstLineChars="0"/>
        <w:jc w:val="center"/>
        <w:outlineLvl w:val="1"/>
        <w:rPr>
          <w:rFonts w:asciiTheme="minorEastAsia" w:hAnsiTheme="minorEastAsia" w:eastAsiaTheme="minorEastAsia" w:cstheme="minorEastAsia"/>
          <w:b/>
          <w:bCs/>
          <w:sz w:val="24"/>
        </w:rPr>
      </w:pPr>
      <w:bookmarkStart w:id="62" w:name="_Toc31321"/>
      <w:bookmarkStart w:id="63" w:name="_Toc22358"/>
      <w:bookmarkStart w:id="64" w:name="_Toc12061"/>
      <w:r>
        <w:rPr>
          <w:rFonts w:hint="eastAsia" w:asciiTheme="minorEastAsia" w:hAnsiTheme="minorEastAsia" w:eastAsiaTheme="minorEastAsia" w:cstheme="minorEastAsia"/>
          <w:b/>
          <w:bCs/>
          <w:sz w:val="24"/>
        </w:rPr>
        <w:t>第七节</w:t>
      </w:r>
      <w:r>
        <w:rPr>
          <w:rFonts w:hint="eastAsia" w:asciiTheme="minorEastAsia" w:hAnsiTheme="minorEastAsia" w:cstheme="minorEastAsia"/>
          <w:b/>
          <w:bCs/>
          <w:sz w:val="24"/>
        </w:rPr>
        <w:t xml:space="preserve">  </w:t>
      </w:r>
      <w:r>
        <w:rPr>
          <w:rFonts w:hint="eastAsia" w:asciiTheme="minorEastAsia" w:hAnsiTheme="minorEastAsia" w:eastAsiaTheme="minorEastAsia" w:cstheme="minorEastAsia"/>
          <w:b/>
          <w:bCs/>
          <w:sz w:val="24"/>
        </w:rPr>
        <w:t>发出询证函</w:t>
      </w:r>
      <w:bookmarkEnd w:id="62"/>
      <w:bookmarkEnd w:id="63"/>
      <w:bookmarkEnd w:id="64"/>
    </w:p>
    <w:p w14:paraId="12669419">
      <w:pPr>
        <w:snapToGrid w:val="0"/>
        <w:spacing w:line="360" w:lineRule="auto"/>
        <w:ind w:firstLine="482" w:firstLineChars="200"/>
        <w:outlineLvl w:val="2"/>
        <w:rPr>
          <w:rFonts w:asciiTheme="minorEastAsia" w:hAnsiTheme="minorEastAsia" w:cstheme="minorEastAsia"/>
          <w:b/>
          <w:bCs/>
          <w:sz w:val="24"/>
        </w:rPr>
      </w:pPr>
    </w:p>
    <w:p w14:paraId="2FD1E3B6">
      <w:pPr>
        <w:snapToGrid w:val="0"/>
        <w:spacing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一、发函前的准备工作</w:t>
      </w:r>
    </w:p>
    <w:p w14:paraId="06EA8128">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实施询证函程序是为了获取有价值的第三方信息，以保证审计目标的达成。为了减少函证过程中的意外情况，注册会计师应在发函前做好以下准备工作。</w:t>
      </w:r>
    </w:p>
    <w:p w14:paraId="336E1B78">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（一）资料收集</w:t>
      </w:r>
    </w:p>
    <w:p w14:paraId="0E2F1CD7">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注册会计师应全面收集与审计项目相关的资料，进行访谈调查，深入了解被询证单位的情况。在此基础上，详细填写询证事项，确保询证事项的完整性和准确性。</w:t>
      </w:r>
    </w:p>
    <w:p w14:paraId="07391034">
      <w:pPr>
        <w:snapToGrid w:val="0"/>
        <w:spacing w:line="360" w:lineRule="auto"/>
        <w:ind w:left="420" w:left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（二）沟通与协调</w:t>
      </w:r>
    </w:p>
    <w:p w14:paraId="7AE9630F">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注册会计师</w:t>
      </w:r>
      <w:r>
        <w:rPr>
          <w:rFonts w:hint="eastAsia" w:asciiTheme="minorEastAsia" w:hAnsiTheme="minorEastAsia" w:eastAsiaTheme="minorEastAsia" w:cstheme="minorEastAsia"/>
          <w:color w:val="auto"/>
          <w:sz w:val="24"/>
        </w:rPr>
        <w:t>依据不同情形，</w:t>
      </w:r>
      <w:r>
        <w:rPr>
          <w:rFonts w:hint="eastAsia" w:asciiTheme="minorEastAsia" w:hAnsiTheme="minorEastAsia" w:eastAsiaTheme="minorEastAsia" w:cstheme="minorEastAsia"/>
          <w:sz w:val="24"/>
        </w:rPr>
        <w:t>可提前与被询证单位进行电话或其他形式的沟通，明确函证目的与要求，促进双方的理解与配合。</w:t>
      </w:r>
    </w:p>
    <w:p w14:paraId="5BC309C5">
      <w:pPr>
        <w:snapToGrid w:val="0"/>
        <w:spacing w:line="360" w:lineRule="auto"/>
        <w:ind w:left="420" w:left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（三）询证函复核</w:t>
      </w:r>
    </w:p>
    <w:p w14:paraId="1CD76F65">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发出询证函前，务必对关键项目的询证函进行仔细复核，确保函证内容无误。</w:t>
      </w:r>
    </w:p>
    <w:p w14:paraId="6D45EB59">
      <w:pPr>
        <w:snapToGrid w:val="0"/>
        <w:spacing w:before="156" w:beforeLines="50"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二、确定发函方式</w:t>
      </w:r>
    </w:p>
    <w:p w14:paraId="0A6CCC23">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函证发出方式，包括跟函、邮寄（包括普通快递、邮政快递或挂号信等）、电子询证函平台、其他电子形式（如微信、传真、电子邮件、直接访问网站等）。确定发函方式前，注册会计师需要与被审计单位充分沟通，了解被询证单位工作流程、接待方式、对询证的态度以及可接受函证的具体方式和渠道，并根据对舞弊风险的判断、被询证者的地址和性质、以往回函情况、回函截止日期等因素，确定询证函的发函方式。</w:t>
      </w:r>
    </w:p>
    <w:p w14:paraId="3541F63E">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（一）邮寄方式</w:t>
      </w:r>
    </w:p>
    <w:p w14:paraId="74E11EC6">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邮寄函证，即通过物流公司向被询证单位递送询证函的方式，邮寄函证方式已经成为实务中常见的函证方式。</w:t>
      </w:r>
    </w:p>
    <w:p w14:paraId="7201F61A">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（二）跟函方式</w:t>
      </w:r>
    </w:p>
    <w:p w14:paraId="0B80A63E">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跟函，即注册会计师在企业人员的陪同下前往被询证单位递送询证函，并在被询证单位工作人员现场核对函证事项并确认回函后，亲自将回函带回的方式。如果注册会计师认为跟函的方式能够获取可靠信息，可以采取该方式发送并收回询证函。跟函方式除快速获取被询证单位的回函确认外，还能通过观察被询证单位经营场所与函证程序执行操作指引从被审计单位处获取的信息进行佐证。</w:t>
      </w:r>
    </w:p>
    <w:p w14:paraId="5033104C">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1.在某些情况下，被询证单位工作人员可能不会现场确认函证事项并直接将回函面交给注册会计师，而是采用邮寄方式进行回函。</w:t>
      </w:r>
    </w:p>
    <w:p w14:paraId="04148B01">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2.基于时间及成本效率方面的考虑，亲往函证可能并不适用所有项目。通常情况下，注册会计师可以考虑对同城函证采用亲往函证方式，必要时重大项目也可以考虑异地亲往函证方式。</w:t>
      </w:r>
    </w:p>
    <w:p w14:paraId="20A66F8E">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3.针对舞弊风险迹象，注册会计师根据具体情况可以要求与被询证单位相关人员直接沟通并讨论询证事项，考虑是否有必要前往被询证单位工作地点以验证其是否存在，并进一步了解相关回函信息的真实性和准确性。</w:t>
      </w:r>
    </w:p>
    <w:p w14:paraId="381C3064">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（三）电子询证函平台</w:t>
      </w:r>
    </w:p>
    <w:p w14:paraId="71485B42">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目前实务中，电子询证函平台主要包括两类：一类被询证单位（例如商业银行等金融机构）自身的电子询证函平台，另一类是专门提供询证函平台服务的第三方平台（例如银行函证区块链服务平台）。这两类平台的性质不同，前者是被询证单位自主负责的平台，后者则是为注册会计师、被审计单位和被询证单位提供网上平台服务的专业服务机构。两者相关的系统设置和函证流程也有明显区别，对于其安全可靠性的评价要求也有所区别。</w:t>
      </w:r>
    </w:p>
    <w:p w14:paraId="7A10AC7E">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1.被询证单位自身的电子询证函平台</w:t>
      </w:r>
    </w:p>
    <w:p w14:paraId="403D9A49">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由于商业银行等金融机构负责按照相关法律法规建立和完善有关回函的内部控制，并依法对其出具的回函承担相应的法律责任。一般而言，除非出现相反情况，注册会计师无需对商业银行等金融机构自身的电子询证函平台内部处理过程的安全可靠性进行专门评价。</w:t>
      </w:r>
    </w:p>
    <w:p w14:paraId="65DEDE29">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对于商业银行等金融机构自身的电子询证函平台回函信息传输到注册会计师的过程，注册会计师可能需要考虑对接安排是否安全可靠。例如，如果金融机构自身的电子询证函平台直接与会计师事务所的</w:t>
      </w:r>
      <w:r>
        <w:rPr>
          <w:rFonts w:asciiTheme="minorEastAsia" w:hAnsiTheme="minorEastAsia" w:eastAsiaTheme="minorEastAsia" w:cstheme="minorEastAsia"/>
          <w:sz w:val="24"/>
        </w:rPr>
        <w:t>IT端口对接，则回函信息不存</w:t>
      </w:r>
      <w:r>
        <w:rPr>
          <w:rFonts w:hint="eastAsia" w:asciiTheme="minorEastAsia" w:hAnsiTheme="minorEastAsia" w:eastAsiaTheme="minorEastAsia" w:cstheme="minorEastAsia"/>
          <w:sz w:val="24"/>
        </w:rPr>
        <w:t>在暴露于公共网络而受到拦截篡改的风险；但如果回函信息是利用公共网络发送或传输给注册会计师的，则注册会计师可能还需考虑传输过程的安全性风险。</w:t>
      </w:r>
    </w:p>
    <w:p w14:paraId="2F834D06">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2.第三方电子询证函平台</w:t>
      </w:r>
    </w:p>
    <w:p w14:paraId="67CEB894">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第三方电子询证函平台的独立性风险和安全性风险可能导致电子询证函回函不可靠。</w:t>
      </w:r>
    </w:p>
    <w:p w14:paraId="4434CC30">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cstheme="minorEastAsia"/>
          <w:sz w:val="24"/>
        </w:rPr>
        <w:t>（1）</w:t>
      </w:r>
      <w:r>
        <w:rPr>
          <w:rFonts w:asciiTheme="minorEastAsia" w:hAnsiTheme="minorEastAsia" w:eastAsiaTheme="minorEastAsia" w:cstheme="minorEastAsia"/>
          <w:sz w:val="24"/>
        </w:rPr>
        <w:t>第三方电子询证函平台独立性风险，即电子询证函平台在形式上或实质上没有独立于被审计单位的风险。</w:t>
      </w:r>
    </w:p>
    <w:p w14:paraId="071A0186">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cstheme="minorEastAsia"/>
          <w:sz w:val="24"/>
        </w:rPr>
        <w:t>（2）</w:t>
      </w:r>
      <w:r>
        <w:rPr>
          <w:rFonts w:asciiTheme="minorEastAsia" w:hAnsiTheme="minorEastAsia" w:eastAsiaTheme="minorEastAsia" w:cstheme="minorEastAsia"/>
          <w:sz w:val="24"/>
        </w:rPr>
        <w:t>第三方电子询证函平台安全性风险。主要包括：</w:t>
      </w:r>
    </w:p>
    <w:p w14:paraId="6322C752">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cstheme="minorEastAsia"/>
          <w:sz w:val="24"/>
        </w:rPr>
        <w:t>①</w:t>
      </w:r>
      <w:r>
        <w:rPr>
          <w:rFonts w:asciiTheme="minorEastAsia" w:hAnsiTheme="minorEastAsia" w:eastAsiaTheme="minorEastAsia" w:cstheme="minorEastAsia"/>
          <w:sz w:val="24"/>
        </w:rPr>
        <w:t>函证相关方的身份真实性风险。</w:t>
      </w:r>
    </w:p>
    <w:p w14:paraId="00E20315">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cstheme="minorEastAsia"/>
          <w:sz w:val="24"/>
        </w:rPr>
        <w:t>②</w:t>
      </w:r>
      <w:r>
        <w:rPr>
          <w:rFonts w:asciiTheme="minorEastAsia" w:hAnsiTheme="minorEastAsia" w:eastAsiaTheme="minorEastAsia" w:cstheme="minorEastAsia"/>
          <w:sz w:val="24"/>
        </w:rPr>
        <w:t>第三方电子询证函平台的操作风险，如操作电子函证核心业务（如回函）的人员未经适当的授权。</w:t>
      </w:r>
    </w:p>
    <w:p w14:paraId="64669FA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cstheme="minorEastAsia"/>
          <w:sz w:val="24"/>
        </w:rPr>
        <w:t>③</w:t>
      </w:r>
      <w:r>
        <w:rPr>
          <w:rFonts w:asciiTheme="minorEastAsia" w:hAnsiTheme="minorEastAsia" w:eastAsiaTheme="minorEastAsia" w:cstheme="minorEastAsia"/>
          <w:sz w:val="24"/>
        </w:rPr>
        <w:t>第三方电子询证函平台信息传输安全性风险，如发函和回函信息可能被拦截、修改、删除和泄露等。</w:t>
      </w:r>
    </w:p>
    <w:p w14:paraId="62803EC5">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cstheme="minorEastAsia"/>
          <w:sz w:val="24"/>
        </w:rPr>
        <w:t>④</w:t>
      </w:r>
      <w:r>
        <w:rPr>
          <w:rFonts w:asciiTheme="minorEastAsia" w:hAnsiTheme="minorEastAsia" w:eastAsiaTheme="minorEastAsia" w:cstheme="minorEastAsia"/>
          <w:sz w:val="24"/>
        </w:rPr>
        <w:t>第三方电子询证函平台记录函证控制过程的完整性风险。</w:t>
      </w:r>
    </w:p>
    <w:p w14:paraId="26282851">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在评估第三方电子询证函平台的安全可靠性时，通常在会计师事务所层面实施，而无需由单个审计项目组来实施。需要考虑实施的评估程序包括但不限于：</w:t>
      </w:r>
    </w:p>
    <w:p w14:paraId="4C40D2D2">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cstheme="minorEastAsia"/>
          <w:sz w:val="24"/>
        </w:rPr>
        <w:t>①</w:t>
      </w:r>
      <w:r>
        <w:rPr>
          <w:rFonts w:asciiTheme="minorEastAsia" w:hAnsiTheme="minorEastAsia" w:eastAsiaTheme="minorEastAsia" w:cstheme="minorEastAsia"/>
          <w:sz w:val="24"/>
        </w:rPr>
        <w:t>评估第三方电子询证函平台聘请的信息安全认证机构或专业人员的胜任能力、专业素质和独立性，并记录相关评估过程、取得的证据和得出的结论。</w:t>
      </w:r>
    </w:p>
    <w:p w14:paraId="79839198">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cstheme="minorEastAsia"/>
          <w:sz w:val="24"/>
        </w:rPr>
        <w:t>②</w:t>
      </w:r>
      <w:r>
        <w:rPr>
          <w:rFonts w:asciiTheme="minorEastAsia" w:hAnsiTheme="minorEastAsia" w:eastAsiaTheme="minorEastAsia" w:cstheme="minorEastAsia"/>
          <w:sz w:val="24"/>
        </w:rPr>
        <w:t>取得第三方电子询证函平台聘请的信息安全认证机构颁发的信息系统安全测评证书或专业人员出具的鉴证报告等由电子询证函平台定期公开发布的信息，了解第三方电子询证函平台及其所有者和运营商的组织架构、是否存在被监管机构处罚、是否存在涉诉信息等与电子询证函平台的独立性、安全可靠性等方面相关的信息，评估通过第三方电子询证函平台收发电子询证函是否可靠。同时，记录其依据信息安全认证机构颁发的信息系统安全测评证书或专业人员出具的鉴证报告来合理评估第三方电子询证函平台可靠性的过程、获取的证据及得出的结论。</w:t>
      </w:r>
    </w:p>
    <w:p w14:paraId="79D168D7">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cstheme="minorEastAsia"/>
          <w:sz w:val="24"/>
        </w:rPr>
        <w:t>③</w:t>
      </w:r>
      <w:r>
        <w:rPr>
          <w:rFonts w:asciiTheme="minorEastAsia" w:hAnsiTheme="minorEastAsia" w:eastAsiaTheme="minorEastAsia" w:cstheme="minorEastAsia"/>
          <w:sz w:val="24"/>
        </w:rPr>
        <w:t>了解第三方电子询证函平台聘请的信息安全认证机构或专业人员测试的范围、实施的程序、程序涵盖的期间以及自实施程序以来的时间间隔，评估信息安全认证机构或专业人员的工作是否支持通过第三方电子询证函平台实施函</w:t>
      </w:r>
      <w:r>
        <w:rPr>
          <w:rFonts w:hint="eastAsia" w:asciiTheme="minorEastAsia" w:hAnsiTheme="minorEastAsia" w:eastAsiaTheme="minorEastAsia" w:cstheme="minorEastAsia"/>
          <w:sz w:val="24"/>
        </w:rPr>
        <w:t>证程序的可靠性。</w:t>
      </w:r>
    </w:p>
    <w:p w14:paraId="49D95285">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（四）其他电子形式</w:t>
      </w:r>
    </w:p>
    <w:p w14:paraId="13231585">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基于时间因素的考虑，注册会计师可能选择以传真或通过电子邮件等电子形式向被询证单位发送询证函。由于电子形式函证方式存在被拦截、更改或者其他舞弊风险的程度远远高于其他函证方式，且被询证单位的身份及其授权情况很难确定，因此除非同时满足以下条件，否则不建议采用此函证方式：</w:t>
      </w:r>
    </w:p>
    <w:p w14:paraId="2CB6DC29">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1.被询证单位的身份能核实，且没有迹象表明被询证单位或人员不认真对待函证；</w:t>
      </w:r>
    </w:p>
    <w:p w14:paraId="3F524E26">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2.被询证单位同意将收到的电子形式询证函打印（或脱敏）为纸质文档后，以快递方式向注册会计师寄回纸质形式复函；</w:t>
      </w:r>
    </w:p>
    <w:p w14:paraId="56F1B5F3">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3.在出具审计报告前必须取得以快递函证方式收到的纸质形式回函。如在出具审计报告前尚未收到纸质形式回函，按未收到回函的情况实施替代程序以获取相关、可靠的审计证据。</w:t>
      </w:r>
    </w:p>
    <w:p w14:paraId="79F5236F">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在核实被询证单位身份及其授权情况时，注册会计师应执行以下程序：</w:t>
      </w:r>
    </w:p>
    <w:p w14:paraId="229DA0A0">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1.采用传真方式向被审计单位发送询证函，应当核实被函证单位名称、传真号码是否正确（可以执行的程序参见本操作指引“核对被询证单位信息”章节）。</w:t>
      </w:r>
    </w:p>
    <w:p w14:paraId="4C4ECA86">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2.采用通过电子邮件向被审计单位发送询证函，应当核实收件人的身份，其是否对被函证信息是否知情、是否具有客观性、是否拥有回函的授权等；收件人邮箱是否为与被审计单位日常联系的被询证单位的公司邮箱（例如：将收件人邮箱后缀与被询证单位的官方网站提供的电子邮箱后缀进行核对；与被审计单位持有的被询证单位名片、往来邮件、相关合同等文件核对等）。必要时，注册会计师可以考虑在实施电子形式函证的同时以快递函证方式实施纸质形式函证，以降低询证函舞弊风险。</w:t>
      </w:r>
    </w:p>
    <w:p w14:paraId="18AC42C8">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（五）银行函证的特殊考虑</w:t>
      </w:r>
    </w:p>
    <w:p w14:paraId="4BC081AE">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直接访问被询证单位网站查询不属于函证。如果注册会计师通过被询证单位直接提供给注册会计师的信息（如网址、服务器地址、用户名、登录密码等）登录被询证单位官方或指定网站（或服务器等）以查询被审计单位相关信息，且被询证单位通过书面形式确认其知晓下列事项时，通过该方式获取的审计证据与实施函证程序获得的证据效力基本等同：</w:t>
      </w:r>
    </w:p>
    <w:p w14:paraId="64FB9EAB">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1.注册会计师的信息需求和所需信息的潜在用途；</w:t>
      </w:r>
    </w:p>
    <w:p w14:paraId="3FBECFE5">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2.注册会计师所查询的相关文件含有其所需信息。</w:t>
      </w:r>
    </w:p>
    <w:p w14:paraId="3D48AFC5">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果被审计单位将其在被询证单位（如银行、证券公司、其他非银行金融机构及其他机构等）的网址、服务器地址、账户名或用户名、登录密码等信息提供给注册会计师，由注册会计师直接登录被询证单位官方或指定网站（或服务器等）以查询被审计单位相关信息，该方式不符合函证的定义，而属于检查程序。通过该方式获取的信息可作为一种审计证据，但在评估其可靠性时可能需要考虑额外的风险（例如所登录的网页并非被询证单位真实网页、用户名和登录密码并非被审计单位真实的用户名和登录密码、网页所查询的信息并不及时准确、被询证单位不知道注册会计师的查询目的等）。通过该程序所获取的审计证据是否充分、适当，应当基于审计准则的规定、所涉及项目本身的重要性以及注册会计师针对相关认定评估的重大错报风险进行判断。</w:t>
      </w:r>
    </w:p>
    <w:p w14:paraId="33A2DED7">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需要注意的是，由于直接访问被询证单位网站的方式所能查询的信息本身可能不完整，除了评估通过直接访问被询证单位网站的方式所获取信息的可靠性外，注册会计师还需要评估通过直接访问被询证单位网站的方式所获取信息的完整性，并考虑实施其他审计程序以获取被询证项目充分、适当的审计证据。</w:t>
      </w:r>
    </w:p>
    <w:p w14:paraId="08F3ED5D">
      <w:pPr>
        <w:snapToGrid w:val="0"/>
        <w:spacing w:before="156" w:beforeLines="50"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三、发函时间的选择</w:t>
      </w:r>
    </w:p>
    <w:p w14:paraId="558290E6">
      <w:pPr>
        <w:snapToGrid w:val="0"/>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（一）资产负债表日后实施函证。</w:t>
      </w:r>
      <w:r>
        <w:rPr>
          <w:rFonts w:hint="eastAsia" w:asciiTheme="minorEastAsia" w:hAnsiTheme="minorEastAsia" w:eastAsiaTheme="minorEastAsia" w:cstheme="minorEastAsia"/>
          <w:sz w:val="24"/>
        </w:rPr>
        <w:t>通常情况下，函证以资产负债表日为截止日，在资产负债表日后适当时间内进行，此举旨在确保函证信息与财务报表数据的一致性。</w:t>
      </w:r>
    </w:p>
    <w:p w14:paraId="0C5FB870">
      <w:pPr>
        <w:snapToGrid w:val="0"/>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（二）资产负债表日前实施函证。</w:t>
      </w:r>
      <w:r>
        <w:rPr>
          <w:rFonts w:hint="eastAsia" w:asciiTheme="minorEastAsia" w:hAnsiTheme="minorEastAsia" w:eastAsiaTheme="minorEastAsia" w:cstheme="minorEastAsia"/>
          <w:sz w:val="24"/>
        </w:rPr>
        <w:t>若被审计单位重大错报风险评估为低水平或实施预审时，注册会计师可以选择在资产负债表日前的适当日期为截止日实施函证。在这种情况下，需要对自该截止日起至资产负债表日止发生的变动实施实质性程序，或将实质性程序和控制测试结合使用，以合理延伸期中测试得出的结论至期末。</w:t>
      </w:r>
    </w:p>
    <w:p w14:paraId="5648E4BD">
      <w:pPr>
        <w:snapToGrid w:val="0"/>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（三）考虑回函时间。</w:t>
      </w:r>
      <w:r>
        <w:rPr>
          <w:rFonts w:hint="eastAsia" w:asciiTheme="minorEastAsia" w:hAnsiTheme="minorEastAsia" w:eastAsiaTheme="minorEastAsia" w:cstheme="minorEastAsia"/>
          <w:sz w:val="24"/>
        </w:rPr>
        <w:t>审计报告日不得早于重要函证取得回函的日期，以确保审计证据的充分性和适当性。为了确保在审计工作结束前能够取得回函，从而有足够的时间对回函进行分析和处理，注册会计师应及时安排函证程序的实施工作，避免因回函时间不足仓促发出询证函，影响程序的效率和效果。若审计报告日后获取回函，应将其纳入审计底稿，并注明已执行替代程序的情况及差异事项对报告的影响。</w:t>
      </w:r>
    </w:p>
    <w:p w14:paraId="207D93A7">
      <w:pPr>
        <w:snapToGrid w:val="0"/>
        <w:spacing w:line="360" w:lineRule="auto"/>
        <w:ind w:firstLine="482" w:firstLineChars="200"/>
        <w:rPr>
          <w:rFonts w:asciiTheme="minorEastAsia" w:hAnsiTheme="minorEastAsia" w:cstheme="minorEastAsia"/>
          <w:sz w:val="24"/>
        </w:rPr>
      </w:pPr>
      <w:r>
        <w:rPr>
          <w:rFonts w:hint="eastAsia" w:asciiTheme="minorEastAsia" w:hAnsiTheme="minorEastAsia" w:eastAsiaTheme="minorEastAsia" w:cstheme="minorEastAsia"/>
          <w:b/>
          <w:bCs/>
          <w:sz w:val="24"/>
        </w:rPr>
        <w:t>（四）针对舞弊风险迹象的函证。</w:t>
      </w:r>
      <w:r>
        <w:rPr>
          <w:rFonts w:hint="eastAsia" w:asciiTheme="minorEastAsia" w:hAnsiTheme="minorEastAsia" w:eastAsiaTheme="minorEastAsia" w:cstheme="minorEastAsia"/>
          <w:sz w:val="24"/>
        </w:rPr>
        <w:t>针对舞弊风险迹象，注册会计师可以根据具体情况考虑分别在期中和期末寄发询证函，并使用被审计单位账面记录和其他相关信息核对相关账户的期间变动。</w:t>
      </w:r>
    </w:p>
    <w:p w14:paraId="5C2B8E46">
      <w:pPr>
        <w:snapToGrid w:val="0"/>
        <w:spacing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四、发函控制</w:t>
      </w:r>
    </w:p>
    <w:p w14:paraId="572685B7">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无论采用哪种发函方式，为避免询证函被拦截、篡改等舞弊风险，注册会计师需要在整个函证过程中保持对询证函的发出控制，并保持发函独立性，同时对被审计单位和被询证单位之间串通舞弊的风险保持警觉。为了证明注册会计师对发出询证函实施了控制，需要有详细的记录和证据支持。注册会计师应在工作底稿中保留函证实施过程的痕迹证据及文字记录以备查。</w:t>
      </w:r>
    </w:p>
    <w:p w14:paraId="4C8948ED">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（一）基本控制程序</w:t>
      </w:r>
    </w:p>
    <w:p w14:paraId="1F21D133">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组独立发出询证函，对整个函证过程保持有效控制，坚决杜绝由被审计单位人员代为发函，避免询证函被拦截、篡改等舞弊风险，并将反映函证过程控制的相关工作记录和外部证据完整地记录于审计工作底稿。</w:t>
      </w:r>
    </w:p>
    <w:p w14:paraId="41D411A9">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（二）银行询证函的发函控制</w:t>
      </w:r>
    </w:p>
    <w:p w14:paraId="561BDF5F">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1.邮寄方式的发函控制</w:t>
      </w:r>
    </w:p>
    <w:p w14:paraId="1E95DB7F">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如果采用邮寄方式发送询证函，注册会计师需要警惕被审计单位通过邮寄人员拦截询证函的风险。注册会计师可以考虑实施以下程序：</w:t>
      </w:r>
    </w:p>
    <w:p w14:paraId="7A299703">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1）获取并核实被询证银行的地址、处理函证部门、联系人姓名和联系方式等信息，确认联系人的身份是否适当。例如，注册会计师可以通过查询被询证银行官网或其他公开渠道，了解受理邮寄函证的地址、联系人姓名和联系方式。</w:t>
      </w:r>
    </w:p>
    <w:p w14:paraId="4D017E8E">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2）与被询证银行联系，告知其函证事项，独立寄出询证函。</w:t>
      </w:r>
    </w:p>
    <w:p w14:paraId="7B2F2C76">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3）注册会计师在全程保持控制的情况下，自行寄发询证函。不使用被审计单位本身的邮寄设施，尽量不选择被审计单位指定的合作邮寄服务机构，保持</w:t>
      </w:r>
      <w:r>
        <w:rPr>
          <w:rFonts w:hint="eastAsia" w:asciiTheme="minorEastAsia" w:hAnsiTheme="minorEastAsia" w:eastAsiaTheme="minorEastAsia" w:cstheme="minorEastAsia"/>
          <w:sz w:val="24"/>
        </w:rPr>
        <w:t>发函独立性，保留交接记录（快递单</w:t>
      </w:r>
      <w:r>
        <w:rPr>
          <w:rFonts w:asciiTheme="minorEastAsia" w:hAnsiTheme="minorEastAsia" w:eastAsiaTheme="minorEastAsia" w:cstheme="minorEastAsia"/>
          <w:sz w:val="24"/>
        </w:rPr>
        <w:t>/运单、邮局出具的挂号信收条或邮政快递公司出具的相关收取邮件的证明等）和快递流转签收截图等作为发函控制的审计工作底稿。</w:t>
      </w:r>
    </w:p>
    <w:p w14:paraId="707EAF32">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4）安排审计人员跟进询证函的签收情况，确认发函、回函的物流信息，并在底稿中予以记录。审计人员需要对异常事项保持应有的关注并予以核实，例如，询证函的签收日期明显有异于正常的物流速度、非函证联系人本人签收等。</w:t>
      </w:r>
    </w:p>
    <w:p w14:paraId="2767B2E7">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5）为确认收到的回函为发出的原件，所有询证函发送或寄出之前，注册会计师可采取企业盖章完毕的询证函编号、拍照或者扫描以留存影印件、考虑在银行询证函上添加不易复制的特定标识等措施作为发函的证据之一。</w:t>
      </w:r>
    </w:p>
    <w:p w14:paraId="79B6A58A">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6）当天未寄出的询证函应由审计人员保管或以同样有效的方式对询证函加以控制。</w:t>
      </w:r>
    </w:p>
    <w:p w14:paraId="0BA6DBE0">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2.跟函方式的发函控制</w:t>
      </w:r>
    </w:p>
    <w:p w14:paraId="16F03490">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1）了解被询证银行的跟函地址、跟函流程以及跟函所需的资料。注册会计师可以通过查询被询证银行官网或其他公开渠道，获取有关被询证银行办公地址的信息。被询证银行可能要求注册会计师提供被审计单位介绍信、会计师事务所工作证等证明文件，注册会计师需要提前了解跟函所需资料，做好函证准备。</w:t>
      </w:r>
    </w:p>
    <w:p w14:paraId="5C98B3F7">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如果注册会计师</w:t>
      </w:r>
      <w:r>
        <w:rPr>
          <w:rFonts w:hint="eastAsia" w:asciiTheme="minorEastAsia" w:hAnsiTheme="minorEastAsia" w:eastAsiaTheme="minorEastAsia" w:cstheme="minorEastAsia"/>
          <w:color w:val="auto"/>
          <w:sz w:val="24"/>
        </w:rPr>
        <w:t>独自跟函，</w:t>
      </w:r>
      <w:r>
        <w:rPr>
          <w:rFonts w:hint="eastAsia" w:asciiTheme="minorEastAsia" w:hAnsiTheme="minorEastAsia" w:eastAsiaTheme="minorEastAsia" w:cstheme="minorEastAsia"/>
          <w:sz w:val="24"/>
        </w:rPr>
        <w:t>注册会计师可以提请被审计单位出具相关证明文件，并复印留存在底稿中。</w:t>
      </w:r>
    </w:p>
    <w:p w14:paraId="1EB9D147">
      <w:pPr>
        <w:numPr>
          <w:ilvl w:val="0"/>
          <w:numId w:val="5"/>
        </w:num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独自或在被审计单位员工的陪同下前往被询证银行执行函证程序。如果注册会计师跟函时需要被审计单位员工陪伴，注册会计师需要在整个过程中保持对询证函的控制。对被审计单位和被询证银行之间串通舞弊的风险保持警觉，例如被审计单位陪同人员与银行人员单独交流、银行人员因函证信息异常要求被审计单位陪同人员单独向其解释说明等。</w:t>
      </w:r>
    </w:p>
    <w:p w14:paraId="0EA9D122">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注册会计师可以考虑采用非预约方式按照相应银行的通用受理流程在相应柜台现场办理。</w:t>
      </w:r>
    </w:p>
    <w:p w14:paraId="64FFB16E">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3）确认被询证银行处理询证函的流程是否符合规定。包括：确认处理询证函的场地是否为被询证银行的办公场所；确认处理询证函人员的身份和处理询证函的权限；观察处理询证函人员是否按照正常流程认真处理询证函，是否存在</w:t>
      </w:r>
      <w:r>
        <w:rPr>
          <w:rFonts w:hint="eastAsia" w:asciiTheme="minorEastAsia" w:hAnsiTheme="minorEastAsia" w:eastAsiaTheme="minorEastAsia" w:cstheme="minorEastAsia"/>
          <w:sz w:val="24"/>
        </w:rPr>
        <w:t>异常情形等。</w:t>
      </w:r>
    </w:p>
    <w:p w14:paraId="26839F73">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4）确认回函的可靠性，对异常事项保持应有的关注并予以核实。如果现场取得询证函回函，注册会计师应当验证回函的可靠性。如果询证函回函原件需要被询证银行事后寄回，注册会计师应当要求被询证银行将回函直接寄回会计师事务所。同时，注册会计师需要警惕离开银行后被审计单位再单独与被函证银行沟通。</w:t>
      </w:r>
    </w:p>
    <w:p w14:paraId="7ECDEBA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5）将跟函时间、陪同人员、跟函的现场照片或视频文件、索取的名片、观察员工卡或姓名牌的相关记录、异地跟函的出差票据证明等及跟函过程完整记录于工作底稿。如经允许，可与被询证单位处理函证的相关工作人员合影拍照留为证据。</w:t>
      </w:r>
    </w:p>
    <w:p w14:paraId="25A44BA1">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 xml:space="preserve">3.电子询证函平台的发函控制 </w:t>
      </w:r>
    </w:p>
    <w:p w14:paraId="24D6B303">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1）评估电子询证函平台的安全可靠性。</w:t>
      </w:r>
    </w:p>
    <w:p w14:paraId="40BF8E1B">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2）按照各个电子询证函平台的流程（包括第三方函证平台和银行自建函证平台），发起函证申请。</w:t>
      </w:r>
    </w:p>
    <w:p w14:paraId="29BF2A39">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3）获取被审计单位授权。</w:t>
      </w:r>
    </w:p>
    <w:p w14:paraId="6D51B2A0">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4）确认电子询证函是否已申请成功。</w:t>
      </w:r>
    </w:p>
    <w:p w14:paraId="23F21693">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5）记录函证过程信息，包括不限于：审计单位授权注册会计师发函的信息；审计单位、注册会计师和被询证单位在电子询证函平台操作的具体时间；在电子询证函平台在线提交函证的全过程实时截屏或录屏等。</w:t>
      </w:r>
    </w:p>
    <w:p w14:paraId="7AE1C141">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（三）企业询证函的发函控制</w:t>
      </w:r>
    </w:p>
    <w:p w14:paraId="3F248238">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1.邮寄方式的发函控制</w:t>
      </w:r>
    </w:p>
    <w:p w14:paraId="4529D76B">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1）获取并核实被询证单位的地址、联系人姓名和联系方式等信息。考虑联系人的身份是否适当，如果注册会计师对联系人的身份存有疑虑，应当考虑采用跟函方式。当被审计单位提供的邮寄地址与被询证单位的注册地址不一致时，注册会计师应获取管理层的解释，并核实管理层的解释是否合理。</w:t>
      </w:r>
    </w:p>
    <w:p w14:paraId="47C7DC05">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2）与被询证单位联系，告知其函证事项，独立寄出询证函。</w:t>
      </w:r>
    </w:p>
    <w:p w14:paraId="3C0FAF8A">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3）注册会计师在全程保持控制的情况下，自行寄发询证函。不使用被审</w:t>
      </w:r>
      <w:r>
        <w:rPr>
          <w:rFonts w:hint="eastAsia" w:asciiTheme="minorEastAsia" w:hAnsiTheme="minorEastAsia" w:eastAsiaTheme="minorEastAsia" w:cstheme="minorEastAsia"/>
          <w:sz w:val="24"/>
        </w:rPr>
        <w:t>计单位本身的邮寄设施，尽量不选择被审计单位指定的合作邮寄服务机构，保持发函独立性，保留交接记录（快递单</w:t>
      </w:r>
      <w:r>
        <w:rPr>
          <w:rFonts w:asciiTheme="minorEastAsia" w:hAnsiTheme="minorEastAsia" w:eastAsiaTheme="minorEastAsia" w:cstheme="minorEastAsia"/>
          <w:sz w:val="24"/>
        </w:rPr>
        <w:t>/运单、邮局出具的挂号信收条或邮政快递公司出具的相关收取邮件的证明等）和快递流转签收截图等作为发函控制的审计工作底稿。</w:t>
      </w:r>
    </w:p>
    <w:p w14:paraId="6FE51D83">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4）安排审计人员跟进询证函的签收情况，确认发函、回函的物流信息，并在底稿中予以记录。审计人员需要对异常事项保持应有的关注并予以核实，例如，询证函的签收日期明显有异于正常的物流速度、非函证联系人本人签收等。</w:t>
      </w:r>
    </w:p>
    <w:p w14:paraId="14ECEECB">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5）为确认收到的回函为发出的原件，所有询证函发送或寄出之前，注册会计师可采取企业盖章完毕的询证函编号、拍照或者扫描以留存影印件、考虑在银行询证函上添加不易复制的特定标识等措施作为发函的证据之一。</w:t>
      </w:r>
    </w:p>
    <w:p w14:paraId="0F26CFDC">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6）当天未寄出的询证函应由注册会计师保管或以同样有效的方式对询证函加以控制。</w:t>
      </w:r>
    </w:p>
    <w:p w14:paraId="1DE70C71">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7）对于初次函证或针对历史回函率不高的被询证单位，建议采取并行措施，即在发出正式函证通知书的同时，附加一份详细的函证说明文档，旨在提升函证回复的及时性与准确性。针对自然人的被询证者，可在函证通知书中明确要求，其在回复函证时须附具个人身份证件的复印件，以作为身份验证的依据。</w:t>
      </w:r>
    </w:p>
    <w:p w14:paraId="6EC013C4">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2.跟函方式的发函控制</w:t>
      </w:r>
    </w:p>
    <w:p w14:paraId="04398A18">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 xml:space="preserve">1）了解并核实被询证单位的跟函地址，了解被询证单位处理询证函的流程。 </w:t>
      </w:r>
    </w:p>
    <w:p w14:paraId="29BA2ABE">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2）独自或在被审计单位员工的陪同下前往被询证单位执行函证程序。如果注册会计师跟函时需要被审计单位员工陪伴，注册会计师需要在整个过程中保持对询证函的控制。对被审计单位和被询证银行之间串通舞弊的风险保持警觉。例如，观察被审计单位陪同人员是否存在对处理询证函人员施压、贿赂、其他利益输送等影响函证可靠性的情况，被审计单位陪同人员与被询证单位人员单独交流、被询证单位人员因函证信息异常要求被审计单位陪同人员单独向其解释说明等。</w:t>
      </w:r>
    </w:p>
    <w:p w14:paraId="17FE333E">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3）确认被询证单位处理询证函的流程是否符合规定。包括：确认处理询证函的场地是否为被询证单位的办公场所；确认处理询证函人员的身份和处理询</w:t>
      </w:r>
      <w:r>
        <w:rPr>
          <w:rFonts w:hint="eastAsia" w:asciiTheme="minorEastAsia" w:hAnsiTheme="minorEastAsia" w:eastAsiaTheme="minorEastAsia" w:cstheme="minorEastAsia"/>
          <w:sz w:val="24"/>
        </w:rPr>
        <w:t>证函的权限；确认处理询证函人员是否按照正常流程认真处理询证函。</w:t>
      </w:r>
    </w:p>
    <w:p w14:paraId="27C59DF5">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4）验证回函的可靠性，对异常事项保持应有的关注并予以核实。</w:t>
      </w:r>
    </w:p>
    <w:p w14:paraId="0251084A">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5）将跟函时间、陪同人员、跟函的现场照片、索取的名片、观察员工卡或姓名牌的相关记录、异地跟函的出差票据证明等及跟函过程完整记录于工作底稿。如经允许，可与被询证单位处理函证的相关工作人员合影拍照留为证据。</w:t>
      </w:r>
    </w:p>
    <w:p w14:paraId="588F5EF8">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3.其他电子形式</w:t>
      </w:r>
    </w:p>
    <w:p w14:paraId="36968CFF">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1）获取并核实被询证单位的邮箱地址或传真号码，考虑收件人的身份是否适当。联系被询证单位，告知其函证事项。</w:t>
      </w:r>
    </w:p>
    <w:p w14:paraId="225BB6A6">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2）将被审计单位盖章确认后的询证函扫描成电子版，并对扫描过程保持控制，以防纸质询证函被中途替换。</w:t>
      </w:r>
    </w:p>
    <w:p w14:paraId="2AF51087">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3）通过电子邮件向被询证单位发送询证函时，确认被询证人身份以及收件邮箱是否为单位工作邮箱，使用会计师事务所邮箱发出函证函或进行邮件沟通。通过传真向被询证单位发送询证函时，注册会计师必须亲自给被询证单位发送传真，并请被询证单位直接向会计师事务所回函。</w:t>
      </w:r>
    </w:p>
    <w:p w14:paraId="5E1189A6">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4）确认电子邮件或传真是否已成功发送。</w:t>
      </w:r>
    </w:p>
    <w:p w14:paraId="3F70399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5）记录发函信息，包括不限于：发送方式、时间、地点、邮件内容、经办人员等。</w:t>
      </w:r>
    </w:p>
    <w:p w14:paraId="0CF00D57">
      <w:pPr>
        <w:snapToGrid w:val="0"/>
        <w:spacing w:before="156" w:beforeLines="50"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五、常见错误或风险</w:t>
      </w:r>
    </w:p>
    <w:p w14:paraId="475BC968">
      <w:pPr>
        <w:snapToGrid w:val="0"/>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cstheme="minorEastAsia"/>
          <w:b/>
          <w:bCs/>
          <w:sz w:val="24"/>
        </w:rPr>
        <w:t>（一）</w:t>
      </w:r>
      <w:r>
        <w:rPr>
          <w:rFonts w:asciiTheme="minorEastAsia" w:hAnsiTheme="minorEastAsia" w:eastAsiaTheme="minorEastAsia" w:cstheme="minorEastAsia"/>
          <w:b/>
          <w:bCs/>
          <w:sz w:val="24"/>
        </w:rPr>
        <w:t>未在整个函证过程中保持对询证函的控制。</w:t>
      </w:r>
      <w:r>
        <w:rPr>
          <w:rFonts w:asciiTheme="minorEastAsia" w:hAnsiTheme="minorEastAsia" w:eastAsiaTheme="minorEastAsia" w:cstheme="minorEastAsia"/>
          <w:sz w:val="24"/>
        </w:rPr>
        <w:t>例如，跟函的某些环节由被审计单位陪同人员代为执行，如递交询证函、与银行人员交流、收回询证函等；询证函原件曾落入被审计单位陪同人员之手等。</w:t>
      </w:r>
    </w:p>
    <w:p w14:paraId="41ACC6F8">
      <w:pPr>
        <w:snapToGrid w:val="0"/>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cstheme="minorEastAsia"/>
          <w:b/>
          <w:bCs/>
          <w:sz w:val="24"/>
        </w:rPr>
        <w:t>（二）</w:t>
      </w:r>
      <w:r>
        <w:rPr>
          <w:rFonts w:asciiTheme="minorEastAsia" w:hAnsiTheme="minorEastAsia" w:eastAsiaTheme="minorEastAsia" w:cstheme="minorEastAsia"/>
          <w:b/>
          <w:bCs/>
          <w:sz w:val="24"/>
        </w:rPr>
        <w:t>未核实被询证单位函证接待人的身份。</w:t>
      </w:r>
      <w:r>
        <w:rPr>
          <w:rFonts w:asciiTheme="minorEastAsia" w:hAnsiTheme="minorEastAsia" w:eastAsiaTheme="minorEastAsia" w:cstheme="minorEastAsia"/>
          <w:sz w:val="24"/>
        </w:rPr>
        <w:t>例如，仅因函证接待人员在被询证单位公共场所、穿着被函证单位工作服等因素，就将询证函交给该人员，而未对其身份进行必要的核实。</w:t>
      </w:r>
    </w:p>
    <w:p w14:paraId="50EE314C">
      <w:pPr>
        <w:snapToGrid w:val="0"/>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cstheme="minorEastAsia"/>
          <w:b/>
          <w:bCs/>
          <w:sz w:val="24"/>
        </w:rPr>
        <w:t>（三）</w:t>
      </w:r>
      <w:r>
        <w:rPr>
          <w:rFonts w:asciiTheme="minorEastAsia" w:hAnsiTheme="minorEastAsia" w:eastAsiaTheme="minorEastAsia" w:cstheme="minorEastAsia"/>
          <w:b/>
          <w:bCs/>
          <w:sz w:val="24"/>
        </w:rPr>
        <w:t>对于从被审计单位获取的联系人姓名和联系方式等信息，未采取措施进行核实。</w:t>
      </w:r>
      <w:r>
        <w:rPr>
          <w:rFonts w:asciiTheme="minorEastAsia" w:hAnsiTheme="minorEastAsia" w:eastAsiaTheme="minorEastAsia" w:cstheme="minorEastAsia"/>
          <w:sz w:val="24"/>
        </w:rPr>
        <w:t>例如，未通过电话、视频等方式与联系人确认，查看联系人身份证、工作证等证明文件，确认处理询证函人员的身份和处理询证函的权限。</w:t>
      </w:r>
    </w:p>
    <w:p w14:paraId="6FC308E5">
      <w:pPr>
        <w:snapToGrid w:val="0"/>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cstheme="minorEastAsia"/>
          <w:b/>
          <w:bCs/>
          <w:sz w:val="24"/>
        </w:rPr>
        <w:t>（四）</w:t>
      </w:r>
      <w:r>
        <w:rPr>
          <w:rFonts w:asciiTheme="minorEastAsia" w:hAnsiTheme="minorEastAsia" w:eastAsiaTheme="minorEastAsia" w:cstheme="minorEastAsia"/>
          <w:b/>
          <w:bCs/>
          <w:sz w:val="24"/>
        </w:rPr>
        <w:t>未使用独立的电子设备向被询证单位独立发出询证函。</w:t>
      </w:r>
      <w:r>
        <w:rPr>
          <w:rFonts w:asciiTheme="minorEastAsia" w:hAnsiTheme="minorEastAsia" w:eastAsiaTheme="minorEastAsia" w:cstheme="minorEastAsia"/>
          <w:sz w:val="24"/>
        </w:rPr>
        <w:t>例如，注册会计师使用被审计单位的电脑、网络、邮箱等设备或系统发出询证函；发出询证函时抄送或转发至被审计单位。</w:t>
      </w:r>
    </w:p>
    <w:p w14:paraId="1FBC3DFD">
      <w:pPr>
        <w:snapToGrid w:val="0"/>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cstheme="minorEastAsia"/>
          <w:b/>
          <w:bCs/>
          <w:sz w:val="24"/>
        </w:rPr>
        <w:t>（五）</w:t>
      </w:r>
      <w:r>
        <w:rPr>
          <w:rFonts w:asciiTheme="minorEastAsia" w:hAnsiTheme="minorEastAsia" w:eastAsiaTheme="minorEastAsia" w:cstheme="minorEastAsia"/>
          <w:b/>
          <w:bCs/>
          <w:sz w:val="24"/>
        </w:rPr>
        <w:t>未全程保持发函独立性，使用被审计单位本身的邮寄设施、合作的物流公司或交由被审计单位代发。</w:t>
      </w:r>
      <w:r>
        <w:rPr>
          <w:rFonts w:asciiTheme="minorEastAsia" w:hAnsiTheme="minorEastAsia" w:eastAsiaTheme="minorEastAsia" w:cstheme="minorEastAsia"/>
          <w:sz w:val="24"/>
        </w:rPr>
        <w:t>例如，将填写好的询证函交由被审计单位安排快递员揽件；在被审计单位现场或所在片区寄发询证函，使用被审计单位常年合作的快递公司寄发询证函，未有效防范被审计单位私下联系快递员拦截询证函的风险。</w:t>
      </w:r>
    </w:p>
    <w:p w14:paraId="58608B61">
      <w:pPr>
        <w:snapToGrid w:val="0"/>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cstheme="minorEastAsia"/>
          <w:b/>
          <w:bCs/>
          <w:sz w:val="24"/>
        </w:rPr>
        <w:t>（六）</w:t>
      </w:r>
      <w:r>
        <w:rPr>
          <w:rFonts w:asciiTheme="minorEastAsia" w:hAnsiTheme="minorEastAsia" w:eastAsiaTheme="minorEastAsia" w:cstheme="minorEastAsia"/>
          <w:b/>
          <w:bCs/>
          <w:sz w:val="24"/>
        </w:rPr>
        <w:t>未对被询证单位明确要求直接对会计师事务所回函。</w:t>
      </w:r>
      <w:r>
        <w:rPr>
          <w:rFonts w:asciiTheme="minorEastAsia" w:hAnsiTheme="minorEastAsia" w:eastAsiaTheme="minorEastAsia" w:cstheme="minorEastAsia"/>
          <w:sz w:val="24"/>
        </w:rPr>
        <w:t>例如，被函证单位核对盖章后，将询证函交给被审计单位，再由被审计单位交给注册会计师。</w:t>
      </w:r>
    </w:p>
    <w:p w14:paraId="7A93279F">
      <w:pPr>
        <w:snapToGrid w:val="0"/>
        <w:spacing w:before="156" w:beforeLines="50"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六、发函控制工作底稿</w:t>
      </w:r>
    </w:p>
    <w:p w14:paraId="445179B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为了证明注册会计师对发出询证函实施了控制，需要</w:t>
      </w:r>
      <w:r>
        <w:rPr>
          <w:rFonts w:hint="eastAsia" w:asciiTheme="minorEastAsia" w:hAnsiTheme="minorEastAsia" w:eastAsiaTheme="minorEastAsia" w:cstheme="minorEastAsia"/>
          <w:color w:val="auto"/>
          <w:sz w:val="24"/>
        </w:rPr>
        <w:t>在审计工作底稿中</w:t>
      </w:r>
      <w:r>
        <w:rPr>
          <w:rFonts w:hint="eastAsia" w:asciiTheme="minorEastAsia" w:hAnsiTheme="minorEastAsia" w:eastAsiaTheme="minorEastAsia" w:cstheme="minorEastAsia"/>
          <w:sz w:val="24"/>
        </w:rPr>
        <w:t>有详细的记录和证据支持。注册会计师应在工作底稿中保留函证实施过程的痕迹证据及文字记录以备查。包括但不限于：</w:t>
      </w:r>
    </w:p>
    <w:p w14:paraId="36278F6C">
      <w:pPr>
        <w:snapToGrid w:val="0"/>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（一）函证单位联系表。</w:t>
      </w:r>
      <w:r>
        <w:rPr>
          <w:rFonts w:hint="eastAsia" w:asciiTheme="minorEastAsia" w:hAnsiTheme="minorEastAsia" w:eastAsiaTheme="minorEastAsia" w:cstheme="minorEastAsia"/>
          <w:sz w:val="24"/>
        </w:rPr>
        <w:t>记录被询证单位的联系方式、获取途径和核实过程。</w:t>
      </w:r>
    </w:p>
    <w:p w14:paraId="2BC2CE51">
      <w:pPr>
        <w:snapToGrid w:val="0"/>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（二）函证过程控制及结果汇总表。</w:t>
      </w:r>
      <w:r>
        <w:rPr>
          <w:rFonts w:hint="eastAsia" w:asciiTheme="minorEastAsia" w:hAnsiTheme="minorEastAsia" w:eastAsiaTheme="minorEastAsia" w:cstheme="minorEastAsia"/>
          <w:sz w:val="24"/>
        </w:rPr>
        <w:t>记录对发函过程的控制措施，包括函证方式、日期、被询证单位信息、发函方式等。</w:t>
      </w:r>
    </w:p>
    <w:p w14:paraId="526A995F">
      <w:pPr>
        <w:snapToGrid w:val="0"/>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（三）跟函记录表。</w:t>
      </w:r>
      <w:r>
        <w:rPr>
          <w:rFonts w:hint="eastAsia" w:asciiTheme="minorEastAsia" w:hAnsiTheme="minorEastAsia" w:eastAsiaTheme="minorEastAsia" w:cstheme="minorEastAsia"/>
          <w:sz w:val="24"/>
        </w:rPr>
        <w:t>记录函证时间、地点、询证函编号、被审计单位陪同人员、审计人员，总体情况描述，以及所了解被询证者处理函证的通常流程。</w:t>
      </w:r>
    </w:p>
    <w:p w14:paraId="607B74A1">
      <w:pPr>
        <w:snapToGrid w:val="0"/>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（四）发函面单照片</w:t>
      </w:r>
      <w:r>
        <w:rPr>
          <w:rFonts w:asciiTheme="minorEastAsia" w:hAnsiTheme="minorEastAsia" w:eastAsiaTheme="minorEastAsia" w:cstheme="minorEastAsia"/>
          <w:b/>
          <w:bCs/>
          <w:sz w:val="24"/>
        </w:rPr>
        <w:t>/复印件和发函物流轨迹。</w:t>
      </w:r>
      <w:r>
        <w:rPr>
          <w:rFonts w:asciiTheme="minorEastAsia" w:hAnsiTheme="minorEastAsia" w:eastAsiaTheme="minorEastAsia" w:cstheme="minorEastAsia"/>
          <w:sz w:val="24"/>
        </w:rPr>
        <w:t>作为工作底稿记录，以证实注册会计师对函证的控制。</w:t>
      </w:r>
    </w:p>
    <w:p w14:paraId="7850D0AA">
      <w:pPr>
        <w:snapToGrid w:val="0"/>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（五）发出的询证函复印件或扫描件。</w:t>
      </w:r>
      <w:r>
        <w:rPr>
          <w:rFonts w:hint="eastAsia" w:asciiTheme="minorEastAsia" w:hAnsiTheme="minorEastAsia" w:eastAsiaTheme="minorEastAsia" w:cstheme="minorEastAsia"/>
          <w:sz w:val="24"/>
        </w:rPr>
        <w:t>必要时，将发出的询证函复印件或扫描件作为工作底稿记录，以备查。</w:t>
      </w:r>
    </w:p>
    <w:p w14:paraId="398FC6BC">
      <w:pPr>
        <w:snapToGrid w:val="0"/>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（六）跟函过程拍照取证。</w:t>
      </w:r>
      <w:r>
        <w:rPr>
          <w:rFonts w:hint="eastAsia" w:asciiTheme="minorEastAsia" w:hAnsiTheme="minorEastAsia" w:eastAsiaTheme="minorEastAsia" w:cstheme="minorEastAsia"/>
          <w:sz w:val="24"/>
        </w:rPr>
        <w:t>对跟函全过程（特别是盖章、回函过程）进行拍摄，或者在被询证银行大门标识处拍照，与相关工作人员合照等，并将相关视频或图片作为工作底稿记录。</w:t>
      </w:r>
      <w:r>
        <w:rPr>
          <w:rFonts w:asciiTheme="minorEastAsia" w:hAnsiTheme="minorEastAsia" w:eastAsiaTheme="minorEastAsia" w:cstheme="minorEastAsia"/>
          <w:sz w:val="24"/>
        </w:rPr>
        <w:t xml:space="preserve"> </w:t>
      </w:r>
    </w:p>
    <w:p w14:paraId="6C01F8CF">
      <w:pPr>
        <w:snapToGrid w:val="0"/>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（七）电子邮件发函记录。</w:t>
      </w:r>
      <w:r>
        <w:rPr>
          <w:rFonts w:hint="eastAsia" w:asciiTheme="minorEastAsia" w:hAnsiTheme="minorEastAsia" w:eastAsiaTheme="minorEastAsia" w:cstheme="minorEastAsia"/>
          <w:sz w:val="24"/>
        </w:rPr>
        <w:t>记录通过电子邮件发出询证函的过程，包括发送的邮箱地址、发送时间、发送内容的截屏等，以证实电子邮件的独立性和真实性。</w:t>
      </w:r>
    </w:p>
    <w:p w14:paraId="74761F06">
      <w:pPr>
        <w:snapToGrid w:val="0"/>
        <w:spacing w:line="360" w:lineRule="auto"/>
        <w:ind w:firstLine="482" w:firstLineChars="200"/>
        <w:rPr>
          <w:rFonts w:asciiTheme="minorEastAsia" w:hAnsiTheme="minorEastAsia" w:cstheme="minorEastAsia"/>
          <w:sz w:val="24"/>
        </w:rPr>
      </w:pPr>
      <w:r>
        <w:rPr>
          <w:rFonts w:hint="eastAsia" w:asciiTheme="minorEastAsia" w:hAnsiTheme="minorEastAsia" w:eastAsiaTheme="minorEastAsia" w:cstheme="minorEastAsia"/>
          <w:b/>
          <w:bCs/>
          <w:sz w:val="24"/>
        </w:rPr>
        <w:t>（八）被审计单位授权注册会计师发函的信息</w:t>
      </w:r>
      <w:r>
        <w:rPr>
          <w:rFonts w:hint="eastAsia" w:asciiTheme="minorEastAsia" w:hAnsiTheme="minorEastAsia" w:cstheme="minorEastAsia"/>
          <w:b/>
          <w:bCs/>
          <w:sz w:val="24"/>
        </w:rPr>
        <w:t>。</w:t>
      </w:r>
      <w:r>
        <w:rPr>
          <w:rFonts w:hint="eastAsia" w:asciiTheme="minorEastAsia" w:hAnsiTheme="minorEastAsia" w:eastAsiaTheme="minorEastAsia" w:cstheme="minorEastAsia"/>
          <w:sz w:val="24"/>
        </w:rPr>
        <w:t>例如被审计单位的电子签名信息和授权函证的</w:t>
      </w:r>
      <w:r>
        <w:rPr>
          <w:rFonts w:asciiTheme="minorEastAsia" w:hAnsiTheme="minorEastAsia" w:eastAsiaTheme="minorEastAsia" w:cstheme="minorEastAsia"/>
          <w:sz w:val="24"/>
        </w:rPr>
        <w:t>IP地址或其他能够表明电子地址或身份的信息、注册会计师发函的IP地址或其他能够表明电子地址或身份的信息。</w:t>
      </w:r>
    </w:p>
    <w:p w14:paraId="267FA2A4">
      <w:pPr>
        <w:snapToGrid w:val="0"/>
        <w:spacing w:line="360" w:lineRule="auto"/>
        <w:ind w:firstLine="480" w:firstLineChars="200"/>
        <w:rPr>
          <w:rFonts w:asciiTheme="minorEastAsia" w:hAnsiTheme="minorEastAsia" w:eastAsiaTheme="minorEastAsia" w:cstheme="minorEastAsia"/>
          <w:sz w:val="24"/>
        </w:rPr>
      </w:pPr>
    </w:p>
    <w:p w14:paraId="559BB2D2">
      <w:pPr>
        <w:snapToGrid w:val="0"/>
        <w:spacing w:line="360" w:lineRule="auto"/>
        <w:ind w:firstLine="0" w:firstLineChars="0"/>
        <w:jc w:val="center"/>
        <w:outlineLvl w:val="1"/>
        <w:rPr>
          <w:rFonts w:asciiTheme="minorEastAsia" w:hAnsiTheme="minorEastAsia" w:eastAsiaTheme="minorEastAsia" w:cstheme="minorEastAsia"/>
          <w:sz w:val="24"/>
        </w:rPr>
      </w:pPr>
      <w:bookmarkStart w:id="65" w:name="_Toc27373"/>
      <w:bookmarkStart w:id="66" w:name="_Toc963"/>
      <w:bookmarkStart w:id="67" w:name="_Toc19505"/>
      <w:r>
        <w:rPr>
          <w:rFonts w:hint="eastAsia" w:asciiTheme="minorEastAsia" w:hAnsiTheme="minorEastAsia" w:eastAsiaTheme="minorEastAsia" w:cstheme="minorEastAsia"/>
          <w:b/>
          <w:bCs/>
          <w:sz w:val="24"/>
        </w:rPr>
        <w:t>第八节</w:t>
      </w:r>
      <w:r>
        <w:rPr>
          <w:rFonts w:hint="eastAsia" w:asciiTheme="minorEastAsia" w:hAnsiTheme="minorEastAsia" w:cstheme="minorEastAsia"/>
          <w:b/>
          <w:bCs/>
          <w:sz w:val="24"/>
        </w:rPr>
        <w:t xml:space="preserve">  </w:t>
      </w:r>
      <w:r>
        <w:rPr>
          <w:rFonts w:hint="eastAsia" w:asciiTheme="minorEastAsia" w:hAnsiTheme="minorEastAsia" w:eastAsiaTheme="minorEastAsia" w:cstheme="minorEastAsia"/>
          <w:b/>
          <w:bCs/>
          <w:sz w:val="24"/>
        </w:rPr>
        <w:t>收回询证函</w:t>
      </w:r>
      <w:bookmarkEnd w:id="65"/>
      <w:bookmarkEnd w:id="66"/>
      <w:bookmarkEnd w:id="67"/>
    </w:p>
    <w:p w14:paraId="455A1F06">
      <w:pPr>
        <w:snapToGrid w:val="0"/>
        <w:spacing w:line="360" w:lineRule="auto"/>
        <w:ind w:firstLine="482" w:firstLineChars="200"/>
        <w:outlineLvl w:val="2"/>
        <w:rPr>
          <w:rFonts w:asciiTheme="minorEastAsia" w:hAnsiTheme="minorEastAsia" w:cstheme="minorEastAsia"/>
          <w:b/>
          <w:bCs/>
          <w:sz w:val="24"/>
        </w:rPr>
      </w:pPr>
    </w:p>
    <w:p w14:paraId="7C31BAEF">
      <w:pPr>
        <w:snapToGrid w:val="0"/>
        <w:spacing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一、函证进度控制</w:t>
      </w:r>
    </w:p>
    <w:p w14:paraId="046ECF24">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为了降低询证函未能及时获得回函或完全没有回函的风险，注册会计师应当密切关注函证的进度和回函情况，并视情况采取跟进措施。</w:t>
      </w:r>
    </w:p>
    <w:p w14:paraId="64D55E4A">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（一）在合理的时间内若未收到回函</w:t>
      </w:r>
    </w:p>
    <w:p w14:paraId="683438B5">
      <w:pPr>
        <w:snapToGrid w:val="0"/>
        <w:spacing w:line="360" w:lineRule="auto"/>
        <w:ind w:firstLine="482" w:firstLineChars="200"/>
        <w:rPr>
          <w:rFonts w:asciiTheme="minorEastAsia" w:hAnsiTheme="minorEastAsia" w:eastAsiaTheme="minorEastAsia" w:cstheme="minorEastAsia"/>
          <w:sz w:val="24"/>
        </w:rPr>
      </w:pPr>
      <w:r>
        <w:rPr>
          <w:rFonts w:asciiTheme="minorEastAsia" w:hAnsiTheme="minorEastAsia" w:eastAsiaTheme="minorEastAsia" w:cstheme="minorEastAsia"/>
          <w:b/>
          <w:bCs/>
          <w:sz w:val="24"/>
        </w:rPr>
        <w:t>1.基于被询证单位的地理位置，合理预估其收到函证的时间，并据此进行催收。</w:t>
      </w:r>
      <w:r>
        <w:rPr>
          <w:rFonts w:asciiTheme="minorEastAsia" w:hAnsiTheme="minorEastAsia" w:eastAsiaTheme="minorEastAsia" w:cstheme="minorEastAsia"/>
          <w:sz w:val="24"/>
        </w:rPr>
        <w:t>例如，在发出快递3日后，通过电话向被询证单位查询是否收到询证函，并请求其尽快回复；若未收到，应查阅物流信息以追查原因，并考虑重新发出询证函。</w:t>
      </w:r>
    </w:p>
    <w:p w14:paraId="01830E61">
      <w:pPr>
        <w:snapToGrid w:val="0"/>
        <w:spacing w:line="360" w:lineRule="auto"/>
        <w:ind w:firstLine="482" w:firstLineChars="200"/>
        <w:rPr>
          <w:rFonts w:asciiTheme="minorEastAsia" w:hAnsiTheme="minorEastAsia" w:eastAsiaTheme="minorEastAsia" w:cstheme="minorEastAsia"/>
          <w:sz w:val="24"/>
        </w:rPr>
      </w:pPr>
      <w:r>
        <w:rPr>
          <w:rFonts w:asciiTheme="minorEastAsia" w:hAnsiTheme="minorEastAsia" w:eastAsiaTheme="minorEastAsia" w:cstheme="minorEastAsia"/>
          <w:b/>
          <w:bCs/>
          <w:sz w:val="24"/>
        </w:rPr>
        <w:t>2.分析被询证单位内部处理函证流程的时间长度，预估回函时间。</w:t>
      </w:r>
      <w:r>
        <w:rPr>
          <w:rFonts w:asciiTheme="minorEastAsia" w:hAnsiTheme="minorEastAsia" w:eastAsiaTheme="minorEastAsia" w:cstheme="minorEastAsia"/>
          <w:sz w:val="24"/>
        </w:rPr>
        <w:t>若在合理时间内未收到回函，应分析原因、评估其合理性，核实原发函信息的正确性，并考虑再次发出询证函或采取其他应对措施。例如，根据</w:t>
      </w:r>
      <w:r>
        <w:rPr>
          <w:rFonts w:asciiTheme="minorEastAsia" w:hAnsiTheme="minorEastAsia" w:eastAsiaTheme="minorEastAsia" w:cstheme="minorEastAsia"/>
          <w:sz w:val="24"/>
        </w:rPr>
        <w:t>《财政部</w:t>
      </w:r>
      <w:r>
        <w:rPr>
          <w:rFonts w:hint="eastAsia" w:asciiTheme="minorEastAsia" w:hAnsiTheme="minorEastAsia" w:cstheme="minorEastAsia"/>
          <w:sz w:val="24"/>
        </w:rPr>
        <w:t xml:space="preserve"> </w:t>
      </w:r>
      <w:r>
        <w:rPr>
          <w:rFonts w:asciiTheme="minorEastAsia" w:hAnsiTheme="minorEastAsia" w:eastAsiaTheme="minorEastAsia" w:cstheme="minorEastAsia"/>
          <w:sz w:val="24"/>
        </w:rPr>
        <w:t>中国银保监会关于进一步规范银行函证及回函工作的通知》</w:t>
      </w:r>
      <w:r>
        <w:rPr>
          <w:rFonts w:asciiTheme="minorEastAsia" w:hAnsiTheme="minorEastAsia" w:eastAsiaTheme="minorEastAsia" w:cstheme="minorEastAsia"/>
          <w:sz w:val="24"/>
        </w:rPr>
        <w:t>（财会〔2020〕12号）文件规定，银行业金融机构应在收到符合规定的询证函之日起10个工作日内将回函直接回复会计师事务所或交付跟函注册会计师。</w:t>
      </w:r>
    </w:p>
    <w:p w14:paraId="1E80B58B">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（二）询证函被退回</w:t>
      </w:r>
    </w:p>
    <w:p w14:paraId="4BB73612">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处理函证事宜的审计人员需及时通知注册会计师</w:t>
      </w:r>
      <w:r>
        <w:rPr>
          <w:rFonts w:hint="eastAsia" w:asciiTheme="minorEastAsia" w:hAnsiTheme="minorEastAsia" w:eastAsiaTheme="minorEastAsia" w:cstheme="minorEastAsia"/>
          <w:color w:val="auto"/>
          <w:sz w:val="24"/>
        </w:rPr>
        <w:t>（项目负责人）</w:t>
      </w:r>
      <w:r>
        <w:rPr>
          <w:rFonts w:hint="eastAsia" w:asciiTheme="minorEastAsia" w:hAnsiTheme="minorEastAsia" w:eastAsiaTheme="minorEastAsia" w:cstheme="minorEastAsia"/>
          <w:sz w:val="24"/>
        </w:rPr>
        <w:t>，并根据退回原因采取相应措施。</w:t>
      </w:r>
    </w:p>
    <w:p w14:paraId="134C7177">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1.若因地址信息错误导致询证函被退回，应重新核实被询证单位的地址、收件人等信息，并再次发出询证函。</w:t>
      </w:r>
    </w:p>
    <w:p w14:paraId="3F7C92B4">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2.若询证函被询证单位退回，应与被询证单位联系，分析退回原因并评估其合理性，根据退回原因调整函证内容后再次寄发询证函或采取其他应对措施。若退回原因不合理或第二次发函仍被退回，应进一步调查并考虑舞弊可能性，同时在底稿中记录相关的审计风险与对审计的影响。</w:t>
      </w:r>
    </w:p>
    <w:p w14:paraId="0498DD2D">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（三）审计报告日临近仍未收到回函</w:t>
      </w:r>
    </w:p>
    <w:p w14:paraId="6C080AC6">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册会计师需根据审计准则对审计证据的要求，考虑是否已经获得充分、适当的审计证据。审计报告日后获取的回函不能作为形成审计意见时的审计证据，因此，询证函回函时间不应晚于审计报告日。若预计在出具审计报告之前无法取得回函，应在审计报告日前</w:t>
      </w:r>
      <w:r>
        <w:rPr>
          <w:rFonts w:hint="eastAsia" w:asciiTheme="minorEastAsia" w:hAnsiTheme="minorEastAsia" w:eastAsiaTheme="minorEastAsia" w:cstheme="minorEastAsia"/>
          <w:color w:val="auto"/>
          <w:sz w:val="24"/>
        </w:rPr>
        <w:t>注册会计师控制状态下先行收回扫描件或实施其他替代程序，</w:t>
      </w:r>
      <w:r>
        <w:rPr>
          <w:rFonts w:hint="eastAsia" w:asciiTheme="minorEastAsia" w:hAnsiTheme="minorEastAsia" w:eastAsiaTheme="minorEastAsia" w:cstheme="minorEastAsia"/>
          <w:sz w:val="24"/>
        </w:rPr>
        <w:t>并考虑其对财务报告的影响。</w:t>
      </w:r>
    </w:p>
    <w:p w14:paraId="0781EF91">
      <w:pPr>
        <w:snapToGrid w:val="0"/>
        <w:spacing w:before="156" w:beforeLines="50"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二、回函控制</w:t>
      </w:r>
    </w:p>
    <w:p w14:paraId="796C7422">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（一）基本控制程序</w:t>
      </w:r>
    </w:p>
    <w:p w14:paraId="4F99A752">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1.关注被询证者确认的询证函是否是原件，是否与注册会计师发出的询证函是同一份。</w:t>
      </w:r>
    </w:p>
    <w:p w14:paraId="1C416D33">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2.关注回函是否由被询证者直接寄给注册会计师。</w:t>
      </w:r>
    </w:p>
    <w:p w14:paraId="13D401B4">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3.关注回函信封上的寄件地址或回函信封上寄出方的邮戳显示的发出城市、寄件人是否与审计人员记录的发函地址、收函人信息一致。</w:t>
      </w:r>
    </w:p>
    <w:p w14:paraId="38BA4E98">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4.关注被询证者加盖在询证函上的印章以及签名中显示的被询证者名称是否与已知的印章样式及询证函中记载的被询证者名称一致。</w:t>
      </w:r>
    </w:p>
    <w:p w14:paraId="5483680B">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（二）银行函证的回函控制</w:t>
      </w:r>
    </w:p>
    <w:p w14:paraId="4B31BB53">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1.邮寄回函控制</w:t>
      </w:r>
    </w:p>
    <w:p w14:paraId="0B64275B">
      <w:pPr>
        <w:snapToGrid w:val="0"/>
        <w:spacing w:line="360" w:lineRule="auto"/>
        <w:ind w:firstLine="480" w:firstLineChars="200"/>
        <w:outlineLvl w:val="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1）回函结果的获取与记录</w:t>
      </w:r>
    </w:p>
    <w:p w14:paraId="2990FBFA">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注册会计师应独立签收询证函，并保存回函面单和回函物流轨迹。这一步骤是验证回函真实性的关键，确保了回函的来源和路径可追溯。</w:t>
      </w:r>
    </w:p>
    <w:p w14:paraId="76D41401">
      <w:pPr>
        <w:numPr>
          <w:ilvl w:val="0"/>
          <w:numId w:val="6"/>
        </w:numPr>
        <w:snapToGrid w:val="0"/>
        <w:spacing w:line="360" w:lineRule="auto"/>
        <w:ind w:firstLine="480" w:firstLineChars="200"/>
        <w:outlineLvl w:val="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验证回函的可靠性</w:t>
      </w:r>
    </w:p>
    <w:p w14:paraId="25FF1A39">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注册会计师应对回函的可靠性进行验证，并对任何异常事项保持警觉并进行核实。包括确认收到的回函是否为发出的询证函原件，回函是否由被询证银行直接寄回，以及回函印章是否存在明显瑕疵或可疑之处。</w:t>
      </w:r>
    </w:p>
    <w:p w14:paraId="1161EF68">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①原件确认。核实回函是否与注册会计师发出的询证函为同一文本，可通过与留存的询证函复印件或扫描件进行核对，检查盖章位置等是否一致。若询证函上添加了特定标识，应在收到回函时检查该标识是否存在。如果收到的询证函回函为复印件、传真件等非原件形式，注册会计师应当与被询证银行联系，要求被询证银行寄回纸质询证函原件。</w:t>
      </w:r>
    </w:p>
    <w:p w14:paraId="2891868F">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②直接寄回确认。确认回函是否直接由被询证银行寄回，以确保回函的独立性和真实性。若回函不是由被询证银行直接寄至会计师事务所，而是经过被审计单位或其他第三方转交，则该回函不能视为可靠的审计证据，注册会计师应评价对评估的重大错报风险以及其他审计程序的性质、时间安排和范围的影响，并考虑重新寄发询证函，并与被询证单位联系，要求被询证单位直接书面寄回注册会计师。</w:t>
      </w:r>
      <w:r>
        <w:rPr>
          <w:rFonts w:asciiTheme="minorEastAsia" w:hAnsiTheme="minorEastAsia" w:eastAsiaTheme="minorEastAsia" w:cstheme="minorEastAsia"/>
          <w:sz w:val="24"/>
        </w:rPr>
        <w:t xml:space="preserve"> </w:t>
      </w:r>
    </w:p>
    <w:p w14:paraId="43B23BB8">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③印章和签名核实。检查回函中的银行印章是否与被询证银行的名称一致、骑缝章是否完整，加盖的印章以及签名是否清晰可辨认等。必要时，可与以往审计过程中获取的回函文件中的印鉴进行核对、与被审计单位持有的其他文件进行核对或亲自前往被询证单位进行核实。</w:t>
      </w:r>
    </w:p>
    <w:p w14:paraId="18D79EA9">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④回函物流信息核实。检查回函信封的发件方单位名称、地址与《发函情况表》是否一致。若快递回函信息不完整，应通过互联网查询快递物流信息并截屏保存。同时，核实快递收件网点与被询证单位所在地是否相符，以及挂号或平邮回函的邮戳发出地是否与被询证单位地址一致，以确保回函来源的可靠性。</w:t>
      </w:r>
    </w:p>
    <w:p w14:paraId="1BDCB65A">
      <w:pPr>
        <w:snapToGrid w:val="0"/>
        <w:spacing w:line="360" w:lineRule="auto"/>
        <w:ind w:firstLine="480" w:firstLineChars="200"/>
        <w:outlineLvl w:val="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3）回函异常情况的处理</w:t>
      </w:r>
    </w:p>
    <w:p w14:paraId="47030812">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册会计师应关注回函的异常情况，包括但不限于回函不及时、回函时间高度集中、多份询证函回函笔迹相近或相同、回函寄出地址与发函地址不符或回函寄出地点相同或相近、回函寄出日期与送达日期与距离、快递速度等明显不匹配等。对于这些异常情况，注册会计师应保持警觉并实施进一步的调查和核实。</w:t>
      </w:r>
    </w:p>
    <w:p w14:paraId="797EF545">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2.跟函回函控制</w:t>
      </w:r>
    </w:p>
    <w:p w14:paraId="16155633">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1）注册会计师应当关注被询证单位实施核对的全过程，包括在其在计算机系统或相关记录中核对信息，对被审计单位和被询证单位之间串通舞弊的风险保持警觉。</w:t>
      </w:r>
    </w:p>
    <w:p w14:paraId="2796BBF7">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2）检查回函印鉴和签名。检查回函上加盖的印鉴是否与被询证单位一致，以及是否有经办人签名。</w:t>
      </w:r>
    </w:p>
    <w:p w14:paraId="448A88BE">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3）如果现场取得询证函回函，注册会计师应实施审计程序以验证回函的可靠性。</w:t>
      </w:r>
    </w:p>
    <w:p w14:paraId="754EB42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①评价回函合理性。了解被询证银行处理函证的通常流程和人员，评价现场取得回函的合理性。</w:t>
      </w:r>
    </w:p>
    <w:p w14:paraId="3B777391">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②检查内容是否被篡改。检查收到的询证函内容是否被篡改，包括检查回函是否存在发出询证函前添加的特定标识。</w:t>
      </w:r>
    </w:p>
    <w:p w14:paraId="1BB9DD88">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③检查银行印章。检查回函中的银行印章是否与被询证银行的名称一致、骑缝章是否完整等。必要时，注册会计师可以与被审计单位持有的其他文件中的被询证银行印章或该被询证银行历年回函印章或同一银行的其他支行回函印章类型进行比对。</w:t>
      </w:r>
    </w:p>
    <w:p w14:paraId="20673611">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④确认身份和权限。确认处理询证函人员的身份和处理询证函的权限，如索要名片、观察员工卡或姓名牌等。</w:t>
      </w:r>
    </w:p>
    <w:p w14:paraId="57A60582">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4）如果未能现场取得回函，需由被询证银行采用邮寄回函的，注册会计师应执行以下程序：</w:t>
      </w:r>
    </w:p>
    <w:p w14:paraId="3D24A7F2">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①询问未能现场取得回函的原因。向处理询证函的人员询问不能现场取得回函的原因。</w:t>
      </w:r>
    </w:p>
    <w:p w14:paraId="760FCD08">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②核实流程及人员。再次核实被询证银行处理函证的通常流程和处理人员，确认不能现场取得回函的合理性。</w:t>
      </w:r>
    </w:p>
    <w:p w14:paraId="77305562">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③确认身份和权限。确认处理询证函人员的身份和权限。</w:t>
      </w:r>
    </w:p>
    <w:p w14:paraId="1B12C10F">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④要求被询证银行将回函直接寄回至会计师事务所。</w:t>
      </w:r>
    </w:p>
    <w:p w14:paraId="3FEE4783">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3.电子函证平台回函控制</w:t>
      </w:r>
    </w:p>
    <w:p w14:paraId="29396870">
      <w:pPr>
        <w:snapToGrid w:val="0"/>
        <w:spacing w:line="360" w:lineRule="auto"/>
        <w:ind w:firstLine="480" w:firstLineChars="200"/>
        <w:outlineLvl w:val="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1）信息保存与核实</w:t>
      </w:r>
    </w:p>
    <w:p w14:paraId="3CFB4326">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通过电子询证函平台收到的回函，通常会保存与函证相关的信息，包括回函结论、发函信息、回函信息以及函证过程信息。</w:t>
      </w:r>
    </w:p>
    <w:p w14:paraId="68EAE201">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由于电子询证函平台广泛运用了电子签名，因此电子询证函回函无需额外要求加盖实体章、手写签名或骑缝章。</w:t>
      </w:r>
    </w:p>
    <w:p w14:paraId="41B1BD2F">
      <w:pPr>
        <w:snapToGrid w:val="0"/>
        <w:spacing w:line="360" w:lineRule="auto"/>
        <w:ind w:firstLine="480" w:firstLineChars="200"/>
        <w:outlineLvl w:val="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2）邮箱地址的使用规范</w:t>
      </w:r>
    </w:p>
    <w:p w14:paraId="5B48930B">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发出询证函时，注册会计师应明确要求接收电子询证函平台回函的邮箱地址为会计师事务所的邮箱地址。收到回函时，注册会计师应核对发件人的电子邮箱地址是否为电子询证函平台的邮箱地址，而非私人邮箱地址，以验证回函的来源的可靠性。</w:t>
      </w:r>
    </w:p>
    <w:p w14:paraId="28A9CDD8">
      <w:pPr>
        <w:snapToGrid w:val="0"/>
        <w:spacing w:line="360" w:lineRule="auto"/>
        <w:ind w:firstLine="480" w:firstLineChars="200"/>
        <w:outlineLvl w:val="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3）记录电子签名信息</w:t>
      </w:r>
    </w:p>
    <w:p w14:paraId="744FA6CB">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注册会计师核对并记录被询证单位和授权经办人的电子签名信息、回函的</w:t>
      </w:r>
      <w:r>
        <w:rPr>
          <w:rFonts w:asciiTheme="minorEastAsia" w:hAnsiTheme="minorEastAsia" w:eastAsiaTheme="minorEastAsia" w:cstheme="minorEastAsia"/>
          <w:sz w:val="24"/>
        </w:rPr>
        <w:t>IP地址或其他能够表明电子地址或身份的信息，以确保回函的可追溯性和真实性。</w:t>
      </w:r>
    </w:p>
    <w:p w14:paraId="07DC1B25">
      <w:pPr>
        <w:snapToGrid w:val="0"/>
        <w:spacing w:line="360" w:lineRule="auto"/>
        <w:ind w:firstLine="480" w:firstLineChars="200"/>
        <w:outlineLvl w:val="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4）电子邮件的保存</w:t>
      </w:r>
    </w:p>
    <w:p w14:paraId="6CFC054B">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考虑将函证全过程中的所有电子邮件截屏打印作为工作底稿保存，以备后续审计工作的查阅和核对。</w:t>
      </w:r>
    </w:p>
    <w:p w14:paraId="5D65B851">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（二）企业函证的回函控制</w:t>
      </w:r>
    </w:p>
    <w:p w14:paraId="10C55C99">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1.邮寄回函控制</w:t>
      </w:r>
    </w:p>
    <w:p w14:paraId="7D307C1A">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参照银行函证的邮寄回函控制。</w:t>
      </w:r>
    </w:p>
    <w:p w14:paraId="48162D5B">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2.跟函回函控制</w:t>
      </w:r>
    </w:p>
    <w:p w14:paraId="3BE8F77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参照银行函证的跟函回函控制。</w:t>
      </w:r>
    </w:p>
    <w:p w14:paraId="479687E9">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3.其他电子形式回函控制</w:t>
      </w:r>
    </w:p>
    <w:p w14:paraId="511AB84A">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其他电子形式回函是指被询证单位以传真、微信或通过电子邮件等电子形式向注册会计师发送询证函回复（电子询证函平台通过电子邮件发送回函除外）。电子函证程序涉及多种确认发件人身份的技术，如加密技术、电子数码签名技术、网页真实性认证程序，注册会计师和被询证单位应当采用一定的程序为电子形式的回函创造安全环境。</w:t>
      </w:r>
      <w:r>
        <w:rPr>
          <w:rFonts w:asciiTheme="minorEastAsia" w:hAnsiTheme="minorEastAsia" w:eastAsiaTheme="minorEastAsia" w:cstheme="minorEastAsia"/>
          <w:sz w:val="24"/>
        </w:rPr>
        <w:t xml:space="preserve">  </w:t>
      </w:r>
    </w:p>
    <w:p w14:paraId="248A4833">
      <w:pPr>
        <w:snapToGrid w:val="0"/>
        <w:spacing w:line="360" w:lineRule="auto"/>
        <w:ind w:firstLine="480" w:firstLineChars="200"/>
        <w:outlineLvl w:val="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1）回函结果的获取与记录</w:t>
      </w:r>
    </w:p>
    <w:p w14:paraId="6C0F8B3E">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注册会计师应独立接收询证函，应使用会计师事务所的传真号码、工作邮箱等收取回函，注意保存微信聊天界面截屏、电子邮件往来记录等，这一步骤是验证回函真实性的关键，确保了回函的来源和路径可追溯。</w:t>
      </w:r>
    </w:p>
    <w:p w14:paraId="0CA23EAC">
      <w:pPr>
        <w:snapToGrid w:val="0"/>
        <w:spacing w:line="360" w:lineRule="auto"/>
        <w:ind w:firstLine="480" w:firstLineChars="200"/>
        <w:outlineLvl w:val="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2）验证回函的可靠性</w:t>
      </w:r>
    </w:p>
    <w:p w14:paraId="1C1C4B7B">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册会计师应对电子回函的可靠性进行验证，并对任何异常事项保持警觉并进行核实。包括确认收到的回函是否为发出的询证函原件，回函是否由被询证单位直接发出，以及回函印章是否存在明显瑕疵或可疑之处。</w:t>
      </w:r>
    </w:p>
    <w:p w14:paraId="39A2CCF4">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①原件确认：核实电子回函是否与注册会计师发出的询证函为同一文本，可通过与留存的询证函复印件或扫描件进行核对，检查盖章位置等是否一致。若询证函上添加了特定标识，应在收到回函时检查该标识是否存在。</w:t>
      </w:r>
    </w:p>
    <w:p w14:paraId="524F17FE">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②直接发出确认：确认电子回函是否直接由被询证单位发出，以确保回函的独立性和真实性。例如，核对传真所使用的电话号码是否为被询证单位的电话号码，发件电子邮箱地址是否为被询证单位内部邮箱地址，微信发件人是否为被询证单位工作人员，并确认发件人是否对被函证信息是否知情、是否具有客观性、是否拥有回函的授权等。若回函不是由被询证单位直接发送至注册会计师，而是经过被审计单位或其他第三方转发，则该回函不能视为可靠的审计证据。</w:t>
      </w:r>
    </w:p>
    <w:p w14:paraId="380EE0CB">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③印章和签名核实：检查电子回函中的印章是否与被询证单位的名称一致、签名是否完整等。必要时，可与以往审计过程中获取的回函文件中的印鉴进行核对、与被审计单位持有的其他文件进行核对或亲自前往被询证单位进行核实等。连续审计时，也可将回函中的印章与以前年度回函或其他文件中的印章进行核对。</w:t>
      </w:r>
    </w:p>
    <w:p w14:paraId="2D74F92F">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④电子回函来源核实：通过技术手段如查看电子邮件信头、</w:t>
      </w:r>
      <w:r>
        <w:rPr>
          <w:rFonts w:asciiTheme="minorEastAsia" w:hAnsiTheme="minorEastAsia" w:eastAsiaTheme="minorEastAsia" w:cstheme="minorEastAsia"/>
          <w:sz w:val="24"/>
        </w:rPr>
        <w:t>IP地址核实等确认电子回函的来源，确保其未被篡改或伪造。</w:t>
      </w:r>
    </w:p>
    <w:p w14:paraId="6FB2ECA5">
      <w:pPr>
        <w:snapToGrid w:val="0"/>
        <w:spacing w:line="360" w:lineRule="auto"/>
        <w:ind w:firstLine="480" w:firstLineChars="200"/>
        <w:outlineLvl w:val="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3）电子形式回函的特殊考虑</w:t>
      </w:r>
    </w:p>
    <w:p w14:paraId="2E44D5EF">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由于电子形式函证方式存在被拦截、更改或者其他舞弊风险的程度远远高于其他函证方式，且回函者的身份及其授权情况很难确定。注册会计师可与被询证者联系以核实回函的来源及内容。例如，当被询证者通过电子邮件回函时，注册会计师可以通过电话联系被询证者，确定被询证者是否发送了回函。</w:t>
      </w:r>
    </w:p>
    <w:p w14:paraId="7473A19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基于电子形式回函的可靠性存在较大风险，建议将电子形式回函作为阶段性的辅助性证据。注册会计师基于时间因素的考虑可先获取电子形式的回函，但仍应要求被询证单位提供纸质回函原件或亲自前往被询证单位取回询证函纸质回函原件，将纸质回函原件与传真件对应归入工作底稿。</w:t>
      </w:r>
    </w:p>
    <w:p w14:paraId="757BBB8F">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4.对询证函进行口头回复</w:t>
      </w:r>
    </w:p>
    <w:p w14:paraId="4F1FA20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由于只对询证函进行口头回复而非书面回复不符合函证的要求，因此，不能作为可靠的审计证据。在收到对询证函口头回复的情况下，注册会计师可以根据情况要求被询证者提供直接书面回复。如果仍未收到书面回函，注册会计师需要通过实施替代程序，寻找其他审计证据以支持口头回复中的信息。</w:t>
      </w:r>
      <w:r>
        <w:rPr>
          <w:rFonts w:asciiTheme="minorEastAsia" w:hAnsiTheme="minorEastAsia" w:eastAsiaTheme="minorEastAsia" w:cstheme="minorEastAsia"/>
          <w:sz w:val="24"/>
        </w:rPr>
        <w:t xml:space="preserve"> </w:t>
      </w:r>
    </w:p>
    <w:p w14:paraId="16F85D88">
      <w:pPr>
        <w:snapToGrid w:val="0"/>
        <w:spacing w:before="156" w:beforeLines="50"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三、针对自然人函证的特殊考虑</w:t>
      </w:r>
    </w:p>
    <w:p w14:paraId="48C3ECB0">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对自然人进行函证时，除应要求回函者亲自签名外，通常还需加按手印、同时提供身份证明以增强证据效力。鉴于自然人身份及其授权状态的验证难度较大，导致舞弊风险相较于对企业法人、社会团体等组织的函证显著增高，注册会计师应当审慎考虑并采取以下特别审计措施：</w:t>
      </w:r>
    </w:p>
    <w:p w14:paraId="6D5954D1">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（一）跟函程序</w:t>
      </w:r>
    </w:p>
    <w:p w14:paraId="2E5D7C33">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1.注册会计师需亲自观察并记录自然人签字的全过程，确保签字行为的真实性。</w:t>
      </w:r>
    </w:p>
    <w:p w14:paraId="545AF314">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2.核对被函证自然人的身份证原件，与身份证影像信息进行比对，以确认签字人是否为被询证对象本人。</w:t>
      </w:r>
    </w:p>
    <w:p w14:paraId="21D7D777">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3.复印并归档身份证件，作为审计证据。在条件允许的情况下，可进一步要求被函证自然人提供手持签字确认询证函的合影，以增强证据的可靠性。</w:t>
      </w:r>
    </w:p>
    <w:p w14:paraId="3217DC53">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（二）邮寄函证程序</w:t>
      </w:r>
    </w:p>
    <w:p w14:paraId="6A9B7F57">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1.验证回函者身份，要求被询证自然人在寄送回函时，一并附上其身份证复印件或扫描件，并仔细检查复印件或扫描件是否存在篡改或伪造迹象。</w:t>
      </w:r>
    </w:p>
    <w:p w14:paraId="074D1BC5">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2.如条件允许，可进一步要求提供被函证自然人手持已签字询证函的留影照片或扫描件，作为辅助验证材料。</w:t>
      </w:r>
    </w:p>
    <w:p w14:paraId="1BE23A5A">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（三）特殊交易情形的处理</w:t>
      </w:r>
    </w:p>
    <w:p w14:paraId="233BCC0A">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当被审计单位与自然人的交易具有必要性，且涉及金额重大或交易频繁时，注册会计师应优先考虑采用亲往函证的方式。</w:t>
      </w:r>
    </w:p>
    <w:p w14:paraId="1C6D6831">
      <w:pPr>
        <w:snapToGrid w:val="0"/>
        <w:spacing w:before="156" w:beforeLines="50"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四、常见错误或风险</w:t>
      </w:r>
    </w:p>
    <w:p w14:paraId="1E61CA55">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（一）函证记录不完整</w:t>
      </w:r>
    </w:p>
    <w:p w14:paraId="65025307">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1.跟函记录缺失</w:t>
      </w:r>
    </w:p>
    <w:p w14:paraId="21F749B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采用跟函方式进行函证时，未能在审计工作底稿中保留跟函记录，导致无法追溯注册会计师对询证函的控制过程。</w:t>
      </w:r>
    </w:p>
    <w:p w14:paraId="0F0595AE">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2.收件信息未保留</w:t>
      </w:r>
    </w:p>
    <w:p w14:paraId="59B71C9F">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回函的信函或快件的收件信息未被记录或保存，影响了审计证据的完整性。</w:t>
      </w:r>
    </w:p>
    <w:p w14:paraId="4164FEB5">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3.控制记录不全</w:t>
      </w:r>
    </w:p>
    <w:p w14:paraId="557DE70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函证过程控制记录的缺失或不当留存，导致函证全过程记录断裂，无法验证函证的真实性和可靠性。</w:t>
      </w:r>
    </w:p>
    <w:p w14:paraId="2C160B5E">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（二）回函的独立性和真实性存疑</w:t>
      </w:r>
    </w:p>
    <w:p w14:paraId="0C0A75A9">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1.回函独立性不充分</w:t>
      </w:r>
    </w:p>
    <w:p w14:paraId="1CB244C4">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被询证单位未将回函直接发给注册会计师，而是通过被审计单位转交，影响回函的独立性，增加篡改风险。</w:t>
      </w:r>
    </w:p>
    <w:p w14:paraId="4662964A">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2.电子回函真实性未验证</w:t>
      </w:r>
    </w:p>
    <w:p w14:paraId="4CE167F0">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被询证单位以传真、微信或电子邮件等电子形式发送的回函未经过充分验证，注册会计师未考虑被询证单位的真实性以及电子或传真询证函回函是否可以满足充分适当的审计证据的要求。</w:t>
      </w:r>
    </w:p>
    <w:p w14:paraId="0EED9E38">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（三）未关注回函异常迹象</w:t>
      </w:r>
    </w:p>
    <w:p w14:paraId="4A9EFEC2">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1.回函信息不一致</w:t>
      </w:r>
    </w:p>
    <w:p w14:paraId="0BACE713">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回函信息与被询证单位记录不一致，注册会计师未关注可能存在的舞弊风险。</w:t>
      </w:r>
    </w:p>
    <w:p w14:paraId="520796EA">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2.回函来源可疑</w:t>
      </w:r>
    </w:p>
    <w:p w14:paraId="78FBA2F4">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回函来源不明或存在多个相同特征的回函，例如收到的多份回函笔迹相同或发件人信息异常相似，不同被询证单位的回函显示发件人相同或相近的联系方式，或邮戳显示的发函地址相同，注册会计师未关注这可能表明回函的真实性存疑。</w:t>
      </w:r>
    </w:p>
    <w:p w14:paraId="2646FE5E">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3.回函率异常</w:t>
      </w:r>
    </w:p>
    <w:p w14:paraId="6C7D8B6F">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例如：银行函证未回函；与以前年度相比，回函率异常偏高或回函率重大变动；向被审计单位的债权人发送的询证函回函率很低；过于完美的回函，所有回函均能收回且回函没有差异。注册会计师未关注可能回函过程受到操纵，选择性回函或其他舞弊风险。</w:t>
      </w:r>
    </w:p>
    <w:p w14:paraId="44671B33">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（四）未核对印章与签名</w:t>
      </w:r>
    </w:p>
    <w:p w14:paraId="026A4295">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没有核对回函原件骑缝章的完整性，询证函被企业截留并替换了其中几张关键信息。</w:t>
      </w:r>
    </w:p>
    <w:p w14:paraId="05884ADC">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1.印章不符或缺失</w:t>
      </w:r>
    </w:p>
    <w:p w14:paraId="5274E2D7">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注册会计师未发现回函上印章与被询证单位不符、缺失正规印章或印章存在明显瑕疵，可能存在伪造印章或其他舞弊风险。</w:t>
      </w:r>
    </w:p>
    <w:p w14:paraId="21D89C79">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2.骑缝章不完整</w:t>
      </w:r>
    </w:p>
    <w:p w14:paraId="6E28D2F9">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注册会计师未核对回函原件骑缝章的完整性，可能导致询证函被截留并替换关键信息，影响审计证据的真实性。</w:t>
      </w:r>
    </w:p>
    <w:p w14:paraId="5AE312F2">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（五）未采取适当的后续措施</w:t>
      </w:r>
    </w:p>
    <w:p w14:paraId="4CBEB621">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例如，询证函长时间未回、回函内容与预期不符等情况，未进一步采取相应措施。如再次发函或与被询证单位沟通讨论函证事项，可能导致审计证据不足。</w:t>
      </w:r>
    </w:p>
    <w:p w14:paraId="2A0AE238">
      <w:pPr>
        <w:snapToGrid w:val="0"/>
        <w:spacing w:before="156" w:beforeLines="50"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五、回函控制工作底稿</w:t>
      </w:r>
    </w:p>
    <w:p w14:paraId="165EECE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（一）函证过程控制及结果汇总表。详细记录对回函过程的控制措施</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w:t>
      </w:r>
    </w:p>
    <w:p w14:paraId="1369A916">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（二）询证函回函。将询证函回函作为工作底稿记录，其中电子平台函证和电子形式以外的纸质版函证原件作为工作底稿留存。</w:t>
      </w:r>
    </w:p>
    <w:p w14:paraId="1CBE6FB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发函面单和物流轨迹。保存邮寄询证函时的快递面单照片或复印件，以及发函后的物流轨迹截图或记录。对于电子发函，保存电子邮件发送截图及收件人确认回复（如适用），以验证发函的独立性和完整性。</w:t>
      </w:r>
    </w:p>
    <w:p w14:paraId="24001787">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（四）询证函复印件或扫描件。必要时，保存发出的询证函复印件或扫描件，以备后续审计工作的查阅和核对。</w:t>
      </w:r>
    </w:p>
    <w:p w14:paraId="1ABD701B">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跟函记录表。记录跟函时间、地点、询证函编号、被审计单位陪同人员（如有）、审计人员等基本信息；描述跟函过程，包括被询证单位处理函证的流程、处理人员身份和权限的核实情况、函证处理过程的观察等。必要时，附上现场照片、索要的名片、工作证复印件等辅助证据。</w:t>
      </w:r>
    </w:p>
    <w:p w14:paraId="1013CD20">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（六）电子询证函记录。对于通过电子邮件方式发送的询证函，记录并保存所有相关的电子邮件往来，包括发件人、收件人信息的邮件内容截屏，保存询证函电子版的扫描件或</w:t>
      </w:r>
      <w:r>
        <w:rPr>
          <w:rFonts w:asciiTheme="minorEastAsia" w:hAnsiTheme="minorEastAsia" w:eastAsiaTheme="minorEastAsia" w:cstheme="minorEastAsia"/>
          <w:sz w:val="24"/>
        </w:rPr>
        <w:t>PDF格式文件。</w:t>
      </w:r>
    </w:p>
    <w:p w14:paraId="1DC7A903">
      <w:pPr>
        <w:snapToGrid w:val="0"/>
        <w:spacing w:line="360" w:lineRule="auto"/>
        <w:ind w:firstLine="480" w:firstLineChars="200"/>
        <w:rPr>
          <w:rFonts w:asciiTheme="minorEastAsia" w:hAnsiTheme="minorEastAsia" w:cstheme="minorEastAsia"/>
          <w:sz w:val="24"/>
        </w:rPr>
      </w:pPr>
      <w:r>
        <w:rPr>
          <w:rFonts w:hint="eastAsia" w:asciiTheme="minorEastAsia" w:hAnsiTheme="minorEastAsia" w:eastAsiaTheme="minorEastAsia" w:cstheme="minorEastAsia"/>
          <w:sz w:val="24"/>
        </w:rPr>
        <w:t>（七）异常事项处理记录。记录函证过程中遇到的任何异常事项（如回函延迟、回函内容不符等），以及采取的处理措施和结果。</w:t>
      </w:r>
    </w:p>
    <w:p w14:paraId="1397E98F">
      <w:pPr>
        <w:snapToGrid w:val="0"/>
        <w:spacing w:line="360" w:lineRule="auto"/>
        <w:ind w:firstLine="480" w:firstLineChars="200"/>
        <w:rPr>
          <w:rFonts w:asciiTheme="minorEastAsia" w:hAnsiTheme="minorEastAsia" w:eastAsiaTheme="minorEastAsia" w:cstheme="minorEastAsia"/>
          <w:sz w:val="24"/>
        </w:rPr>
      </w:pPr>
    </w:p>
    <w:p w14:paraId="51D19C75">
      <w:pPr>
        <w:snapToGrid w:val="0"/>
        <w:spacing w:line="360" w:lineRule="auto"/>
        <w:ind w:firstLine="0" w:firstLineChars="0"/>
        <w:jc w:val="center"/>
        <w:outlineLvl w:val="1"/>
        <w:rPr>
          <w:rFonts w:asciiTheme="minorEastAsia" w:hAnsiTheme="minorEastAsia" w:eastAsiaTheme="minorEastAsia" w:cstheme="minorEastAsia"/>
          <w:b/>
          <w:bCs/>
          <w:sz w:val="24"/>
        </w:rPr>
      </w:pPr>
      <w:bookmarkStart w:id="68" w:name="_Toc27220"/>
      <w:bookmarkStart w:id="69" w:name="_Toc5381"/>
      <w:bookmarkStart w:id="70" w:name="_Toc19791"/>
      <w:r>
        <w:rPr>
          <w:rFonts w:hint="eastAsia" w:asciiTheme="minorEastAsia" w:hAnsiTheme="minorEastAsia" w:eastAsiaTheme="minorEastAsia" w:cstheme="minorEastAsia"/>
          <w:b/>
          <w:bCs/>
          <w:sz w:val="24"/>
        </w:rPr>
        <w:t>第九节</w:t>
      </w:r>
      <w:r>
        <w:rPr>
          <w:rFonts w:hint="eastAsia" w:asciiTheme="minorEastAsia" w:hAnsiTheme="minorEastAsia" w:cstheme="minorEastAsia"/>
          <w:b/>
          <w:bCs/>
          <w:sz w:val="24"/>
        </w:rPr>
        <w:t xml:space="preserve">  </w:t>
      </w:r>
      <w:r>
        <w:rPr>
          <w:rFonts w:hint="eastAsia" w:asciiTheme="minorEastAsia" w:hAnsiTheme="minorEastAsia" w:eastAsiaTheme="minorEastAsia" w:cstheme="minorEastAsia"/>
          <w:b/>
          <w:bCs/>
          <w:sz w:val="24"/>
        </w:rPr>
        <w:t>函证结果评价</w:t>
      </w:r>
      <w:bookmarkEnd w:id="68"/>
      <w:bookmarkEnd w:id="69"/>
      <w:bookmarkEnd w:id="70"/>
    </w:p>
    <w:p w14:paraId="52CE1228">
      <w:pPr>
        <w:snapToGrid w:val="0"/>
        <w:spacing w:line="360" w:lineRule="auto"/>
        <w:ind w:firstLine="0" w:firstLineChars="0"/>
        <w:outlineLvl w:val="2"/>
        <w:rPr>
          <w:rFonts w:asciiTheme="minorEastAsia" w:hAnsiTheme="minorEastAsia" w:cstheme="minorEastAsia"/>
          <w:b/>
          <w:bCs/>
          <w:sz w:val="24"/>
        </w:rPr>
      </w:pPr>
    </w:p>
    <w:p w14:paraId="74B935A7">
      <w:pPr>
        <w:snapToGrid w:val="0"/>
        <w:spacing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一、核对和处理回函结果</w:t>
      </w:r>
    </w:p>
    <w:p w14:paraId="3715D3B1">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注册会计师须仔细核对银行回函信息的完整性，评估回函内容是否包含影响其可靠性的免责或其他限制性条款。同时，注册会计师需区分情况处理回函结果。</w:t>
      </w:r>
    </w:p>
    <w:p w14:paraId="039EE72B">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（一）回函中包括免责或其他限制性条款</w:t>
      </w:r>
    </w:p>
    <w:p w14:paraId="31668A6B">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1.对回函可靠性不产生影响的条款</w:t>
      </w:r>
    </w:p>
    <w:p w14:paraId="0644593E">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回函中格式化的免责条款可能并不影响所确认信息的可靠性，实务中常见的这种免责条款的例子包括：</w:t>
      </w:r>
    </w:p>
    <w:p w14:paraId="375383EE">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1）“提供的本信息仅出于礼貌，我方没有义务必须提供，我方不因此承担任何明示或暗示的责任、义务和担保”。</w:t>
      </w:r>
    </w:p>
    <w:p w14:paraId="50E16ADA">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2）“本回复仅用于审计目的，被询证者、其员工或代理人无任何责任，也不能免除注册会计师做其他询问或执行其他工作的责任”。</w:t>
      </w:r>
    </w:p>
    <w:p w14:paraId="318A8B4B">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其他限制性条款如果与所测试的认定无关，也不一定会导致回函失去可靠性。例如，当注册会计师的审计目标是投资是否存在，并使用函证来获取审计证据时，回函中针对投资价值的免责条款并不一定会影响回函的可靠性。</w:t>
      </w:r>
    </w:p>
    <w:p w14:paraId="2D68EDAD">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2.对回函可靠性产生影响的条款</w:t>
      </w:r>
    </w:p>
    <w:p w14:paraId="7A2E3709">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一些限制性条款可能使注册会计师对回函中所包含信息的完整性、准确性或注册会计师能够信赖其所含信息的程度产生怀疑，实务中常见的此类限制性条款的例子包括：</w:t>
      </w:r>
    </w:p>
    <w:p w14:paraId="764A97E4">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1）“本信息从电子数据库中取得，可能不包括被询证者所拥有的全部信息”。</w:t>
      </w:r>
    </w:p>
    <w:p w14:paraId="5AF652CF">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2）“既不保证本信息准确也不保证其是最新的，其他方可能会持有不同意见”。</w:t>
      </w:r>
    </w:p>
    <w:p w14:paraId="7ADF08B8">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3）“接收人不能依赖函证中的信息”。</w:t>
      </w:r>
      <w:r>
        <w:rPr>
          <w:rFonts w:hint="eastAsia" w:asciiTheme="minorEastAsia" w:hAnsiTheme="minorEastAsia" w:cstheme="minorEastAsia"/>
          <w:sz w:val="24"/>
        </w:rPr>
        <w:t xml:space="preserve">                                                                                                                                                                                                                                                                                                                                                                                             </w:t>
      </w:r>
    </w:p>
    <w:p w14:paraId="14331CFE">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特殊情况下，如果限制性条款产生的影响难以确定，注册会计师可能认为要求被询证者澄清或寻求法律意见是适当的。如果回函中包含了影响其可靠性的免责或其他限制性条款，注册会计师应当及时与被询证单位沟通，询问相关原因，并根据情况再次发出询证函。</w:t>
      </w:r>
    </w:p>
    <w:p w14:paraId="4FCFB7EF">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果再次发出询证函不可行，注册会计师应当针对所有未确认的函证信息实施替代程序。这些程序的性质和范围将取决于财务报表项目的性质、所测试的认定、限制条款的性质和实质，以及通过其他审计程序获取的相关证据等因素。</w:t>
      </w:r>
    </w:p>
    <w:p w14:paraId="324D7F80">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如果通过替代程序无法获取充分、适当的审计证据，或者替代程序不可行，应当考虑回函是否因此失去可靠性，并按照《中国注册会计师审计准则第</w:t>
      </w:r>
      <w:r>
        <w:rPr>
          <w:rFonts w:asciiTheme="minorEastAsia" w:hAnsiTheme="minorEastAsia" w:eastAsiaTheme="minorEastAsia" w:cstheme="minorEastAsia"/>
          <w:sz w:val="24"/>
        </w:rPr>
        <w:t xml:space="preserve"> 1502 </w:t>
      </w:r>
      <w:r>
        <w:rPr>
          <w:rFonts w:hint="eastAsia" w:asciiTheme="minorEastAsia" w:hAnsiTheme="minorEastAsia" w:eastAsiaTheme="minorEastAsia" w:cstheme="minorEastAsia"/>
          <w:sz w:val="24"/>
        </w:rPr>
        <w:t>号——在审计报告中发表非无保留意见》的规定，确定其对审计工作和审计意见的影响。</w:t>
      </w:r>
    </w:p>
    <w:p w14:paraId="73C2A94C">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（二）仅对部分函证事项予以回复</w:t>
      </w:r>
    </w:p>
    <w:p w14:paraId="57980AE9">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审计过程中，被询证单位可能未对全部函证事项作出回应，而仅针对部分函证事项予以回复。例如，银行函证中，银行可能在原询证函上盖章签字并返回，但明确标注仅对某一事项进行确认；或者银行不同意对无交易事项的函证项目以“无”的方式处理，而是选择性地回复部分函证事项；有的银行会删除原询证函的部分内容，或仅对填写了交易事项的函证项目进行回复，忽略空白的其他函证事项。又例如，企业函证信息除往来款余额外，还可能包含交易额、合同条款、项目进展情况等其他的信息。被询证单位可能仅对其中一项或几项信息进行确认，而没有对所有函证信息进行回应。</w:t>
      </w:r>
      <w:r>
        <w:rPr>
          <w:rFonts w:asciiTheme="minorEastAsia" w:hAnsiTheme="minorEastAsia" w:eastAsiaTheme="minorEastAsia" w:cstheme="minorEastAsia"/>
          <w:sz w:val="24"/>
        </w:rPr>
        <w:t xml:space="preserve"> </w:t>
      </w:r>
    </w:p>
    <w:p w14:paraId="1E09FA07">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1.沟通与确认</w:t>
      </w:r>
    </w:p>
    <w:p w14:paraId="61AF5925">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根据《银行函证工作操作指引》（财办会〔</w:t>
      </w:r>
      <w:r>
        <w:rPr>
          <w:rFonts w:asciiTheme="minorEastAsia" w:hAnsiTheme="minorEastAsia" w:eastAsiaTheme="minorEastAsia" w:cstheme="minorEastAsia"/>
          <w:sz w:val="24"/>
        </w:rPr>
        <w:t xml:space="preserve">2024〕2号）的要求，被询证银行应当对银行询证函所列示的 1-14 </w:t>
      </w:r>
      <w:r>
        <w:rPr>
          <w:rFonts w:hint="eastAsia" w:asciiTheme="minorEastAsia" w:hAnsiTheme="minorEastAsia" w:eastAsiaTheme="minorEastAsia" w:cstheme="minorEastAsia"/>
          <w:sz w:val="24"/>
        </w:rPr>
        <w:t>项及附表涉及的全部信息作出回应。注册会计师应及时与被询证银行沟通，了解未回应事项的原因，并确认被审计单位在该银行是否有其他项目。若必要，可向被询证银行的上级行或集中处理部门反映情况。</w:t>
      </w:r>
    </w:p>
    <w:p w14:paraId="7A22C8B7">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2.再次发出询证函</w:t>
      </w:r>
    </w:p>
    <w:p w14:paraId="1E291C74">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在与被询证单位沟通后，若需进一步确认信息，注册会计师应再次发出询证函，以获取对全部询证事项的完整回复。</w:t>
      </w:r>
    </w:p>
    <w:p w14:paraId="5B5781F8">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3.实施替代程序</w:t>
      </w:r>
    </w:p>
    <w:p w14:paraId="46EA7913">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果再次发出询证函不可行，或被询证单位仍拒绝对全部询证事项予以回复时，注册会计师应针对所有未确认的函证信息实施替代程序，例如从人民银行征信中心、被审计单位开户行等相关机构直接获取被审计单位的信用报告，并与被审计单位的会计记录相核对。</w:t>
      </w:r>
    </w:p>
    <w:p w14:paraId="39B7A101">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4.考虑审计意见的影响</w:t>
      </w:r>
    </w:p>
    <w:p w14:paraId="4E310C8A">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若通过替代程序仍无法获取充分、适当的审计证据，注册会计师需要考虑这种情况对审计意见的影响，并在审计报告中予以反映。</w:t>
      </w:r>
    </w:p>
    <w:p w14:paraId="2D3A8F29">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（三）回函不符</w:t>
      </w:r>
    </w:p>
    <w:p w14:paraId="048D7003">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根据《中国注册会计师审计准则第</w:t>
      </w:r>
      <w:r>
        <w:rPr>
          <w:rFonts w:asciiTheme="minorEastAsia" w:hAnsiTheme="minorEastAsia" w:eastAsiaTheme="minorEastAsia" w:cstheme="minorEastAsia"/>
          <w:sz w:val="24"/>
        </w:rPr>
        <w:t>1312</w:t>
      </w:r>
      <w:r>
        <w:rPr>
          <w:rFonts w:hint="eastAsia" w:asciiTheme="minorEastAsia" w:hAnsiTheme="minorEastAsia" w:eastAsiaTheme="minorEastAsia" w:cstheme="minorEastAsia"/>
          <w:sz w:val="24"/>
        </w:rPr>
        <w:t>号——函证》</w:t>
      </w:r>
      <w:r>
        <w:rPr>
          <w:rFonts w:hint="eastAsia" w:asciiTheme="minorEastAsia" w:hAnsiTheme="minorEastAsia" w:cstheme="minorEastAsia"/>
          <w:sz w:val="24"/>
        </w:rPr>
        <w:t>的</w:t>
      </w:r>
      <w:r>
        <w:rPr>
          <w:rFonts w:asciiTheme="minorEastAsia" w:hAnsiTheme="minorEastAsia" w:cstheme="minorEastAsia"/>
          <w:sz w:val="24"/>
        </w:rPr>
        <w:t>规定</w:t>
      </w:r>
      <w:r>
        <w:rPr>
          <w:rFonts w:hint="eastAsia" w:asciiTheme="minorEastAsia" w:hAnsiTheme="minorEastAsia" w:eastAsiaTheme="minorEastAsia" w:cstheme="minorEastAsia"/>
          <w:sz w:val="24"/>
        </w:rPr>
        <w:t>，不符事项，是指被询证单位提供的信息与询证函要求确认的信息不一致，或与被审计单位记录的信息不一致。</w:t>
      </w:r>
    </w:p>
    <w:p w14:paraId="78D19BA6">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1.不符事项的处理</w:t>
      </w:r>
    </w:p>
    <w:p w14:paraId="59BC1282">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回函显示存在不符事项的情况下，注册会计师应对所有回函显示的差异和不符事项的原因、性质、频率、金额予以充分关注，编制《函证结果调节表》，获取必要的审计证据以判断被审计单位的账务处理是否正确，是否记录于恰当的会计期间，考虑是否需要作出相应的审计调整或披露。</w:t>
      </w:r>
    </w:p>
    <w:p w14:paraId="0D527943">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若回函中已明确指出不符金额或事项，注册会计师通常无需再次发出询证函，而应将不符回函作为审计证据留存。若不符事项由被询证单位的回函书写错误造成，则需考虑是否重新发出询证函。若需重新发函，且被询证单位要求退回错误回函原件，注册会计师应复印或扫描该原件予以留存，并与新的询证函一同寄出。</w:t>
      </w:r>
    </w:p>
    <w:p w14:paraId="6B0B471D">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2.调查不符事项的原因</w:t>
      </w:r>
    </w:p>
    <w:p w14:paraId="3705ACEC">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注册会计师应实施审计程序，包括询问被审计单位相关人员以了解不符原因，并检查相关资料（如对账单、借款合同、抵押担保合同、企业信用报告、开户证实书、定期存单等），以核实不符原因。</w:t>
      </w:r>
      <w:r>
        <w:rPr>
          <w:rFonts w:asciiTheme="minorEastAsia" w:hAnsiTheme="minorEastAsia" w:eastAsiaTheme="minorEastAsia" w:cstheme="minorEastAsia"/>
          <w:sz w:val="24"/>
        </w:rPr>
        <w:t xml:space="preserve">    </w:t>
      </w:r>
    </w:p>
    <w:p w14:paraId="07E0E501">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不符事项可能由时间性差异、一方或双方记账错误、函证信息记录有误或回函信息不完整等原因导致，甚至可能是舞弊行为所致。注册会计师应要求被审计单位管理层对不符原因进行解释，并进一步取得和查看相关支持性文件作为审计证据，对不符事项进行分析，判断是否存在错报。注册会计师应保持职业怀疑，警惕小额差异可能是方向相反的大额差异正负相抵的结果。</w:t>
      </w:r>
    </w:p>
    <w:p w14:paraId="684B1A31">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3.针对不符事项实施审计程序</w:t>
      </w:r>
    </w:p>
    <w:p w14:paraId="6C025AAF">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注册会计师应根据不符事项的原因、性质和金额，进一步实施具体的审计程序。</w:t>
      </w:r>
    </w:p>
    <w:p w14:paraId="3CA9B508">
      <w:pPr>
        <w:snapToGrid w:val="0"/>
        <w:spacing w:line="360" w:lineRule="auto"/>
        <w:ind w:firstLine="480" w:firstLineChars="200"/>
        <w:outlineLvl w:val="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1）对于因时间性差异或记账错误导致的不符事项</w:t>
      </w:r>
    </w:p>
    <w:p w14:paraId="12727395">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应获取被审计单位编制的差异调节表，并根据具体情况确定是否存在错报。注册会计师应根据形成时间差异的具体原因实施审计程序确定是否存在错报。例如：</w:t>
      </w:r>
    </w:p>
    <w:p w14:paraId="02E2C6EC">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若被审计单位在资产负债表日前确认了应收账款和收入，但客户在资产负债表日后才将该笔交易作为应付款项入账，注册会计师可以实施截止性测试，检查销售合同或订单、发货记录、客户签收单等，以验证回函不符事项是否由于时间性差异造成。</w:t>
      </w:r>
    </w:p>
    <w:p w14:paraId="20CDA066">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若客户在资产负债表日后将货物退回被审计单位，但被审计单位未能及时对退货进行会计记录，注册会计师可以对退货实施截止性测试，检查退货通知单、收货单据、库存商品永续记录、红字发票等，以验证回函不符的原因。</w:t>
      </w:r>
    </w:p>
    <w:p w14:paraId="148CC593">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若客户已经在资产负债表日前付款，但被审计单位在资产负债表日后才入账，注册会计师可以检查收款记录，核实该笔汇款是否在资产负债表日后收到，存入银行账户的款项是否在正确期间计入应收账款明细账。</w:t>
      </w:r>
    </w:p>
    <w:p w14:paraId="07DDC03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当被审计单位的某一客户亦是其供应商时，应收账款和应付账款可能已经互相抵销，不符事项可能由抵销所致。注册会计师需要确认被审计单位与其客户</w:t>
      </w:r>
      <w:r>
        <w:rPr>
          <w:rFonts w:asciiTheme="minorEastAsia" w:hAnsiTheme="minorEastAsia" w:eastAsiaTheme="minorEastAsia" w:cstheme="minorEastAsia"/>
          <w:sz w:val="24"/>
        </w:rPr>
        <w:t>/供应商之间的协议是否允许这种抵销。</w:t>
      </w:r>
    </w:p>
    <w:p w14:paraId="51BA7371">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若有迹象表明被审计单位与其客户之间存在争议，应追查争议原因并评价争议处理是否恰当，关注是否可能影响客户偿付能力和计提减值准备的适当性。</w:t>
      </w:r>
    </w:p>
    <w:p w14:paraId="72BC083C">
      <w:pPr>
        <w:snapToGrid w:val="0"/>
        <w:spacing w:line="360" w:lineRule="auto"/>
        <w:ind w:firstLine="480" w:firstLineChars="200"/>
        <w:outlineLvl w:val="6"/>
        <w:rPr>
          <w:rFonts w:asciiTheme="minorEastAsia" w:hAnsiTheme="minorEastAsia" w:eastAsiaTheme="minorEastAsia" w:cstheme="minorEastAsia"/>
          <w:sz w:val="24"/>
        </w:rPr>
      </w:pPr>
      <w:r>
        <w:rPr>
          <w:rFonts w:hint="eastAsia" w:asciiTheme="minorEastAsia" w:hAnsiTheme="minorEastAsia" w:cstheme="minorEastAsia"/>
          <w:sz w:val="24"/>
        </w:rPr>
        <w:t>（2）</w:t>
      </w:r>
      <w:r>
        <w:rPr>
          <w:rFonts w:hint="eastAsia" w:asciiTheme="minorEastAsia" w:hAnsiTheme="minorEastAsia" w:eastAsiaTheme="minorEastAsia" w:cstheme="minorEastAsia"/>
          <w:sz w:val="24"/>
        </w:rPr>
        <w:t>对于因函证信息记录错误导致的不符事项</w:t>
      </w:r>
    </w:p>
    <w:p w14:paraId="0882023E">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应重新发函或实施替代程序。</w:t>
      </w:r>
    </w:p>
    <w:p w14:paraId="3586A630">
      <w:pPr>
        <w:snapToGrid w:val="0"/>
        <w:spacing w:line="360" w:lineRule="auto"/>
        <w:ind w:firstLine="480" w:firstLineChars="200"/>
        <w:outlineLvl w:val="6"/>
        <w:rPr>
          <w:rFonts w:asciiTheme="minorEastAsia" w:hAnsiTheme="minorEastAsia" w:eastAsiaTheme="minorEastAsia" w:cstheme="minorEastAsia"/>
          <w:sz w:val="24"/>
        </w:rPr>
      </w:pPr>
      <w:r>
        <w:rPr>
          <w:rFonts w:hint="eastAsia" w:asciiTheme="minorEastAsia" w:hAnsiTheme="minorEastAsia" w:cstheme="minorEastAsia"/>
          <w:sz w:val="24"/>
        </w:rPr>
        <w:t>（3）</w:t>
      </w:r>
      <w:r>
        <w:rPr>
          <w:rFonts w:hint="eastAsia" w:asciiTheme="minorEastAsia" w:hAnsiTheme="minorEastAsia" w:eastAsiaTheme="minorEastAsia" w:cstheme="minorEastAsia"/>
          <w:sz w:val="24"/>
        </w:rPr>
        <w:t>对于因舞弊导致的不符事项</w:t>
      </w:r>
    </w:p>
    <w:p w14:paraId="4050333C">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应重新考虑对风险评估结果以及所实施程序的性质、时间和范围的影响，并与管理层及时沟通，考虑对审计报告和审计其他方面的影响。</w:t>
      </w:r>
    </w:p>
    <w:p w14:paraId="750630B0">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4.错报的评价</w:t>
      </w:r>
    </w:p>
    <w:p w14:paraId="0C940B1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询证函回函中指出的不符事项可能显示财务报表存在错报或潜在错报。当识别出错报时，注册会计师需要根据《中国注册会计师审计准则第</w:t>
      </w:r>
      <w:r>
        <w:rPr>
          <w:rFonts w:asciiTheme="minorEastAsia" w:hAnsiTheme="minorEastAsia" w:eastAsiaTheme="minorEastAsia" w:cstheme="minorEastAsia"/>
          <w:sz w:val="24"/>
        </w:rPr>
        <w:t>1141号——财务报表审计中与舞弊相关的责任》的规定，评价该错报是否表明存在舞弊。不符事项可以为注册会计师判断来自类似的被询证者回函的质量及类似账户的回函质量提供参考；不符事项还可能显示被审计单位与财务报告相关的内部控制存在缺陷。</w:t>
      </w:r>
    </w:p>
    <w:p w14:paraId="16E6D4C5">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根据《中国注册会计师审计准则第</w:t>
      </w:r>
      <w:r>
        <w:rPr>
          <w:rFonts w:asciiTheme="minorEastAsia" w:hAnsiTheme="minorEastAsia" w:eastAsiaTheme="minorEastAsia" w:cstheme="minorEastAsia"/>
          <w:sz w:val="24"/>
        </w:rPr>
        <w:t>1314号——审计抽样》的规定，如果以抽样方式实施函证，对样本中识别出的错报，注册会计师应当调查错报的原因，并根据样本错报推断总体中存在的错报。</w:t>
      </w:r>
    </w:p>
    <w:p w14:paraId="7ED11B6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册会计师同时应当考虑针对函证测试未覆盖的剩余部分中可能存在的错报单独或连同其他错报是否可能导致财务报表整体存在重大错报。必要时，与管理层讨论重要不符事项，并确定是否需要修改或追加审计程序以解决不符事项，并考虑存在的情形对审计其他方面的影响。</w:t>
      </w:r>
      <w:r>
        <w:rPr>
          <w:rFonts w:asciiTheme="minorEastAsia" w:hAnsiTheme="minorEastAsia" w:eastAsiaTheme="minorEastAsia" w:cstheme="minorEastAsia"/>
          <w:sz w:val="24"/>
        </w:rPr>
        <w:t xml:space="preserve"> </w:t>
      </w:r>
    </w:p>
    <w:p w14:paraId="0569F9EC">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（四）采取自有格式回函</w:t>
      </w:r>
    </w:p>
    <w:p w14:paraId="0504B7B8">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若被询证单位采用自有格式回函，注册会计师应采取措施以确保审计证据的充分性和适当性。</w:t>
      </w:r>
      <w:r>
        <w:rPr>
          <w:rFonts w:asciiTheme="minorEastAsia" w:hAnsiTheme="minorEastAsia" w:eastAsiaTheme="minorEastAsia" w:cstheme="minorEastAsia"/>
          <w:sz w:val="24"/>
        </w:rPr>
        <w:t xml:space="preserve"> </w:t>
      </w:r>
    </w:p>
    <w:p w14:paraId="590C8865">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1.留存询证函副本</w:t>
      </w:r>
    </w:p>
    <w:p w14:paraId="704E2F21">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注册会计师应提前将所寄发的询证函拍照或扫描留存，作为底稿中函证程序实施的证据之一，以证明所发出的函证内容。</w:t>
      </w:r>
    </w:p>
    <w:p w14:paraId="65052C9E">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2.检查回函完整性</w:t>
      </w:r>
    </w:p>
    <w:p w14:paraId="641AA19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注册会计师应检查自有格式回函文本中是否针对所有函证事项予以回复。对于未全面回复的情况，应按照“仅对部分函证事项予以回复”追加审计程序处理。</w:t>
      </w:r>
    </w:p>
    <w:p w14:paraId="003ED542">
      <w:pPr>
        <w:snapToGrid w:val="0"/>
        <w:spacing w:before="156" w:beforeLines="50"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二、未回函的应对</w:t>
      </w:r>
    </w:p>
    <w:p w14:paraId="695D0F16">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 xml:space="preserve"> 本指引所称未回函，是指被询证者对积极式询证函未予回复或回复不完整，或询证函因未被送达而退回。通常情况下，未回函的原因可能包括被询证者由于地址变更、询证函被中途拦截等原因没有收到询证函，被询证者不存在，被询证者内控制度对回函有相关禁止性规定，被询证者故意不回复等。未回函可能是由于某些客观因素导致而具有一定的合理性，也可能预示财务报表认定层次（账户余额、其他信息）存在重大错报风险（包括舞弊风险），如：账户余额或交易虚假（被询证者不存在）、账户余额严重虚大（询证函被中途拦截、被审计单位与被询证者串通故意不回复）等。</w:t>
      </w:r>
    </w:p>
    <w:p w14:paraId="77C6D6BF">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函证项目未回函的情况下，注册会计师应考虑是否存在未识别的重大错报风险（包括舞弊风险）。如果认为可能存在未识别的重大错报风险，注册会计师应修正认定层次的重大错报风险评估结果（包括舞弊风险）并相应地修改计划的审计程序。如果认为不大可能存在未识别的重大错报风险，注册会计师应对未回函项目采取进一步审计程序。</w:t>
      </w:r>
    </w:p>
    <w:p w14:paraId="36117A61">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（一）检查发函信息并沟通</w:t>
      </w:r>
    </w:p>
    <w:p w14:paraId="5D1D1D57">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注册会计师应首先检查被询证单位的地址、联系方式等发函信息是否正确。</w:t>
      </w:r>
    </w:p>
    <w:p w14:paraId="028396C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与被询证单位沟通，了解是否收到询证函、询证函处理进度、预计回函时间及回函快递单号等信息。</w:t>
      </w:r>
    </w:p>
    <w:p w14:paraId="42D553E8">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（二）催收回函或重新发函</w:t>
      </w:r>
    </w:p>
    <w:p w14:paraId="250635EC">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若因被询证单位工作失误等原因遗漏回函，应催收回函。</w:t>
      </w:r>
    </w:p>
    <w:p w14:paraId="4F7A8FE4">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若被询证单位人员丢失询证函原件</w:t>
      </w:r>
      <w:r>
        <w:rPr>
          <w:rFonts w:asciiTheme="minorEastAsia" w:hAnsiTheme="minorEastAsia" w:eastAsiaTheme="minorEastAsia" w:cstheme="minorEastAsia"/>
          <w:sz w:val="24"/>
        </w:rPr>
        <w:t>/声明未收到邮件，或因询证函格式不符合规定而不予回函，应在核实原因后，按照要求重新发出询证函。</w:t>
      </w:r>
    </w:p>
    <w:p w14:paraId="1B8416DA">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（三）实施替代程序</w:t>
      </w:r>
    </w:p>
    <w:p w14:paraId="4885ED16">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若采取上述措施后仍无法收回询证函，注册会计师应当考虑取得积极式询证函回函是否是获取充分、适当的审计证据的必要程序。如果取得积极式询证函回函是获取充分、适当的审计证据的必要程序，则替代程序不能提供注册会计师所需要的审计证据。在这种情况下，如果未获取回函，注册会计师应当按照《中国注册会计师审计准则第</w:t>
      </w:r>
      <w:r>
        <w:rPr>
          <w:rFonts w:asciiTheme="minorEastAsia" w:hAnsiTheme="minorEastAsia" w:eastAsiaTheme="minorEastAsia" w:cstheme="minorEastAsia"/>
          <w:sz w:val="24"/>
        </w:rPr>
        <w:t xml:space="preserve"> 1502 </w:t>
      </w:r>
      <w:r>
        <w:rPr>
          <w:rFonts w:hint="eastAsia" w:asciiTheme="minorEastAsia" w:hAnsiTheme="minorEastAsia" w:eastAsiaTheme="minorEastAsia" w:cstheme="minorEastAsia"/>
          <w:sz w:val="24"/>
        </w:rPr>
        <w:t>号——在审计报告中发表非无保留意见》的规定，确定其对审计工作和审计意见的影响。</w:t>
      </w:r>
    </w:p>
    <w:p w14:paraId="4F36E948">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如果取得积极式询证函回函不是获取充分、适当的审计证据的必要程序，注册会计师应当实施替代审计程序获取相关、可靠的审计证据。</w:t>
      </w:r>
    </w:p>
    <w:p w14:paraId="388B6307">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在实施替代程序时，注册会计师应对所有未回函的样本项目实施替代程序，而不能选取部分未回函样本项目实施替代程序。例如，对于应收账款函证，注册会计师选择被审计单位的应收账款明细账户发送了</w:t>
      </w:r>
      <w:r>
        <w:rPr>
          <w:rFonts w:asciiTheme="minorEastAsia" w:hAnsiTheme="minorEastAsia" w:eastAsiaTheme="minorEastAsia" w:cstheme="minorEastAsia"/>
          <w:sz w:val="24"/>
        </w:rPr>
        <w:t>60份函证，并收回了40份函证，则注册会计师需要对未回函的20份函证都实施替代程序，而不能仅抽取其中部分未回函的样本项目实施替代程序。</w:t>
      </w:r>
    </w:p>
    <w:p w14:paraId="5C75D92A">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（四）替代程序的具体措施举例</w:t>
      </w:r>
    </w:p>
    <w:p w14:paraId="1833891F">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替代程序需包含对交易过程和结果的验证。过程验证替代指通过验证交易发生的全流程，确认账户余额或交易的真实性、完整性及权利义务归属。结果验证替代指通过直接核查账户余额或交易结果的准确性，验证财务信息的可靠性。下面以应收账款和应付账款为例说明替代程序的具体措施。​</w:t>
      </w:r>
    </w:p>
    <w:p w14:paraId="055497EB">
      <w:pPr>
        <w:snapToGrid w:val="0"/>
        <w:spacing w:line="360" w:lineRule="auto"/>
        <w:ind w:firstLine="482" w:firstLineChars="200"/>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1.应收账款</w:t>
      </w:r>
    </w:p>
    <w:p w14:paraId="14010871">
      <w:pPr>
        <w:numPr>
          <w:ilvl w:val="0"/>
          <w:numId w:val="7"/>
        </w:num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过程验证替代</w:t>
      </w:r>
    </w:p>
    <w:p w14:paraId="12FB1A7A">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检查销售合同、订单、出库单、物流签收记录等交易支持性文件，确认未回函客户的交易是否真实存在；核对客户信用审批记录及发货审批流程，验证交易是否经过适当授权；分析应收账款账龄与历史回款记录的匹配性。</w:t>
      </w:r>
    </w:p>
    <w:p w14:paraId="1A72906E">
      <w:pPr>
        <w:numPr>
          <w:ilvl w:val="0"/>
          <w:numId w:val="8"/>
        </w:num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结果验证替代</w:t>
      </w:r>
    </w:p>
    <w:p w14:paraId="17501406">
      <w:pPr>
        <w:numPr>
          <w:ilvl w:val="255"/>
          <w:numId w:val="0"/>
        </w:num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核对账务记录，比对总账、明细账与原始凭证的金额一致性；检查期后回款，核查资产负债表日后相应收款单据或记录（例如现金收据、银行进账单、银行对账单等），验证期末余额的存在性及可收回性。</w:t>
      </w:r>
    </w:p>
    <w:p w14:paraId="5C29BBFB">
      <w:pPr>
        <w:snapToGrid w:val="0"/>
        <w:spacing w:line="360" w:lineRule="auto"/>
        <w:ind w:firstLine="482" w:firstLineChars="200"/>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2.应付账款</w:t>
      </w:r>
    </w:p>
    <w:p w14:paraId="26307FF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1）过程验证替代</w:t>
      </w:r>
    </w:p>
    <w:p w14:paraId="0247DFA2">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检查采购订单、验收单、发票及付款审批记录等采购流程文件，确认未回函客户的交易是否真实存在；核对供应商对账单与应付账款明细账，验证入账金额准确性。</w:t>
      </w:r>
    </w:p>
    <w:p w14:paraId="0302B934">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2）结果验证替代</w:t>
      </w:r>
    </w:p>
    <w:p w14:paraId="261D11F0">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核对账务记录，比对总账、明细账与供应商发票、验收单的一致性；检查期后付款，核查资产负债表日后实际付款记录，验证应付账款余额准确性。</w:t>
      </w:r>
    </w:p>
    <w:p w14:paraId="4F6CD35E">
      <w:pPr>
        <w:snapToGrid w:val="0"/>
        <w:spacing w:line="360" w:lineRule="auto"/>
        <w:ind w:firstLine="482" w:firstLineChars="200"/>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3.注意事项</w:t>
      </w:r>
    </w:p>
    <w:p w14:paraId="4DAD55C3">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若无法明确应收账款、应付账款余额与具体交易的对应关系，注册会计师可能需要扩大检查范围，根据实际情况确定检查比例，并在审计工作底稿中详细记录检查样本量的确定依据及审计抽样选样方法。</w:t>
      </w:r>
      <w:r>
        <w:rPr>
          <w:rFonts w:asciiTheme="minorEastAsia" w:hAnsiTheme="minorEastAsia" w:eastAsiaTheme="minorEastAsia" w:cstheme="minorEastAsia"/>
          <w:sz w:val="24"/>
        </w:rPr>
        <w:t xml:space="preserve"> </w:t>
      </w:r>
    </w:p>
    <w:p w14:paraId="73629A99">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若无法获取关键支持性文件（如缺失出库单或验收单），需评估审计风险并考虑扩大样本量或追加程序；替代程序无法完全替代函证，若发现重大差异或异常，需考虑发表非无保留意见。</w:t>
      </w:r>
    </w:p>
    <w:p w14:paraId="1BC1E360">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（五）关注舞弊迹象</w:t>
      </w:r>
    </w:p>
    <w:p w14:paraId="510C5006">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在实施替代程序的过程中，注册会计师必须保持警觉，特别关注可能表明舞弊的迹象。</w:t>
      </w:r>
    </w:p>
    <w:p w14:paraId="0227ECA5">
      <w:pPr>
        <w:snapToGrid w:val="0"/>
        <w:spacing w:line="360" w:lineRule="auto"/>
        <w:ind w:firstLine="482" w:firstLineChars="200"/>
        <w:rPr>
          <w:rFonts w:asciiTheme="minorEastAsia" w:hAnsiTheme="minorEastAsia" w:eastAsiaTheme="minorEastAsia" w:cstheme="minorEastAsia"/>
          <w:sz w:val="24"/>
        </w:rPr>
      </w:pPr>
      <w:r>
        <w:rPr>
          <w:rFonts w:asciiTheme="minorEastAsia" w:hAnsiTheme="minorEastAsia" w:eastAsiaTheme="minorEastAsia" w:cstheme="minorEastAsia"/>
          <w:b/>
          <w:bCs/>
          <w:sz w:val="24"/>
        </w:rPr>
        <w:t>1.注重第三方证据的获取。</w:t>
      </w:r>
      <w:r>
        <w:rPr>
          <w:rFonts w:asciiTheme="minorEastAsia" w:hAnsiTheme="minorEastAsia" w:eastAsiaTheme="minorEastAsia" w:cstheme="minorEastAsia"/>
          <w:sz w:val="24"/>
        </w:rPr>
        <w:t>例如，对应收账款实施替代程序时，注册会计师可以获取相关交易涉及的外部物流单位开具的物流或货运单据（如适用）、经被审计单位的客户签字确认的签收单（如适用）或其他外部支持性文件等审计证据，而不仅依赖被审计单位内部的出库单或发票等内部支持性文件。</w:t>
      </w:r>
    </w:p>
    <w:p w14:paraId="36F0AA33">
      <w:pPr>
        <w:snapToGrid w:val="0"/>
        <w:spacing w:line="360" w:lineRule="auto"/>
        <w:ind w:firstLine="482" w:firstLineChars="200"/>
        <w:rPr>
          <w:rFonts w:asciiTheme="minorEastAsia" w:hAnsiTheme="minorEastAsia" w:eastAsiaTheme="minorEastAsia" w:cstheme="minorEastAsia"/>
          <w:sz w:val="24"/>
        </w:rPr>
      </w:pPr>
      <w:r>
        <w:rPr>
          <w:rFonts w:asciiTheme="minorEastAsia" w:hAnsiTheme="minorEastAsia" w:eastAsiaTheme="minorEastAsia" w:cstheme="minorEastAsia"/>
          <w:b/>
          <w:bCs/>
          <w:sz w:val="24"/>
        </w:rPr>
        <w:t>2.在检查相关支持性文件时，对可能的异常情况予以关注和跟进。</w:t>
      </w:r>
      <w:r>
        <w:rPr>
          <w:rFonts w:asciiTheme="minorEastAsia" w:hAnsiTheme="minorEastAsia" w:eastAsiaTheme="minorEastAsia" w:cstheme="minorEastAsia"/>
          <w:sz w:val="24"/>
        </w:rPr>
        <w:t>这些异常</w:t>
      </w:r>
      <w:r>
        <w:rPr>
          <w:rFonts w:hint="eastAsia" w:asciiTheme="minorEastAsia" w:hAnsiTheme="minorEastAsia" w:eastAsiaTheme="minorEastAsia" w:cstheme="minorEastAsia"/>
          <w:sz w:val="24"/>
        </w:rPr>
        <w:t>情况可能包括但不限于交易金额异常、交易对手方频繁变更、交易时间不符合常理等。</w:t>
      </w:r>
    </w:p>
    <w:p w14:paraId="0B816BA7">
      <w:pPr>
        <w:snapToGrid w:val="0"/>
        <w:spacing w:before="156" w:beforeLines="50"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三、函证程序的总体评价</w:t>
      </w:r>
    </w:p>
    <w:p w14:paraId="5CC45A0B">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（一）总体评价原则</w:t>
      </w:r>
    </w:p>
    <w:p w14:paraId="338C80EB">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1.相关性与可靠性评估</w:t>
      </w:r>
    </w:p>
    <w:p w14:paraId="09CA9C33">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注册会计师应评价函证程序（包括替代程序）是否提供了与认定相关且可靠的审计证据。这要求审计证据能够支持财务报表中的相关认定，且其来源和收集过程应保证证据的真实性和准确性。</w:t>
      </w:r>
    </w:p>
    <w:p w14:paraId="6CD6D443">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2.检查风险降低程度</w:t>
      </w:r>
    </w:p>
    <w:p w14:paraId="639C6EA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注册会计师应评估通过函证程序所获取的审计证据是否将检查风险降至可接受的水平。如果审计证据不足以降低检查风险至可接受水平，注册会计师应考虑实施额外的审计程序以获取更多证据。</w:t>
      </w:r>
    </w:p>
    <w:p w14:paraId="38935A30">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3.替代程序的考量</w:t>
      </w:r>
    </w:p>
    <w:p w14:paraId="2A006B1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当函证过程和其替代程序未能提供充分、适当的审计证据时，注册会计师应设计并执行其他程序以获取所需证据。特别地，如果取得询证函回函是获取充分、适当审计证据的必要程序，而替代程序无法应对认定层次的重大错报风险，注册会计师应充分考虑其对审计工作和审计意见的影响。</w:t>
      </w:r>
    </w:p>
    <w:p w14:paraId="037D497A">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（二）具体评价内容</w:t>
      </w:r>
    </w:p>
    <w:p w14:paraId="67BDB714">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在评价函证程序结果时，注册会计师可以关注以下几个方面：</w:t>
      </w:r>
    </w:p>
    <w:p w14:paraId="48D74FBD">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1.函证和替代程序的可靠性</w:t>
      </w:r>
    </w:p>
    <w:p w14:paraId="5390F1F3">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注册会计师应评估函证程序和替代程序的设计和执行情况，确保其能够有效收集相关、可靠的审计证据。这包括评估被询证者的适当性、回函的真实性和完整性等。</w:t>
      </w:r>
    </w:p>
    <w:p w14:paraId="7E59B56E">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评估函证程序可靠性时，注册会计师除了考虑指引已经提及的常规情况外，还应关注以下因素：不正常的回函率（如异常偏高、偏低或完全一致），被询证单位与被审计单位之间可能存在的独立性问题（如经济依赖、职责分离不当），以及管理层对函证程序的干预行为（如不允许寄发、试图拦截或篡改询证函）。此外，若在审计报告日后收到可能影响审计意见的回函，注册会计师需遵循执业规程中关于期后事项的规定，采取适当措施应对。</w:t>
      </w:r>
    </w:p>
    <w:p w14:paraId="4AF17E60">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2.例外事项的分析</w:t>
      </w:r>
    </w:p>
    <w:p w14:paraId="059ACACB">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对于函证过程中出现的任何例外事项（如不符事项、未回函等），注册会计师应深入分析其性质、频率、原因以及对审计意见的影响。</w:t>
      </w:r>
    </w:p>
    <w:p w14:paraId="68C28A5A">
      <w:pPr>
        <w:snapToGrid w:val="0"/>
        <w:spacing w:line="360" w:lineRule="auto"/>
        <w:ind w:firstLine="482" w:firstLineChars="200"/>
        <w:outlineLvl w:val="4"/>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3.其他审计证据的补充</w:t>
      </w:r>
    </w:p>
    <w:p w14:paraId="413BA20C">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注册会计师应考虑通过其他审计程序（如检查、观察、询问等）获取的审计证据，以补充和验证函证程序的结果。这有助于增强审计证据的多样性和可靠性，提高审计意见的准确性。</w:t>
      </w:r>
    </w:p>
    <w:p w14:paraId="31E212F6">
      <w:pPr>
        <w:snapToGrid w:val="0"/>
        <w:spacing w:before="156" w:beforeLines="50"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四、常见错误或风险</w:t>
      </w:r>
    </w:p>
    <w:p w14:paraId="25781DB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在函证结果评价过程中，注册会计师需警惕可能的错误或风险，包括但不限于：</w:t>
      </w:r>
    </w:p>
    <w:p w14:paraId="3452DC53">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（一）未关注回函信息不完整或限制性条款</w:t>
      </w:r>
    </w:p>
    <w:p w14:paraId="4C609093">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回函内容不完整或包含影响回函可靠性的免责或其他限制性条款，注册会计师未予以关注和应对，可能导致审计证据不足以支持审计结论。</w:t>
      </w:r>
    </w:p>
    <w:p w14:paraId="378A9133">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（二）未充分调查回函不符事项</w:t>
      </w:r>
    </w:p>
    <w:p w14:paraId="088F3709">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对于银行回函中存在的不符事项，如账户信息、金额、利率和期限等，未予充分关注和进一步调查，可能遗漏识别错报或舞弊的机会。</w:t>
      </w:r>
    </w:p>
    <w:p w14:paraId="010C7326">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（三）未关注往来款函证金额差异</w:t>
      </w:r>
    </w:p>
    <w:p w14:paraId="4419D0E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在往来款函证中，若回函金额与被审计单位记录存在差异，注册会计师应关注并核实差异原因。若仅因为差异金额小且低于重要性水平而未进行深入追查，可能未能发现潜在的重大错报。</w:t>
      </w:r>
    </w:p>
    <w:p w14:paraId="29C67B18">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（四）未重新评估新证据与回函不符的情况</w:t>
      </w:r>
    </w:p>
    <w:p w14:paraId="66492863">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当获取的新审计证据与回函信息不符时，未对函证结果进行重新评价，可能影响审计结论的准确性。</w:t>
      </w:r>
    </w:p>
    <w:p w14:paraId="5C02DDFA">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（五）未妥善处理自有格式回函或内容删减</w:t>
      </w:r>
    </w:p>
    <w:p w14:paraId="5548E862">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当被函证单位以自有格式回函或删减询证函内容时，未予以关注和进一步处理，可能导致审计证据不完整。</w:t>
      </w:r>
    </w:p>
    <w:p w14:paraId="207AE246">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（六）未全面执行替代程序</w:t>
      </w:r>
    </w:p>
    <w:p w14:paraId="583ED033">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在未收到回函时，注册会计师未对所有未回函的样本项目实施替代程序，仅选取部分未回函样本项目实施替代程序。</w:t>
      </w:r>
    </w:p>
    <w:p w14:paraId="16698AFB">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（七）回函晚于审计报告日未采取替代措施</w:t>
      </w:r>
    </w:p>
    <w:p w14:paraId="61CAD49A">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对于回函日期晚于审计报告日的情况，未执行替代程序或未在工作底稿中记录。</w:t>
      </w:r>
    </w:p>
    <w:p w14:paraId="2B42F3D9">
      <w:pPr>
        <w:snapToGrid w:val="0"/>
        <w:spacing w:line="360" w:lineRule="auto"/>
        <w:ind w:firstLine="482" w:firstLineChars="200"/>
        <w:outlineLvl w:val="3"/>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（八）未完整保存询证函原件</w:t>
      </w:r>
    </w:p>
    <w:p w14:paraId="643ED787">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询证函回函原件未及时归档，导致丢失；随意销毁回函不符的询证函回函，导致审计证据链不完整。</w:t>
      </w:r>
    </w:p>
    <w:p w14:paraId="559D8C42">
      <w:pPr>
        <w:snapToGrid w:val="0"/>
        <w:spacing w:before="156" w:beforeLines="50" w:after="156" w:afterLines="50"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五、函证结果评价工作底稿</w:t>
      </w:r>
    </w:p>
    <w:p w14:paraId="16F18B4C">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在执行函证程序并评价其结果后，注册会计师必须在相关工作底稿中作详细记录，常见工作底稿包括但不限于：</w:t>
      </w:r>
    </w:p>
    <w:p w14:paraId="458A2BC8">
      <w:pPr>
        <w:snapToGrid w:val="0"/>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（一）函证过程控制及结果汇总表</w:t>
      </w:r>
    </w:p>
    <w:p w14:paraId="7246C2DA">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 xml:space="preserve"> 记录函证结果， 汇总回函相符确认的金额和比例，以及对未回函或不符事项采取的进一步行动。</w:t>
      </w:r>
    </w:p>
    <w:p w14:paraId="1D0CF2D9">
      <w:pPr>
        <w:snapToGrid w:val="0"/>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（二）函证结果调节表</w:t>
      </w:r>
    </w:p>
    <w:p w14:paraId="74A3F2C2">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对于回函中存在的不符事项，注册会计师应编制《函证结果调节表》，记录对不符事项的调查过程，包括不符的原因、性质、频率和金额。对由于入账时间以及记账错误所导致的差异编制《差异调节表》。</w:t>
      </w:r>
    </w:p>
    <w:p w14:paraId="422ACFCE">
      <w:pPr>
        <w:snapToGrid w:val="0"/>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（三）沟通记录</w:t>
      </w:r>
      <w:r>
        <w:rPr>
          <w:rFonts w:asciiTheme="minorEastAsia" w:hAnsiTheme="minorEastAsia" w:eastAsiaTheme="minorEastAsia" w:cstheme="minorEastAsia"/>
          <w:b/>
          <w:bCs/>
          <w:sz w:val="24"/>
        </w:rPr>
        <w:t xml:space="preserve"> </w:t>
      </w:r>
    </w:p>
    <w:p w14:paraId="643727BA">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如果与被询证银行或单位进行了沟通，记录沟通的过程和结论，包括电话沟通、现场询问或电子邮件往来。</w:t>
      </w:r>
    </w:p>
    <w:p w14:paraId="5BEA328F">
      <w:pPr>
        <w:snapToGrid w:val="0"/>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（四）替代程序记录</w:t>
      </w:r>
    </w:p>
    <w:p w14:paraId="229AF27C">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在相关项目的“替代测试汇总表”和“替代测试表”中记录已实施的替代程序，以及通过这些程序获取的审计证据。记录因未收到回函或回函不充分而采取的替代程序，以及这些程序的结果和对审计结论的影响。</w:t>
      </w:r>
      <w:r>
        <w:rPr>
          <w:rFonts w:asciiTheme="minorEastAsia" w:hAnsiTheme="minorEastAsia" w:eastAsiaTheme="minorEastAsia" w:cstheme="minorEastAsia"/>
          <w:sz w:val="24"/>
        </w:rPr>
        <w:t xml:space="preserve"> </w:t>
      </w:r>
    </w:p>
    <w:p w14:paraId="209C0DCA">
      <w:pPr>
        <w:snapToGrid w:val="0"/>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（五）函证结果的评价</w:t>
      </w:r>
    </w:p>
    <w:p w14:paraId="004B1CCC">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在相关项目工作底稿中记录对函证程序结果的评价。</w:t>
      </w:r>
    </w:p>
    <w:p w14:paraId="11D7C45A">
      <w:pPr>
        <w:snapToGrid w:val="0"/>
        <w:spacing w:line="360" w:lineRule="auto"/>
        <w:ind w:firstLine="480" w:firstLineChars="200"/>
        <w:rPr>
          <w:rFonts w:asciiTheme="minorEastAsia" w:hAnsiTheme="minorEastAsia" w:eastAsiaTheme="minorEastAsia" w:cstheme="minorEastAsia"/>
          <w:sz w:val="24"/>
        </w:rPr>
      </w:pPr>
    </w:p>
    <w:p w14:paraId="5FB9DDB5">
      <w:pPr>
        <w:snapToGrid w:val="0"/>
        <w:spacing w:line="360" w:lineRule="auto"/>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br w:type="page"/>
      </w:r>
    </w:p>
    <w:p w14:paraId="1138628D">
      <w:pPr>
        <w:spacing w:line="360" w:lineRule="auto"/>
        <w:jc w:val="center"/>
        <w:outlineLvl w:val="0"/>
        <w:rPr>
          <w:rFonts w:ascii="方正小标宋简体" w:hAnsi="方正小标宋简体" w:eastAsia="方正小标宋简体" w:cs="方正小标宋简体"/>
          <w:sz w:val="30"/>
          <w:szCs w:val="30"/>
        </w:rPr>
      </w:pPr>
      <w:bookmarkStart w:id="71" w:name="_Toc11339"/>
      <w:r>
        <w:rPr>
          <w:rFonts w:hint="eastAsia" w:ascii="方正小标宋简体" w:hAnsi="方正小标宋简体" w:eastAsia="方正小标宋简体" w:cs="方正小标宋简体"/>
          <w:sz w:val="30"/>
          <w:szCs w:val="30"/>
        </w:rPr>
        <w:t>第五章  记录和报告</w:t>
      </w:r>
      <w:bookmarkEnd w:id="71"/>
    </w:p>
    <w:p w14:paraId="6B1EE8D3">
      <w:pPr>
        <w:snapToGrid w:val="0"/>
        <w:spacing w:line="360" w:lineRule="auto"/>
        <w:ind w:firstLine="482" w:firstLineChars="200"/>
        <w:rPr>
          <w:rFonts w:asciiTheme="minorEastAsia" w:hAnsiTheme="minorEastAsia" w:cstheme="minorEastAsia"/>
          <w:b/>
          <w:bCs/>
          <w:sz w:val="24"/>
        </w:rPr>
      </w:pPr>
    </w:p>
    <w:p w14:paraId="2250B10A">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color w:val="auto"/>
          <w:sz w:val="24"/>
        </w:rPr>
        <w:t>函证操作流程全过程的记录、整理及归档</w:t>
      </w:r>
      <w:r>
        <w:rPr>
          <w:rFonts w:hint="eastAsia" w:asciiTheme="minorEastAsia" w:hAnsiTheme="minorEastAsia" w:eastAsiaTheme="minorEastAsia" w:cstheme="minorEastAsia"/>
          <w:sz w:val="24"/>
        </w:rPr>
        <w:t>为注册会计师按照审计准则的规定执行审计工作提供了证据。注册会计师应当对实施的函证程序进行记录，及时形成审计工作底稿，为评价注册会计师</w:t>
      </w:r>
      <w:r>
        <w:rPr>
          <w:rFonts w:hint="eastAsia" w:asciiTheme="minorEastAsia" w:hAnsiTheme="minorEastAsia" w:eastAsiaTheme="minorEastAsia" w:cstheme="minorEastAsia"/>
          <w:color w:val="auto"/>
          <w:sz w:val="24"/>
        </w:rPr>
        <w:t>就函证事项</w:t>
      </w:r>
      <w:r>
        <w:rPr>
          <w:rFonts w:hint="eastAsia" w:asciiTheme="minorEastAsia" w:hAnsiTheme="minorEastAsia" w:eastAsiaTheme="minorEastAsia" w:cstheme="minorEastAsia"/>
          <w:sz w:val="24"/>
        </w:rPr>
        <w:t>是否勤勉尽责执行审计程序提供证据。同时，注册会计师应当审慎考虑实施函证程序获取的审计证据是否充分、适当、可靠，为发表审计意见提供基础。</w:t>
      </w:r>
    </w:p>
    <w:p w14:paraId="4D275DA5">
      <w:pPr>
        <w:snapToGrid w:val="0"/>
        <w:spacing w:line="360" w:lineRule="auto"/>
        <w:ind w:firstLine="482" w:firstLineChars="200"/>
        <w:outlineLvl w:val="1"/>
        <w:rPr>
          <w:rFonts w:asciiTheme="minorEastAsia" w:hAnsiTheme="minorEastAsia" w:eastAsiaTheme="minorEastAsia" w:cstheme="minorEastAsia"/>
          <w:b/>
          <w:bCs/>
          <w:sz w:val="24"/>
        </w:rPr>
      </w:pPr>
      <w:bookmarkStart w:id="72" w:name="_Toc16758"/>
      <w:bookmarkStart w:id="73" w:name="_Toc6611"/>
      <w:bookmarkStart w:id="74" w:name="_Toc26606"/>
      <w:r>
        <w:rPr>
          <w:rFonts w:hint="eastAsia" w:asciiTheme="minorEastAsia" w:hAnsiTheme="minorEastAsia" w:eastAsiaTheme="minorEastAsia" w:cstheme="minorEastAsia"/>
          <w:b/>
          <w:bCs/>
          <w:sz w:val="24"/>
        </w:rPr>
        <w:t>一、审计记录</w:t>
      </w:r>
      <w:bookmarkEnd w:id="72"/>
      <w:bookmarkEnd w:id="73"/>
      <w:bookmarkEnd w:id="74"/>
    </w:p>
    <w:p w14:paraId="734D29CD">
      <w:pPr>
        <w:snapToGrid w:val="0"/>
        <w:spacing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（一）记录要求</w:t>
      </w:r>
    </w:p>
    <w:p w14:paraId="262AC3C8">
      <w:pPr>
        <w:snapToGrid w:val="0"/>
        <w:spacing w:line="360" w:lineRule="auto"/>
        <w:ind w:firstLine="482" w:firstLineChars="200"/>
        <w:rPr>
          <w:rFonts w:asciiTheme="minorEastAsia" w:hAnsiTheme="minorEastAsia" w:eastAsiaTheme="minorEastAsia" w:cstheme="minorEastAsia"/>
          <w:sz w:val="24"/>
        </w:rPr>
      </w:pPr>
      <w:r>
        <w:rPr>
          <w:rFonts w:asciiTheme="minorEastAsia" w:hAnsiTheme="minorEastAsia" w:eastAsiaTheme="minorEastAsia" w:cstheme="minorEastAsia"/>
          <w:b/>
          <w:bCs/>
          <w:sz w:val="24"/>
        </w:rPr>
        <w:t>1.存档与索引。</w:t>
      </w:r>
      <w:r>
        <w:rPr>
          <w:rFonts w:asciiTheme="minorEastAsia" w:hAnsiTheme="minorEastAsia" w:eastAsiaTheme="minorEastAsia" w:cstheme="minorEastAsia"/>
          <w:sz w:val="24"/>
        </w:rPr>
        <w:t>所有的回函及函证控制外部证据均应完整存档，并正确建立索引。对于未获回复的询证函，其跟进工作及相关解释也应详细记录。</w:t>
      </w:r>
    </w:p>
    <w:p w14:paraId="0927F65E">
      <w:pPr>
        <w:snapToGrid w:val="0"/>
        <w:spacing w:line="360" w:lineRule="auto"/>
        <w:ind w:firstLine="482" w:firstLineChars="200"/>
        <w:rPr>
          <w:rFonts w:asciiTheme="minorEastAsia" w:hAnsiTheme="minorEastAsia" w:eastAsiaTheme="minorEastAsia" w:cstheme="minorEastAsia"/>
          <w:sz w:val="24"/>
        </w:rPr>
      </w:pPr>
      <w:r>
        <w:rPr>
          <w:rFonts w:asciiTheme="minorEastAsia" w:hAnsiTheme="minorEastAsia" w:eastAsiaTheme="minorEastAsia" w:cstheme="minorEastAsia"/>
          <w:b/>
          <w:bCs/>
          <w:sz w:val="24"/>
        </w:rPr>
        <w:t>2.详细记录函证过程。</w:t>
      </w:r>
      <w:r>
        <w:rPr>
          <w:rFonts w:asciiTheme="minorEastAsia" w:hAnsiTheme="minorEastAsia" w:eastAsiaTheme="minorEastAsia" w:cstheme="minorEastAsia"/>
          <w:sz w:val="24"/>
        </w:rPr>
        <w:t>将函证样本量的确定过程、收发函的控制全过程、函证结果评价等关键信息详细记录在工作底稿中。</w:t>
      </w:r>
    </w:p>
    <w:p w14:paraId="7B7C62E5">
      <w:pPr>
        <w:snapToGrid w:val="0"/>
        <w:spacing w:line="360" w:lineRule="auto"/>
        <w:ind w:firstLine="482" w:firstLineChars="200"/>
        <w:rPr>
          <w:rFonts w:asciiTheme="minorEastAsia" w:hAnsiTheme="minorEastAsia" w:eastAsiaTheme="minorEastAsia" w:cstheme="minorEastAsia"/>
          <w:sz w:val="24"/>
        </w:rPr>
      </w:pPr>
      <w:r>
        <w:rPr>
          <w:rFonts w:asciiTheme="minorEastAsia" w:hAnsiTheme="minorEastAsia" w:eastAsiaTheme="minorEastAsia" w:cstheme="minorEastAsia"/>
          <w:b/>
          <w:bCs/>
          <w:sz w:val="24"/>
        </w:rPr>
        <w:t>3.索引号对应。</w:t>
      </w:r>
      <w:r>
        <w:rPr>
          <w:rFonts w:asciiTheme="minorEastAsia" w:hAnsiTheme="minorEastAsia" w:eastAsiaTheme="minorEastAsia" w:cstheme="minorEastAsia"/>
          <w:sz w:val="24"/>
        </w:rPr>
        <w:t>函证形成的各项底稿中所记录的索引号应与审计证据一一对应。例如，函证结果汇总表中的回函索引号应与回函原件的索引号相匹配，收发函控制底稿中记录的索引号也应与支持性证据的索引号一一对应。</w:t>
      </w:r>
    </w:p>
    <w:p w14:paraId="3B6E5FE6">
      <w:pPr>
        <w:snapToGrid w:val="0"/>
        <w:spacing w:line="360" w:lineRule="auto"/>
        <w:ind w:firstLine="482" w:firstLineChars="200"/>
        <w:rPr>
          <w:rFonts w:asciiTheme="minorEastAsia" w:hAnsiTheme="minorEastAsia" w:eastAsiaTheme="minorEastAsia" w:cstheme="minorEastAsia"/>
          <w:sz w:val="24"/>
        </w:rPr>
      </w:pPr>
      <w:r>
        <w:rPr>
          <w:rFonts w:asciiTheme="minorEastAsia" w:hAnsiTheme="minorEastAsia" w:eastAsiaTheme="minorEastAsia" w:cstheme="minorEastAsia"/>
          <w:b/>
          <w:bCs/>
          <w:sz w:val="24"/>
        </w:rPr>
        <w:t>4.审计证据审核。</w:t>
      </w:r>
      <w:r>
        <w:rPr>
          <w:rFonts w:asciiTheme="minorEastAsia" w:hAnsiTheme="minorEastAsia" w:eastAsiaTheme="minorEastAsia" w:cstheme="minorEastAsia"/>
          <w:sz w:val="24"/>
        </w:rPr>
        <w:t>注册会计师应对所获取的审计证据进行认真审核，并形成审核轨迹。</w:t>
      </w:r>
    </w:p>
    <w:p w14:paraId="3B82797C">
      <w:pPr>
        <w:snapToGrid w:val="0"/>
        <w:spacing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（二）记录内容</w:t>
      </w:r>
    </w:p>
    <w:p w14:paraId="2E66D166">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cstheme="minorEastAsia"/>
          <w:sz w:val="24"/>
        </w:rPr>
        <w:t>1.</w:t>
      </w:r>
      <w:r>
        <w:rPr>
          <w:rFonts w:hint="eastAsia" w:asciiTheme="minorEastAsia" w:hAnsiTheme="minorEastAsia" w:eastAsiaTheme="minorEastAsia" w:cstheme="minorEastAsia"/>
          <w:sz w:val="24"/>
        </w:rPr>
        <w:t>记录应包括索引编号、函证项目、被询证者信息、发函和回函状态、不符事项说明等。</w:t>
      </w:r>
    </w:p>
    <w:p w14:paraId="006CF467">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2.函证样本的选择依据和样本量。</w:t>
      </w:r>
    </w:p>
    <w:p w14:paraId="10E25393">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3.发函和回函的控制记录，包括发函日期、回函日期、发函方式、回函方式等。</w:t>
      </w:r>
    </w:p>
    <w:p w14:paraId="60E53EBE">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4.回函结果的汇总，包括相符和不符的回函数量及其分析。</w:t>
      </w:r>
    </w:p>
    <w:p w14:paraId="5A7F8C53">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5.不符事项的调查记录，包括不符原因、采取的进一步审计程序以及调查结果。</w:t>
      </w:r>
    </w:p>
    <w:p w14:paraId="3E4699F6">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6.实施替代程序的记录，包括替代程序的性质、范围和结果。</w:t>
      </w:r>
    </w:p>
    <w:p w14:paraId="4F36C66C">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具体工作底稿详见第四章各函证流程“工作底稿”章节。</w:t>
      </w:r>
    </w:p>
    <w:p w14:paraId="624908DA">
      <w:pPr>
        <w:snapToGrid w:val="0"/>
        <w:spacing w:before="156" w:beforeLines="50" w:after="156" w:afterLines="50" w:line="360" w:lineRule="auto"/>
        <w:ind w:firstLine="482" w:firstLineChars="200"/>
        <w:outlineLvl w:val="1"/>
        <w:rPr>
          <w:rFonts w:asciiTheme="minorEastAsia" w:hAnsiTheme="minorEastAsia" w:eastAsiaTheme="minorEastAsia" w:cstheme="minorEastAsia"/>
          <w:b/>
          <w:bCs/>
          <w:sz w:val="24"/>
        </w:rPr>
      </w:pPr>
      <w:bookmarkStart w:id="75" w:name="_Toc27137"/>
      <w:bookmarkStart w:id="76" w:name="_Toc3671"/>
      <w:bookmarkStart w:id="77" w:name="_Toc6953"/>
      <w:r>
        <w:rPr>
          <w:rFonts w:hint="eastAsia" w:asciiTheme="minorEastAsia" w:hAnsiTheme="minorEastAsia" w:eastAsiaTheme="minorEastAsia" w:cstheme="minorEastAsia"/>
          <w:b/>
          <w:bCs/>
          <w:sz w:val="24"/>
        </w:rPr>
        <w:t>二、审计报告</w:t>
      </w:r>
      <w:bookmarkEnd w:id="75"/>
      <w:bookmarkEnd w:id="76"/>
      <w:bookmarkEnd w:id="77"/>
    </w:p>
    <w:p w14:paraId="2E06D766">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审计报告应根据函证结果和</w:t>
      </w:r>
      <w:r>
        <w:rPr>
          <w:rFonts w:hint="eastAsia" w:asciiTheme="minorEastAsia" w:hAnsiTheme="minorEastAsia" w:eastAsiaTheme="minorEastAsia" w:cstheme="minorEastAsia"/>
          <w:color w:val="auto"/>
          <w:sz w:val="24"/>
        </w:rPr>
        <w:t>函证</w:t>
      </w:r>
      <w:r>
        <w:rPr>
          <w:rFonts w:hint="eastAsia" w:asciiTheme="minorEastAsia" w:hAnsiTheme="minorEastAsia" w:eastAsiaTheme="minorEastAsia" w:cstheme="minorEastAsia"/>
          <w:sz w:val="24"/>
        </w:rPr>
        <w:t>证据的充分性、适当性，对被审计单位的财务报表发表审计意见。注册会计师应当对实施函证程序获取的审计证据进行评价，针对</w:t>
      </w:r>
      <w:r>
        <w:rPr>
          <w:rFonts w:hint="eastAsia" w:asciiTheme="minorEastAsia" w:hAnsiTheme="minorEastAsia" w:eastAsiaTheme="minorEastAsia" w:cstheme="minorEastAsia"/>
          <w:color w:val="auto"/>
          <w:sz w:val="24"/>
        </w:rPr>
        <w:t>函证过程中</w:t>
      </w:r>
      <w:r>
        <w:rPr>
          <w:rFonts w:hint="eastAsia" w:asciiTheme="minorEastAsia" w:hAnsiTheme="minorEastAsia" w:eastAsiaTheme="minorEastAsia" w:cstheme="minorEastAsia"/>
          <w:sz w:val="24"/>
        </w:rPr>
        <w:t>发现的重大错报要求管理层进行更正，并考虑未更正错报对财务报表整体的影响程度，为形成审计意见提供基础。同时，在形成审计意见阶段，注册会计师应当考虑包括但不限于下列与函证相关的报告事项：</w:t>
      </w:r>
    </w:p>
    <w:p w14:paraId="6FA82DE9">
      <w:pPr>
        <w:numPr>
          <w:ilvl w:val="0"/>
          <w:numId w:val="9"/>
        </w:numPr>
        <w:snapToGrid w:val="0"/>
        <w:spacing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针对回函不符的情况</w:t>
      </w:r>
    </w:p>
    <w:p w14:paraId="00753317">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如果函证的结果证实存在重大错报，注册会计师应当要求管理层更正这些错报，并考虑对财务报表整体的影响程度，分别下列情况在审计报告中进行适当披露：</w:t>
      </w:r>
    </w:p>
    <w:p w14:paraId="5F79F87B">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1.如果属于与具体金额（包括财务报表附注中的定量披露）相关的重大错报，注册会计师应当在形成审计意见的基础部分说明并量化该错报的财务影响。如果无法量化财务影响，注册会计师应当在该部分说明这一情况。</w:t>
      </w:r>
    </w:p>
    <w:p w14:paraId="15BAE63B">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2.如果属于与应披露而未披露信息相关的重大错报，注册会计师应当与治理层讨论未披露信息的情况，并在形成审计意见的基础部分描述未披露信息的性质。</w:t>
      </w:r>
    </w:p>
    <w:p w14:paraId="374ED5B2">
      <w:pPr>
        <w:snapToGrid w:val="0"/>
        <w:spacing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（二）针对未取得回函的情况</w:t>
      </w:r>
    </w:p>
    <w:p w14:paraId="6879AC25">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果取得函证回函是获取充分、适当的审计证据的必要程序，则替代程序不能提供注册会计师所需要的审计证据，注册会计师应考虑对审计工作和审计意见的影响。当由于无法获取充分、适当的审计证据而导致发表非无保留意见，注册会计师应当在形成审计意见的基础部分说明无法获取审计证据的原因。如果认为未发现的错报（如存在）对财务报表可能产生的影响重大但不具有广泛性时，注册会计师应当发表保留意见。如果认为未发现的错报（如存在）可能对财务报表产生的影响重大且具有广泛性，以至于发表保留意见不足以反映情况的严重性，注册会计师应当在可行时解除业务约定（除非法律法规禁止），如果在出具审计报告之前解除业务约定被禁止或不可行，应当发表无法表示意见。</w:t>
      </w:r>
    </w:p>
    <w:p w14:paraId="0851CDF6">
      <w:pPr>
        <w:snapToGrid w:val="0"/>
        <w:spacing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（三）针对管理层不允许寄发询证函的情况</w:t>
      </w:r>
    </w:p>
    <w:p w14:paraId="0BA4C309">
      <w:pPr>
        <w:snapToGrid w:val="0"/>
        <w:spacing w:line="360" w:lineRule="auto"/>
        <w:ind w:firstLine="480" w:firstLineChars="200"/>
        <w:rPr>
          <w:rFonts w:asciiTheme="minorEastAsia" w:hAnsiTheme="minorEastAsia" w:cstheme="minorEastAsia"/>
          <w:sz w:val="24"/>
        </w:rPr>
      </w:pPr>
      <w:r>
        <w:rPr>
          <w:rFonts w:hint="eastAsia" w:asciiTheme="minorEastAsia" w:hAnsiTheme="minorEastAsia" w:eastAsiaTheme="minorEastAsia" w:cstheme="minorEastAsia"/>
          <w:sz w:val="24"/>
        </w:rPr>
        <w:t>如果注册会计师认为管理层不允许寄发询证函的原因不合理，或实施替代程序无法获取相关、可靠的审计证据，则应考虑与治理层进行沟通以及确定对审计工作和审计意见的影响。当由于无法获取充分、适当的审计证据而导致发表非无保留意见，注册会计师应当在形成审计意见的基础部分说明无法获取审计证据的原因。如果认为未发现的错报（如存在）对财务报表可能产生的影响重大但不具有广泛性时，注册会计师应当发表保留意见。如果认为未发现的错报（如存在）可能对财务报表产生的影响重大且具有广泛性，以至于发表保留意见不足以反映情况的严重性，注册会计师应当在可行时解除业务约定（除非法律法规禁止），如果在出具审计报告之前解除业务约定被禁止或不可行，应当发表无法表示意见。</w:t>
      </w:r>
    </w:p>
    <w:p w14:paraId="21A9B742">
      <w:pPr>
        <w:spacing w:line="240" w:lineRule="auto"/>
        <w:ind w:firstLine="0" w:firstLineChars="0"/>
        <w:rPr>
          <w:rFonts w:asciiTheme="minorEastAsia" w:hAnsiTheme="minorEastAsia" w:cstheme="minorEastAsia"/>
          <w:sz w:val="24"/>
        </w:rPr>
      </w:pPr>
      <w:r>
        <w:rPr>
          <w:rFonts w:hint="eastAsia" w:asciiTheme="minorEastAsia" w:hAnsiTheme="minorEastAsia" w:cstheme="minorEastAsia"/>
          <w:sz w:val="24"/>
        </w:rPr>
        <w:br w:type="page"/>
      </w:r>
    </w:p>
    <w:p w14:paraId="1E7DBCDE">
      <w:pPr>
        <w:spacing w:line="360" w:lineRule="auto"/>
        <w:jc w:val="center"/>
        <w:outlineLvl w:val="0"/>
        <w:rPr>
          <w:rFonts w:ascii="方正小标宋简体" w:hAnsi="方正小标宋简体" w:eastAsia="方正小标宋简体" w:cs="方正小标宋简体"/>
          <w:sz w:val="30"/>
          <w:szCs w:val="30"/>
        </w:rPr>
      </w:pPr>
      <w:bookmarkStart w:id="78" w:name="_Toc19660"/>
      <w:r>
        <w:rPr>
          <w:rFonts w:hint="eastAsia" w:ascii="方正小标宋简体" w:hAnsi="方正小标宋简体" w:eastAsia="方正小标宋简体" w:cs="方正小标宋简体"/>
          <w:sz w:val="30"/>
          <w:szCs w:val="30"/>
        </w:rPr>
        <w:t>第六章  银行函证和企业往来函证外其他事项函证的特殊考虑</w:t>
      </w:r>
      <w:bookmarkEnd w:id="78"/>
    </w:p>
    <w:p w14:paraId="75767C50">
      <w:pPr>
        <w:numPr>
          <w:ilvl w:val="255"/>
          <w:numId w:val="0"/>
        </w:numPr>
        <w:snapToGrid w:val="0"/>
        <w:spacing w:line="360" w:lineRule="auto"/>
        <w:outlineLvl w:val="9"/>
        <w:rPr>
          <w:rFonts w:asciiTheme="minorEastAsia" w:hAnsiTheme="minorEastAsia" w:eastAsiaTheme="minorEastAsia" w:cstheme="minorEastAsia"/>
          <w:b/>
          <w:bCs/>
          <w:sz w:val="24"/>
        </w:rPr>
      </w:pPr>
    </w:p>
    <w:p w14:paraId="7440A711">
      <w:pPr>
        <w:snapToGrid w:val="0"/>
        <w:spacing w:line="360" w:lineRule="auto"/>
        <w:ind w:firstLine="482" w:firstLineChars="200"/>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第一节</w:t>
      </w:r>
      <w:r>
        <w:rPr>
          <w:rFonts w:hint="eastAsia" w:asciiTheme="minorEastAsia" w:hAnsiTheme="minorEastAsia" w:cstheme="minorEastAsia"/>
          <w:b/>
          <w:bCs/>
          <w:sz w:val="24"/>
        </w:rPr>
        <w:t xml:space="preserve">  </w:t>
      </w:r>
      <w:r>
        <w:rPr>
          <w:rFonts w:hint="eastAsia" w:asciiTheme="minorEastAsia" w:hAnsiTheme="minorEastAsia" w:eastAsiaTheme="minorEastAsia" w:cstheme="minorEastAsia"/>
          <w:b/>
          <w:bCs/>
          <w:sz w:val="24"/>
        </w:rPr>
        <w:t>其他事项函证程序的特殊考虑</w:t>
      </w:r>
    </w:p>
    <w:p w14:paraId="6349DD78">
      <w:pPr>
        <w:snapToGrid w:val="0"/>
        <w:spacing w:line="360" w:lineRule="auto"/>
        <w:ind w:firstLine="480" w:firstLineChars="200"/>
        <w:rPr>
          <w:rFonts w:asciiTheme="minorEastAsia" w:hAnsiTheme="minorEastAsia" w:cstheme="minorEastAsia"/>
          <w:sz w:val="24"/>
        </w:rPr>
      </w:pPr>
    </w:p>
    <w:p w14:paraId="40520C91">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除了常见的银行函证和企业往来函证外，对其他事项的函证也具有重要意义，</w:t>
      </w:r>
      <w:r>
        <w:rPr>
          <w:rFonts w:hint="eastAsia" w:asciiTheme="minorEastAsia" w:hAnsiTheme="minorEastAsia" w:eastAsiaTheme="minorEastAsia" w:cstheme="minorEastAsia"/>
          <w:color w:val="auto"/>
          <w:sz w:val="24"/>
        </w:rPr>
        <w:t>其他事项包括但不限于投资、贷款、发出商品、收入、采购、完工进度等，</w:t>
      </w:r>
      <w:r>
        <w:rPr>
          <w:rFonts w:hint="eastAsia" w:asciiTheme="minorEastAsia" w:hAnsiTheme="minorEastAsia" w:eastAsiaTheme="minorEastAsia" w:cstheme="minorEastAsia"/>
          <w:sz w:val="24"/>
        </w:rPr>
        <w:t>由于这些事项的多样性和复杂性，在函证过程中需要注册会计师给予特殊的关注和考虑，以确保审计证据的可靠性和充分性。本章仅以个别其他事项举例分析，更多的内容可详见“附录</w:t>
      </w:r>
      <w:r>
        <w:rPr>
          <w:rFonts w:asciiTheme="minorEastAsia" w:hAnsiTheme="minorEastAsia" w:eastAsiaTheme="minorEastAsia" w:cstheme="minorEastAsia"/>
          <w:sz w:val="24"/>
        </w:rPr>
        <w:t xml:space="preserve">2 </w:t>
      </w:r>
      <w:r>
        <w:rPr>
          <w:rFonts w:hint="eastAsia" w:asciiTheme="minorEastAsia" w:hAnsiTheme="minorEastAsia" w:eastAsiaTheme="minorEastAsia" w:cstheme="minorEastAsia"/>
          <w:sz w:val="24"/>
        </w:rPr>
        <w:t>常用询证函格式模板”的说明。</w:t>
      </w:r>
    </w:p>
    <w:p w14:paraId="0D804718">
      <w:pPr>
        <w:snapToGrid w:val="0"/>
        <w:spacing w:before="156" w:beforeLines="50" w:after="156" w:afterLines="50" w:line="360" w:lineRule="auto"/>
        <w:ind w:firstLine="482" w:firstLineChars="200"/>
        <w:outlineLvl w:val="1"/>
        <w:rPr>
          <w:rFonts w:asciiTheme="minorEastAsia" w:hAnsiTheme="minorEastAsia" w:eastAsiaTheme="minorEastAsia" w:cstheme="minorEastAsia"/>
          <w:b/>
          <w:bCs/>
          <w:sz w:val="24"/>
        </w:rPr>
      </w:pPr>
      <w:bookmarkStart w:id="79" w:name="_Toc7328"/>
      <w:bookmarkStart w:id="80" w:name="_Toc27645"/>
      <w:bookmarkStart w:id="81" w:name="_Toc1496"/>
      <w:r>
        <w:rPr>
          <w:rFonts w:hint="eastAsia" w:asciiTheme="minorEastAsia" w:hAnsiTheme="minorEastAsia" w:eastAsiaTheme="minorEastAsia" w:cstheme="minorEastAsia"/>
          <w:b/>
          <w:bCs/>
          <w:sz w:val="24"/>
        </w:rPr>
        <w:t>一、</w:t>
      </w:r>
      <w:r>
        <w:rPr>
          <w:rFonts w:hint="eastAsia" w:asciiTheme="minorEastAsia" w:hAnsiTheme="minorEastAsia" w:eastAsiaTheme="minorEastAsia" w:cstheme="minorEastAsia"/>
          <w:b/>
          <w:bCs/>
          <w:color w:val="auto"/>
          <w:sz w:val="24"/>
        </w:rPr>
        <w:t>其他事项</w:t>
      </w:r>
      <w:r>
        <w:rPr>
          <w:rFonts w:hint="eastAsia" w:asciiTheme="minorEastAsia" w:hAnsiTheme="minorEastAsia" w:eastAsiaTheme="minorEastAsia" w:cstheme="minorEastAsia"/>
          <w:b/>
          <w:bCs/>
          <w:sz w:val="24"/>
        </w:rPr>
        <w:t>函证的特殊考虑</w:t>
      </w:r>
      <w:bookmarkEnd w:id="79"/>
      <w:bookmarkEnd w:id="80"/>
      <w:bookmarkEnd w:id="81"/>
    </w:p>
    <w:p w14:paraId="6C45BAB8">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在确定函证其他事项前，注册会计师需要对审计业务中涉及的各类函证事项进行全面梳理，识别出那些不同于常规银行和企业往来业务的其他函证事项。</w:t>
      </w:r>
    </w:p>
    <w:p w14:paraId="4C215554">
      <w:pPr>
        <w:snapToGrid w:val="0"/>
        <w:spacing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（一）函证内容的特殊</w:t>
      </w:r>
      <w:r>
        <w:rPr>
          <w:rFonts w:hint="eastAsia" w:asciiTheme="minorEastAsia" w:hAnsiTheme="minorEastAsia" w:eastAsiaTheme="minorEastAsia" w:cstheme="minorEastAsia"/>
          <w:b/>
          <w:bCs/>
          <w:color w:val="auto"/>
          <w:sz w:val="24"/>
        </w:rPr>
        <w:t>考虑</w:t>
      </w:r>
    </w:p>
    <w:p w14:paraId="3E344A24">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针对不同类型的事项，函证内容的设计应具有针对性，以适应其各自的特点和审计要求。例如：</w:t>
      </w:r>
    </w:p>
    <w:p w14:paraId="61C42DB6">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于长期股权投资，函证内容可能涵盖投资的初始成本、追加投资情况、股权比例变动、被投资单位的盈利状况及分红政策、是否存在影响投资价值的重大事项（如被投资单位面临的重大经营风险、法律纠纷等）。对拥有多项长期股权投资的企业进行审计时，注册会计师需要针对每一项投资，详细设计函证内容，确保获取关于投资的全面信息。</w:t>
      </w:r>
      <w:r>
        <w:rPr>
          <w:rFonts w:asciiTheme="minorEastAsia" w:hAnsiTheme="minorEastAsia" w:eastAsiaTheme="minorEastAsia" w:cstheme="minorEastAsia"/>
          <w:sz w:val="24"/>
        </w:rPr>
        <w:t xml:space="preserve"> </w:t>
      </w:r>
    </w:p>
    <w:p w14:paraId="0319747A">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于或有负债，函证应重点关注潜在负债的性质、金额范围、可能的发生概率以及相关方的确认情况。如在涉及未决诉讼的函证中，需要向律师事务所了解诉讼的进展、预计赔偿金额以及对方诉求等详细信息，以准确评估企业可能面临的财务风险。</w:t>
      </w:r>
    </w:p>
    <w:p w14:paraId="09E7C699">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在关联方交易函证中，应着重询问交易的定价政策是否符合市场规则、交易的真实性及必要性、是否存在未披露的关联关系或交易等内容。</w:t>
      </w:r>
    </w:p>
    <w:p w14:paraId="1323B9DC">
      <w:pPr>
        <w:snapToGrid w:val="0"/>
        <w:spacing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（二）函证对象的特殊考虑</w:t>
      </w:r>
    </w:p>
    <w:p w14:paraId="4A6029D9">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除了常规的交易对手方外，对于其他事项可能需要向更多的相关方进行函证。例如：</w:t>
      </w:r>
    </w:p>
    <w:p w14:paraId="6E071626">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在长期股权投资函证中，除了向被投资单位发函外，还可能需要向被投资单位的审计师、律师或其他重要利益相关者获取信息，以相互印证。</w:t>
      </w:r>
      <w:r>
        <w:rPr>
          <w:rFonts w:asciiTheme="minorEastAsia" w:hAnsiTheme="minorEastAsia" w:eastAsiaTheme="minorEastAsia" w:cstheme="minorEastAsia"/>
          <w:sz w:val="24"/>
        </w:rPr>
        <w:t xml:space="preserve"> </w:t>
      </w:r>
    </w:p>
    <w:p w14:paraId="394A97F7">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于或有负债，函证对象可能包括律师事务所、法院、潜在的债权人和其他可能知晓相关情况的第三方。如在涉及担保责任的函证中，需要向担保受益方了解担保的具体条款和履行情况，向律师咨询法律责任的界定等。</w:t>
      </w:r>
      <w:r>
        <w:rPr>
          <w:rFonts w:asciiTheme="minorEastAsia" w:hAnsiTheme="minorEastAsia" w:eastAsiaTheme="minorEastAsia" w:cstheme="minorEastAsia"/>
          <w:sz w:val="24"/>
        </w:rPr>
        <w:t xml:space="preserve"> </w:t>
      </w:r>
    </w:p>
    <w:p w14:paraId="2DC3893E">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在关联方交易函证中，除了直接的关联方企业外，还可能涉及关联方的关键管理人员、控股股东或实际控制人等，以获取关于交易决策和利益输送等方面的信息。</w:t>
      </w:r>
      <w:r>
        <w:rPr>
          <w:rFonts w:asciiTheme="minorEastAsia" w:hAnsiTheme="minorEastAsia" w:eastAsiaTheme="minorEastAsia" w:cstheme="minorEastAsia"/>
          <w:sz w:val="24"/>
        </w:rPr>
        <w:t xml:space="preserve"> </w:t>
      </w:r>
    </w:p>
    <w:p w14:paraId="7CCA6214">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此外，对于一些其他事项，可能还需要结合其他审计程序来进行函证。如在调查关联方交易时，除了函证外，还可能需要进行实地走访、检查相关合同和文件、分析交易的商业合理性等程序，以全面核实交易的真实性和合规性。</w:t>
      </w:r>
      <w:r>
        <w:rPr>
          <w:rFonts w:asciiTheme="minorEastAsia" w:hAnsiTheme="minorEastAsia" w:eastAsiaTheme="minorEastAsia" w:cstheme="minorEastAsia"/>
          <w:sz w:val="24"/>
        </w:rPr>
        <w:t xml:space="preserve"> </w:t>
      </w:r>
    </w:p>
    <w:p w14:paraId="42B0831C">
      <w:pPr>
        <w:snapToGrid w:val="0"/>
        <w:spacing w:before="156" w:beforeLines="50" w:after="156" w:afterLines="50" w:line="360" w:lineRule="auto"/>
        <w:ind w:firstLine="482" w:firstLineChars="200"/>
        <w:outlineLvl w:val="1"/>
        <w:rPr>
          <w:rFonts w:asciiTheme="minorEastAsia" w:hAnsiTheme="minorEastAsia" w:eastAsiaTheme="minorEastAsia" w:cstheme="minorEastAsia"/>
          <w:b/>
          <w:bCs/>
          <w:sz w:val="24"/>
        </w:rPr>
      </w:pPr>
      <w:bookmarkStart w:id="82" w:name="_Toc14562"/>
      <w:bookmarkStart w:id="83" w:name="_Toc11736"/>
      <w:bookmarkStart w:id="84" w:name="_Toc32290"/>
      <w:r>
        <w:rPr>
          <w:rFonts w:hint="eastAsia" w:asciiTheme="minorEastAsia" w:hAnsiTheme="minorEastAsia" w:eastAsiaTheme="minorEastAsia" w:cstheme="minorEastAsia"/>
          <w:b/>
          <w:bCs/>
          <w:sz w:val="24"/>
        </w:rPr>
        <w:t>二、</w:t>
      </w:r>
      <w:r>
        <w:rPr>
          <w:rFonts w:hint="eastAsia" w:asciiTheme="minorEastAsia" w:hAnsiTheme="minorEastAsia" w:eastAsiaTheme="minorEastAsia" w:cstheme="minorEastAsia"/>
          <w:b/>
          <w:bCs/>
          <w:color w:val="auto"/>
          <w:sz w:val="24"/>
        </w:rPr>
        <w:t>其他事项函证过程的特殊控制</w:t>
      </w:r>
      <w:bookmarkEnd w:id="82"/>
      <w:bookmarkEnd w:id="83"/>
      <w:bookmarkEnd w:id="84"/>
      <w:r>
        <w:rPr>
          <w:rFonts w:asciiTheme="minorEastAsia" w:hAnsiTheme="minorEastAsia" w:eastAsiaTheme="minorEastAsia" w:cstheme="minorEastAsia"/>
          <w:b/>
          <w:bCs/>
          <w:sz w:val="24"/>
        </w:rPr>
        <w:t xml:space="preserve"> </w:t>
      </w:r>
    </w:p>
    <w:p w14:paraId="4E16650B">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函证其他事项时，注册会计师同样需要对函证过程进行严格控制，以保障函证程序的独立性、准确性和可靠性。</w:t>
      </w:r>
      <w:r>
        <w:rPr>
          <w:rFonts w:asciiTheme="minorEastAsia" w:hAnsiTheme="minorEastAsia" w:eastAsiaTheme="minorEastAsia" w:cstheme="minorEastAsia"/>
          <w:sz w:val="24"/>
        </w:rPr>
        <w:t xml:space="preserve"> </w:t>
      </w:r>
    </w:p>
    <w:p w14:paraId="66E470EC">
      <w:pPr>
        <w:snapToGrid w:val="0"/>
        <w:spacing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（一）发函前的特殊准备</w:t>
      </w:r>
    </w:p>
    <w:p w14:paraId="2B790F7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册会计师需要更加深入地了解其他事项的背景和细节，以便准确设计函证内容和选择合适的函证对象。例如，在对一项复杂的长期股权投资进行函证前，注册会计师要详细研究投资协议、被投资单位的公司章程、历年财务报表以及近期的重大经营决策等文件，确保函证问题具有针对性和有效性。</w:t>
      </w:r>
    </w:p>
    <w:p w14:paraId="6B960812">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于函证对象的联系方式，要进行更加严格的核实。由于其他事项的函证对象可能较为多样化，其联系方式的准确性更为关键。例如，在向律师事务所发函时，要确保函证寄送至正确的律师或负责相关业务的团队，避免因地址错误或信息不准确导致函证失败。</w:t>
      </w:r>
    </w:p>
    <w:p w14:paraId="3275BF05">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准备函证文件时，除了常规的询证函格式要求外，对于其他事项可能需要提供更多的背景资料或说明，以帮助函证对象准确理解函证目的和要求。例如，在函证涉及复杂金融工具的交易时，附上交易结构示意图、相关合同条款摘要等资料，便于函证对象回复。</w:t>
      </w:r>
      <w:r>
        <w:rPr>
          <w:rFonts w:asciiTheme="minorEastAsia" w:hAnsiTheme="minorEastAsia" w:eastAsiaTheme="minorEastAsia" w:cstheme="minorEastAsia"/>
          <w:sz w:val="24"/>
        </w:rPr>
        <w:t xml:space="preserve"> </w:t>
      </w:r>
    </w:p>
    <w:p w14:paraId="0D50811E">
      <w:pPr>
        <w:snapToGrid w:val="0"/>
        <w:spacing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（二）回函的特殊处理与控制</w:t>
      </w:r>
    </w:p>
    <w:p w14:paraId="12A847C2">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收到回函后，注册会计师要更加仔细地核对回函的真实性和完整性。对于其他事项的回函，可能涉及复杂的业务内容和专业术语，需要注册会计师具备更强的专业判断能力来评估回函的可靠性。例如，在收到关于长期股权投资估值调整的回函时，注册会计师要深入分析回函中提供的估值方法、假设条件和数据来源，判断其合理性和准确性。</w:t>
      </w:r>
      <w:r>
        <w:rPr>
          <w:rFonts w:asciiTheme="minorEastAsia" w:hAnsiTheme="minorEastAsia" w:eastAsiaTheme="minorEastAsia" w:cstheme="minorEastAsia"/>
          <w:sz w:val="24"/>
        </w:rPr>
        <w:t xml:space="preserve"> </w:t>
      </w:r>
    </w:p>
    <w:p w14:paraId="12A2BEFF">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关注回函的格式和内容是否符合预期。其他事项的函证回复可能因函证对象的不同而具有不同的格式要求，但无论何种格式，都应确保回函能够清晰、准确地回答函证问题。如果回函内容模糊不清或存在歧义，注册会计师应及时与函证对象沟通，要求其进一步解释或澄清。</w:t>
      </w:r>
      <w:r>
        <w:rPr>
          <w:rFonts w:asciiTheme="minorEastAsia" w:hAnsiTheme="minorEastAsia" w:eastAsiaTheme="minorEastAsia" w:cstheme="minorEastAsia"/>
          <w:sz w:val="24"/>
        </w:rPr>
        <w:t xml:space="preserve"> </w:t>
      </w:r>
    </w:p>
    <w:p w14:paraId="4A3890EE">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于回函中的异常情况，要进行深入调查和分析。其他事项本身的复杂性使得回函异常情况可能蕴含更大的审计风险。例如，在收到关于或有负债的回函中，若发现函证对象对潜在赔偿金额的估计与注册会计师的预期存在重大差异，注册会计师应立即展开调查，可能需要进一步向其他相关方求证或获取更多的证据，以确定差异的原因和对财务报表的影响。</w:t>
      </w:r>
      <w:r>
        <w:rPr>
          <w:rFonts w:asciiTheme="minorEastAsia" w:hAnsiTheme="minorEastAsia" w:eastAsiaTheme="minorEastAsia" w:cstheme="minorEastAsia"/>
          <w:sz w:val="24"/>
        </w:rPr>
        <w:t xml:space="preserve"> </w:t>
      </w:r>
    </w:p>
    <w:p w14:paraId="3771FE99">
      <w:pPr>
        <w:snapToGrid w:val="0"/>
        <w:spacing w:before="156" w:beforeLines="50" w:after="156" w:afterLines="50" w:line="360" w:lineRule="auto"/>
        <w:ind w:firstLine="482" w:firstLineChars="200"/>
        <w:outlineLvl w:val="1"/>
        <w:rPr>
          <w:rFonts w:asciiTheme="minorEastAsia" w:hAnsiTheme="minorEastAsia" w:eastAsiaTheme="minorEastAsia" w:cstheme="minorEastAsia"/>
          <w:b/>
          <w:bCs/>
          <w:sz w:val="24"/>
        </w:rPr>
      </w:pPr>
      <w:bookmarkStart w:id="85" w:name="_Toc4850"/>
      <w:bookmarkStart w:id="86" w:name="_Toc11078"/>
      <w:bookmarkStart w:id="87" w:name="_Toc25924"/>
      <w:r>
        <w:rPr>
          <w:rFonts w:hint="eastAsia" w:asciiTheme="minorEastAsia" w:hAnsiTheme="minorEastAsia" w:eastAsiaTheme="minorEastAsia" w:cstheme="minorEastAsia"/>
          <w:b/>
          <w:bCs/>
          <w:sz w:val="24"/>
        </w:rPr>
        <w:t>三、其他事项函证结果的评价与审计报告的影响</w:t>
      </w:r>
      <w:bookmarkEnd w:id="85"/>
      <w:bookmarkEnd w:id="86"/>
      <w:bookmarkEnd w:id="87"/>
      <w:r>
        <w:rPr>
          <w:rFonts w:asciiTheme="minorEastAsia" w:hAnsiTheme="minorEastAsia" w:eastAsiaTheme="minorEastAsia" w:cstheme="minorEastAsia"/>
          <w:b/>
          <w:bCs/>
          <w:sz w:val="24"/>
        </w:rPr>
        <w:t xml:space="preserve"> </w:t>
      </w:r>
    </w:p>
    <w:p w14:paraId="047A9C8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函证其他事项的结果评价需要综合考虑多方面因素，并且其结果可能对审计报告产生重要影响。</w:t>
      </w:r>
      <w:r>
        <w:rPr>
          <w:rFonts w:asciiTheme="minorEastAsia" w:hAnsiTheme="minorEastAsia" w:eastAsiaTheme="minorEastAsia" w:cstheme="minorEastAsia"/>
          <w:sz w:val="24"/>
        </w:rPr>
        <w:t xml:space="preserve"> </w:t>
      </w:r>
    </w:p>
    <w:p w14:paraId="7AF80916">
      <w:pPr>
        <w:snapToGrid w:val="0"/>
        <w:spacing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（一）函证结果的综合评价</w:t>
      </w:r>
    </w:p>
    <w:p w14:paraId="2F0C6445">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 xml:space="preserve"> 注册会计师要将函证结果与其他审计证据进行相互印证。其他事项的审计往往需要多种审计程序共同提供证据支持，函证结果应与通过检查文件、实地观察、分析程序等获取的证据相一致。例如，在评估长期股权投资的价值时，函证获取的被投资单位财务数据应与注册会计师通过分析被投资单位公开财务报表、行业趋势等得到的结论相符合。如果存在差异，需要进一步调查原因，判断是函证过程中的问题还是其他审计程序存在漏洞。 </w:t>
      </w:r>
    </w:p>
    <w:p w14:paraId="0E3C77F5">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考虑函证结果对其他事项认定的影响。对于其他事项，函证结果可能直接影响到相关会计科目的确认、计量和披露。例如，在核实或有负债的函证中，如果函证结果表明潜在负债的金额和可能性发生重大变化，注册会计师需要重新评估企业对或有负债的会计处理是否恰当，是否需要调整财务报表中的相关项目。</w:t>
      </w:r>
      <w:r>
        <w:rPr>
          <w:rFonts w:asciiTheme="minorEastAsia" w:hAnsiTheme="minorEastAsia" w:eastAsiaTheme="minorEastAsia" w:cstheme="minorEastAsia"/>
          <w:sz w:val="24"/>
        </w:rPr>
        <w:t xml:space="preserve"> </w:t>
      </w:r>
    </w:p>
    <w:p w14:paraId="0E12F4C9">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分析函证结果中的不确定性因素。其他事项本身可能存在较多的不确定性，函证结果可能无法完全消除这些不确定性。注册会计师需要评估这些不确定性对审计意见的影响程度。例如，在涉及重大资产重组的函证中，如果函证对象对交易条款和资产价值的回复存在一定的模糊性或不确定性，注册会计师要谨慎判断这种不确定性是否会导致财务报表使用者对企业财务状况和经营成果产生重大误解，进而考虑是否需要在审计报告中进行适当的披露。</w:t>
      </w:r>
      <w:r>
        <w:rPr>
          <w:rFonts w:asciiTheme="minorEastAsia" w:hAnsiTheme="minorEastAsia" w:eastAsiaTheme="minorEastAsia" w:cstheme="minorEastAsia"/>
          <w:sz w:val="24"/>
        </w:rPr>
        <w:t xml:space="preserve"> </w:t>
      </w:r>
    </w:p>
    <w:p w14:paraId="0D4FDA65">
      <w:pPr>
        <w:snapToGrid w:val="0"/>
        <w:spacing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（二）对审计报告的影响</w:t>
      </w:r>
    </w:p>
    <w:p w14:paraId="22F1076B">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果函证结果表明其他事项存在重大错报风险，且无法通过进一步审计程序获取充分、适当的审计证据，注册会计师可能需要考虑发表保留意见或无法表示意见的审计报告。例如，在对关联方交易的函证中，如果发现存在大量未披露的关联方交易且无法核实其对财务报表的影响，注册会计师可能会因审计范围受限而无法对财务报表发表无保留意见。</w:t>
      </w:r>
      <w:r>
        <w:rPr>
          <w:rFonts w:asciiTheme="minorEastAsia" w:hAnsiTheme="minorEastAsia" w:eastAsiaTheme="minorEastAsia" w:cstheme="minorEastAsia"/>
          <w:sz w:val="24"/>
        </w:rPr>
        <w:t xml:space="preserve"> </w:t>
      </w:r>
    </w:p>
    <w:p w14:paraId="5AD97671">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即使函证结果未发现重大问题，注册会计师仍需根据其他事项的重要性和性质，在审计报告中进行适当的披露。例如，对于重大的长期股权投资，即使函证结果确认了投资的基本情况，但如果投资存在潜在风险（如被投资单位所在行业面临重大变革等），注册会计师可能需要在审计报告的附注中披露相关风险信息，以提醒财务报表使用者关注。</w:t>
      </w:r>
    </w:p>
    <w:p w14:paraId="7098B9A1">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于函证过程中发现的其他事项相关的内部控制缺陷，注册会计师也应在审计报告中进行披露（如适用），并提出改进建议。这有助于企业完善内部控制制度，提高财务报告的质量。例如，如果在函证关联方交易过程中发现企业的关联交易审批流程存在漏洞，注册会计师应在审计报告中指出该问题，并建议企业加强内部控制，规范关联交易管理。</w:t>
      </w:r>
      <w:r>
        <w:rPr>
          <w:rFonts w:asciiTheme="minorEastAsia" w:hAnsiTheme="minorEastAsia" w:eastAsiaTheme="minorEastAsia" w:cstheme="minorEastAsia"/>
          <w:sz w:val="24"/>
        </w:rPr>
        <w:t xml:space="preserve"> </w:t>
      </w:r>
    </w:p>
    <w:p w14:paraId="5446D80B">
      <w:pPr>
        <w:snapToGrid w:val="0"/>
        <w:spacing w:before="156" w:beforeLines="50" w:after="156" w:afterLines="50" w:line="360" w:lineRule="auto"/>
        <w:ind w:firstLine="482" w:firstLineChars="200"/>
        <w:outlineLvl w:val="1"/>
        <w:rPr>
          <w:rFonts w:asciiTheme="minorEastAsia" w:hAnsiTheme="minorEastAsia" w:eastAsiaTheme="minorEastAsia" w:cstheme="minorEastAsia"/>
          <w:b/>
          <w:bCs/>
          <w:sz w:val="24"/>
        </w:rPr>
      </w:pPr>
      <w:bookmarkStart w:id="88" w:name="_Toc26012"/>
      <w:bookmarkStart w:id="89" w:name="_Toc24099"/>
      <w:bookmarkStart w:id="90" w:name="_Toc17959"/>
      <w:r>
        <w:rPr>
          <w:rFonts w:hint="eastAsia" w:asciiTheme="minorEastAsia" w:hAnsiTheme="minorEastAsia" w:eastAsiaTheme="minorEastAsia" w:cstheme="minorEastAsia"/>
          <w:b/>
          <w:bCs/>
          <w:sz w:val="24"/>
        </w:rPr>
        <w:t>四、工作底稿记录</w:t>
      </w:r>
      <w:r>
        <w:rPr>
          <w:rFonts w:hint="eastAsia" w:asciiTheme="minorEastAsia" w:hAnsiTheme="minorEastAsia" w:eastAsiaTheme="minorEastAsia" w:cstheme="minorEastAsia"/>
          <w:b/>
          <w:bCs/>
          <w:color w:val="auto"/>
          <w:sz w:val="24"/>
        </w:rPr>
        <w:t>的特殊要求</w:t>
      </w:r>
      <w:bookmarkEnd w:id="88"/>
      <w:bookmarkEnd w:id="89"/>
      <w:bookmarkEnd w:id="90"/>
      <w:r>
        <w:rPr>
          <w:rFonts w:asciiTheme="minorEastAsia" w:hAnsiTheme="minorEastAsia" w:eastAsiaTheme="minorEastAsia" w:cstheme="minorEastAsia"/>
          <w:b/>
          <w:bCs/>
          <w:sz w:val="24"/>
        </w:rPr>
        <w:t xml:space="preserve"> </w:t>
      </w:r>
    </w:p>
    <w:p w14:paraId="32E18238">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针对其他事项的函证，工作底稿的记录应更加详细和全面，以反映函证过程的复杂性和特殊性。</w:t>
      </w:r>
      <w:r>
        <w:rPr>
          <w:rFonts w:asciiTheme="minorEastAsia" w:hAnsiTheme="minorEastAsia" w:eastAsiaTheme="minorEastAsia" w:cstheme="minorEastAsia"/>
          <w:sz w:val="24"/>
        </w:rPr>
        <w:t xml:space="preserve"> </w:t>
      </w:r>
    </w:p>
    <w:p w14:paraId="096FFBD9">
      <w:pPr>
        <w:snapToGrid w:val="0"/>
        <w:spacing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（一）记录其他事项的背景和细节</w:t>
      </w:r>
    </w:p>
    <w:p w14:paraId="2FE7C043">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工作底稿中详细阐述其他事项的性质、产生原因、对财务报表的潜在影响等背景信息。例如，对长期股权投资函证，针对函证内容的确定依据，要记录如何根据投资协议、会计准则以及审计目标来确定需要函证的关键信息，如被投资企业的财务报表数据（资产、负债、所有者权益、收入、利润等）、重大经营决策（如重大投资、融资活动、资产重组等）对长期股权投资价值的影响、是否存在潜在的股权纠纷或其他影响投资权益的事项等。例如根据权益法核算的要求，确定需要函证被投资企业的净利润及其他综合收益等数据，在工作底稿中记录企业对会计政策和估计的选择依据、计算过程以及与相关准则的符合程度，以便准确计算投资企业应享有的份额。</w:t>
      </w:r>
    </w:p>
    <w:p w14:paraId="1E150A10">
      <w:pPr>
        <w:snapToGrid w:val="0"/>
        <w:spacing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（二）函证程序设计与执行的记录</w:t>
      </w:r>
    </w:p>
    <w:p w14:paraId="596DD0C6">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细记录函证程序针对其他事项的设计思路，包括函证内容的确定依据、函证对象的选择理由以及函证方式的选择考虑因素等。例如，在对重大资产重组事项进行函证时，记录为何选择向交易对方、中介机构以及相关监管部门等不同对象发函，以及针对不同对象设计不同函证内容的原因，体现函证程序设计的针对性和合理性。</w:t>
      </w:r>
      <w:r>
        <w:rPr>
          <w:rFonts w:asciiTheme="minorEastAsia" w:hAnsiTheme="minorEastAsia" w:eastAsiaTheme="minorEastAsia" w:cstheme="minorEastAsia"/>
          <w:sz w:val="24"/>
        </w:rPr>
        <w:t xml:space="preserve"> </w:t>
      </w:r>
    </w:p>
    <w:p w14:paraId="6F46068A">
      <w:pPr>
        <w:snapToGrid w:val="0"/>
        <w:spacing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（三）函证结果的记录与分析</w:t>
      </w:r>
    </w:p>
    <w:p w14:paraId="0ABE9045">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实记录函证结果的具体内容，对于回函中的关键信息、数据和意见进行详细摘录。对于其他事项的函证结果，可能需要以图表、表格或其他直观的方式进行整理和呈现，以便更好地进行分析和比较。例如，在记录长期股权投资的函证结果时，可以制作表格对比被投资单位回复的财务数据与企业账面记录的数据差异，并对差异原因进行初步分析。</w:t>
      </w:r>
    </w:p>
    <w:p w14:paraId="74D0A7AA">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深入分析函证结果与预期的差异及其原因，记录注册会计师针对这些差异所采取的进一步审计程序及其结果。对于其他事项函证中发现的异常情况，如回函中的矛盾信息、不完整回复或疑似舞弊迹象等，要详细记录调查过程和结果，包括与函证对象的沟通情况、获取的其他证据以及最终的结论。例如，在调查关联方交易函证中的异常价格情况时，记录与关联方和企业管理层的沟通内容、查阅的相关合同和市场调研报告以及对交易价格合理性的判断依据。</w:t>
      </w:r>
      <w:r>
        <w:rPr>
          <w:rFonts w:asciiTheme="minorEastAsia" w:hAnsiTheme="minorEastAsia" w:eastAsiaTheme="minorEastAsia" w:cstheme="minorEastAsia"/>
          <w:sz w:val="24"/>
        </w:rPr>
        <w:t xml:space="preserve"> </w:t>
      </w:r>
    </w:p>
    <w:p w14:paraId="370BEC2C">
      <w:pPr>
        <w:snapToGrid w:val="0"/>
        <w:spacing w:line="360" w:lineRule="auto"/>
        <w:ind w:firstLine="482" w:firstLineChars="200"/>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（四）与其他审计程序的关联记录</w:t>
      </w:r>
    </w:p>
    <w:p w14:paraId="560BCCD6">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工作底稿中，记录长期股权投资函证与其他审计程序之间的相互关系和印证情况。例如，在对长期股权投资进行函证的同时，可能实施了分析程序，如对比被投资企业的财务指标与同行业平均水平、分析投资收益的合理性等；实施了检查程序，如检查投资协议、被投资企业的公司章程、董事会决议、验资报告、股权变更记录等文件；实施了实地观察程序，如观察被投资企业的生产经营状况、资产状况等。工作底稿中应记录这些程序之间的协同作用以及如何相互补充和验证。例如，通过函证获取的被投资企业财务数据与通过分析程序得出的结论是否相互印证，检查程序发现的投资协议中的特殊条款是否与函证结果中关于利润分配的说明一致，实地观察到的被投资企业生产经营状况是否支持函证结果中关于企业经营情况的描述等。</w:t>
      </w:r>
    </w:p>
    <w:p w14:paraId="716D2DAD">
      <w:pPr>
        <w:snapToGrid w:val="0"/>
        <w:spacing w:line="360" w:lineRule="auto"/>
        <w:ind w:firstLine="480" w:firstLineChars="200"/>
        <w:rPr>
          <w:rFonts w:asciiTheme="minorEastAsia" w:hAnsiTheme="minorEastAsia" w:cstheme="minorEastAsia"/>
          <w:sz w:val="24"/>
        </w:rPr>
      </w:pPr>
      <w:r>
        <w:rPr>
          <w:rFonts w:hint="eastAsia" w:asciiTheme="minorEastAsia" w:hAnsiTheme="minorEastAsia" w:eastAsiaTheme="minorEastAsia" w:cstheme="minorEastAsia"/>
          <w:sz w:val="24"/>
        </w:rPr>
        <w:t>记录函证结果对其他审计程序的影响，以及根据函证结果调整或追加其他审计程序的情况。如果函证发现长期股权投资存在潜在减值迹象，注册会计师应记录如何根据这一情况调整资产减值测试的假设和参数，重新计算长期股权投资的可收回金额，并与账面价值进行比较，确定是否需要计提减值准备以及计提的金额，同时记录这一调整对投资企业财务报表中资产、利润等项目的影响。</w:t>
      </w:r>
    </w:p>
    <w:p w14:paraId="4FBB2C07">
      <w:pPr>
        <w:snapToGrid w:val="0"/>
        <w:spacing w:line="360" w:lineRule="auto"/>
        <w:ind w:firstLine="480" w:firstLineChars="200"/>
        <w:rPr>
          <w:rFonts w:asciiTheme="minorEastAsia" w:hAnsiTheme="minorEastAsia" w:eastAsiaTheme="minorEastAsia" w:cstheme="minorEastAsia"/>
          <w:sz w:val="24"/>
        </w:rPr>
      </w:pPr>
    </w:p>
    <w:p w14:paraId="5FFE01F9">
      <w:pPr>
        <w:snapToGrid w:val="0"/>
        <w:spacing w:line="360" w:lineRule="auto"/>
        <w:ind w:firstLine="482" w:firstLineChars="2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第二节</w:t>
      </w:r>
      <w:r>
        <w:rPr>
          <w:rFonts w:asciiTheme="minorEastAsia" w:hAnsiTheme="minorEastAsia" w:eastAsiaTheme="minorEastAsia" w:cstheme="minorEastAsia"/>
          <w:b/>
          <w:bCs/>
          <w:sz w:val="24"/>
        </w:rPr>
        <w:t xml:space="preserve">  </w:t>
      </w:r>
      <w:r>
        <w:rPr>
          <w:rFonts w:hint="eastAsia" w:asciiTheme="minorEastAsia" w:hAnsiTheme="minorEastAsia" w:eastAsiaTheme="minorEastAsia" w:cstheme="minorEastAsia"/>
          <w:b/>
          <w:bCs/>
          <w:sz w:val="24"/>
        </w:rPr>
        <w:t>第三方支付平台函证的特殊考虑</w:t>
      </w:r>
    </w:p>
    <w:p w14:paraId="7AAA7702">
      <w:pPr>
        <w:snapToGrid w:val="0"/>
        <w:spacing w:line="360" w:lineRule="auto"/>
        <w:ind w:firstLine="480" w:firstLineChars="200"/>
        <w:rPr>
          <w:rFonts w:asciiTheme="minorEastAsia" w:hAnsiTheme="minorEastAsia" w:cstheme="minorEastAsia"/>
          <w:sz w:val="24"/>
        </w:rPr>
      </w:pPr>
    </w:p>
    <w:p w14:paraId="7910B94C">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随着企业数字化结算的普及，支付宝、微信支付等第三方支付平台已成为高频交易渠道。此类平台的资金流与传统银行账户存在差异，其函证方式需结合平台特性设计针对性程序。本节以支付宝为例，说明审计实务中的操作要点及特殊考虑。</w:t>
      </w:r>
      <w:r>
        <w:rPr>
          <w:rFonts w:asciiTheme="minorEastAsia" w:hAnsiTheme="minorEastAsia" w:eastAsiaTheme="minorEastAsia" w:cstheme="minorEastAsia"/>
          <w:sz w:val="24"/>
        </w:rPr>
        <w:t xml:space="preserve">  </w:t>
      </w:r>
    </w:p>
    <w:p w14:paraId="70D82018">
      <w:pPr>
        <w:snapToGrid w:val="0"/>
        <w:spacing w:before="156" w:beforeLines="50" w:after="156" w:afterLines="50" w:line="360" w:lineRule="auto"/>
        <w:ind w:firstLine="482" w:firstLineChars="200"/>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 xml:space="preserve"> 一、第三方支付平台函证的核心挑战  </w:t>
      </w:r>
    </w:p>
    <w:p w14:paraId="53426786">
      <w:pPr>
        <w:snapToGrid w:val="0"/>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（一）函证渠道非标准化</w:t>
      </w:r>
    </w:p>
    <w:p w14:paraId="25F9A201">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多数平台未提供传统纸质询证函回函服务，需通过线上自助获取电子凭证。</w:t>
      </w:r>
      <w:r>
        <w:rPr>
          <w:rFonts w:asciiTheme="minorEastAsia" w:hAnsiTheme="minorEastAsia" w:eastAsiaTheme="minorEastAsia" w:cstheme="minorEastAsia"/>
          <w:sz w:val="24"/>
        </w:rPr>
        <w:t xml:space="preserve">  </w:t>
      </w:r>
    </w:p>
    <w:p w14:paraId="3DF24691">
      <w:pPr>
        <w:numPr>
          <w:ilvl w:val="255"/>
          <w:numId w:val="0"/>
        </w:numPr>
        <w:snapToGrid w:val="0"/>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cstheme="minorEastAsia"/>
          <w:b/>
          <w:bCs/>
          <w:sz w:val="24"/>
        </w:rPr>
        <w:t>（二）</w:t>
      </w:r>
      <w:r>
        <w:rPr>
          <w:rFonts w:hint="eastAsia" w:asciiTheme="minorEastAsia" w:hAnsiTheme="minorEastAsia" w:eastAsiaTheme="minorEastAsia" w:cstheme="minorEastAsia"/>
          <w:b/>
          <w:bCs/>
          <w:sz w:val="24"/>
        </w:rPr>
        <w:t>证据形式数字化</w:t>
      </w:r>
    </w:p>
    <w:p w14:paraId="3D025CC7">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以电子对账单、资产证明为主，需验证电子印章有效性及数据完整性。</w:t>
      </w:r>
      <w:r>
        <w:rPr>
          <w:rFonts w:asciiTheme="minorEastAsia" w:hAnsiTheme="minorEastAsia" w:eastAsiaTheme="minorEastAsia" w:cstheme="minorEastAsia"/>
          <w:sz w:val="24"/>
        </w:rPr>
        <w:t xml:space="preserve">  </w:t>
      </w:r>
    </w:p>
    <w:p w14:paraId="778E4AE2">
      <w:pPr>
        <w:numPr>
          <w:ilvl w:val="255"/>
          <w:numId w:val="0"/>
        </w:numPr>
        <w:snapToGrid w:val="0"/>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cstheme="minorEastAsia"/>
          <w:b/>
          <w:bCs/>
          <w:sz w:val="24"/>
        </w:rPr>
        <w:t>（三）</w:t>
      </w:r>
      <w:r>
        <w:rPr>
          <w:rFonts w:hint="eastAsia" w:asciiTheme="minorEastAsia" w:hAnsiTheme="minorEastAsia" w:eastAsiaTheme="minorEastAsia" w:cstheme="minorEastAsia"/>
          <w:b/>
          <w:bCs/>
          <w:sz w:val="24"/>
        </w:rPr>
        <w:t>业务场景复杂化</w:t>
      </w:r>
    </w:p>
    <w:p w14:paraId="641FC9FE">
      <w:pPr>
        <w:snapToGrid w:val="0"/>
        <w:spacing w:line="360" w:lineRule="auto"/>
        <w:ind w:left="420" w:left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涉及电商交易、资金托管、手续费结算等多环节，需结合业务实质核查。</w:t>
      </w:r>
      <w:r>
        <w:rPr>
          <w:rFonts w:asciiTheme="minorEastAsia" w:hAnsiTheme="minorEastAsia" w:eastAsiaTheme="minorEastAsia" w:cstheme="minorEastAsia"/>
          <w:sz w:val="24"/>
        </w:rPr>
        <w:t xml:space="preserve">  </w:t>
      </w:r>
    </w:p>
    <w:p w14:paraId="7DEA2BAA">
      <w:pPr>
        <w:snapToGrid w:val="0"/>
        <w:spacing w:before="156" w:beforeLines="50" w:after="156" w:afterLines="50" w:line="360" w:lineRule="auto"/>
        <w:ind w:firstLine="480" w:firstLineChars="200"/>
        <w:rPr>
          <w:rFonts w:asciiTheme="minorEastAsia" w:hAnsiTheme="minorEastAsia" w:eastAsiaTheme="minorEastAsia" w:cstheme="minorEastAsia"/>
          <w:b/>
          <w:bCs/>
          <w:sz w:val="24"/>
        </w:rPr>
      </w:pPr>
      <w:r>
        <w:rPr>
          <w:rFonts w:asciiTheme="minorEastAsia" w:hAnsiTheme="minorEastAsia" w:eastAsiaTheme="minorEastAsia" w:cstheme="minorEastAsia"/>
          <w:sz w:val="24"/>
        </w:rPr>
        <w:t xml:space="preserve">  </w:t>
      </w:r>
      <w:r>
        <w:rPr>
          <w:rFonts w:asciiTheme="minorEastAsia" w:hAnsiTheme="minorEastAsia" w:eastAsiaTheme="minorEastAsia" w:cstheme="minorEastAsia"/>
          <w:b/>
          <w:bCs/>
          <w:sz w:val="24"/>
        </w:rPr>
        <w:t xml:space="preserve"> 二、支付宝在线查询操作示例 </w:t>
      </w:r>
    </w:p>
    <w:p w14:paraId="59D3BFBF">
      <w:pPr>
        <w:widowControl/>
        <w:numPr>
          <w:ilvl w:val="0"/>
          <w:numId w:val="10"/>
        </w:numPr>
        <w:snapToGrid w:val="0"/>
        <w:spacing w:line="360" w:lineRule="auto"/>
        <w:ind w:firstLine="482"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企业支付宝网上在线查询方法</w:t>
      </w:r>
    </w:p>
    <w:p w14:paraId="26855123">
      <w:pPr>
        <w:widowControl/>
        <w:snapToGrid w:val="0"/>
        <w:spacing w:line="360" w:lineRule="auto"/>
        <w:ind w:left="360"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 xml:space="preserve">1.查询下载路径：b.alipay.com—对账中心 </w:t>
      </w: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财务凭证—凭证申请</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—下载。</w:t>
      </w:r>
    </w:p>
    <w:p w14:paraId="76807283">
      <w:pPr>
        <w:widowControl/>
        <w:snapToGrid w:val="0"/>
        <w:spacing w:line="360" w:lineRule="auto"/>
        <w:ind w:left="360" w:firstLine="480" w:firstLineChars="200"/>
        <w:rPr>
          <w:rFonts w:asciiTheme="minorEastAsia" w:hAnsiTheme="minorEastAsia" w:eastAsiaTheme="minorEastAsia" w:cstheme="minorEastAsia"/>
          <w:color w:val="auto"/>
          <w:sz w:val="24"/>
          <w:shd w:val="clear" w:color="auto" w:fill="F9FAFB"/>
        </w:rPr>
      </w:pPr>
      <w:r>
        <w:rPr>
          <w:rFonts w:hint="eastAsia" w:asciiTheme="minorEastAsia" w:hAnsiTheme="minorEastAsia" w:eastAsiaTheme="minorEastAsia" w:cstheme="minorEastAsia"/>
          <w:sz w:val="24"/>
        </w:rPr>
        <w:t>目前支持查询余额收支流水证明、单笔余额收支证明、服务费结算证明、资产证明、收支汇总证明和转入转出收支证明，每种证明均规定了可查询时间，例如资产证明目前仅支持查询</w:t>
      </w:r>
      <w:r>
        <w:rPr>
          <w:rFonts w:asciiTheme="minorEastAsia" w:hAnsiTheme="minorEastAsia" w:eastAsiaTheme="minorEastAsia" w:cstheme="minorEastAsia"/>
          <w:sz w:val="24"/>
        </w:rPr>
        <w:t>2015年01月01日及以后的数据记录。</w:t>
      </w:r>
    </w:p>
    <w:p w14:paraId="3CFD9B08">
      <w:pPr>
        <w:widowControl/>
        <w:snapToGrid w:val="0"/>
        <w:spacing w:line="360" w:lineRule="auto"/>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drawing>
          <wp:inline distT="0" distB="0" distL="114300" distR="114300">
            <wp:extent cx="4789170" cy="2614295"/>
            <wp:effectExtent l="0" t="0" r="11430" b="14605"/>
            <wp:docPr id="7"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1"/>
                    <pic:cNvPicPr>
                      <a:picLocks noChangeAspect="1"/>
                    </pic:cNvPicPr>
                  </pic:nvPicPr>
                  <pic:blipFill>
                    <a:blip r:embed="rId9"/>
                    <a:stretch>
                      <a:fillRect/>
                    </a:stretch>
                  </pic:blipFill>
                  <pic:spPr>
                    <a:xfrm>
                      <a:off x="0" y="0"/>
                      <a:ext cx="4789170" cy="2614295"/>
                    </a:xfrm>
                    <a:prstGeom prst="rect">
                      <a:avLst/>
                    </a:prstGeom>
                  </pic:spPr>
                </pic:pic>
              </a:graphicData>
            </a:graphic>
          </wp:inline>
        </w:drawing>
      </w:r>
    </w:p>
    <w:p w14:paraId="29AFC457">
      <w:pPr>
        <w:widowControl/>
        <w:snapToGrid w:val="0"/>
        <w:spacing w:line="360" w:lineRule="auto"/>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drawing>
          <wp:inline distT="0" distB="0" distL="114300" distR="114300">
            <wp:extent cx="5070475" cy="4485640"/>
            <wp:effectExtent l="0" t="0" r="15875" b="10160"/>
            <wp:docPr id="10" name="图片 10"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片4"/>
                    <pic:cNvPicPr>
                      <a:picLocks noChangeAspect="1"/>
                    </pic:cNvPicPr>
                  </pic:nvPicPr>
                  <pic:blipFill>
                    <a:blip r:embed="rId10"/>
                    <a:stretch>
                      <a:fillRect/>
                    </a:stretch>
                  </pic:blipFill>
                  <pic:spPr>
                    <a:xfrm>
                      <a:off x="0" y="0"/>
                      <a:ext cx="5070475" cy="4485640"/>
                    </a:xfrm>
                    <a:prstGeom prst="rect">
                      <a:avLst/>
                    </a:prstGeom>
                  </pic:spPr>
                </pic:pic>
              </a:graphicData>
            </a:graphic>
          </wp:inline>
        </w:drawing>
      </w:r>
    </w:p>
    <w:p w14:paraId="6AAB4628">
      <w:pPr>
        <w:snapToGrid w:val="0"/>
        <w:spacing w:before="156" w:beforeLines="50"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（二）个人支付宝网上在线查询方法</w:t>
      </w:r>
    </w:p>
    <w:p w14:paraId="0DC8C130">
      <w:pPr>
        <w:snapToGrid w:val="0"/>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方法一：通过支付宝</w:t>
      </w:r>
      <w:r>
        <w:rPr>
          <w:rFonts w:asciiTheme="minorEastAsia" w:hAnsiTheme="minorEastAsia" w:eastAsiaTheme="minorEastAsia" w:cstheme="minorEastAsia"/>
          <w:sz w:val="24"/>
        </w:rPr>
        <w:t>APP查询</w:t>
      </w:r>
    </w:p>
    <w:p w14:paraId="242E72E4">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 xml:space="preserve">第一步：打开支付宝APP，进入 </w:t>
      </w:r>
      <w:r>
        <w:rPr>
          <w:rFonts w:hint="eastAsia" w:asciiTheme="minorEastAsia" w:hAnsiTheme="minorEastAsia" w:eastAsiaTheme="minorEastAsia" w:cstheme="minorEastAsia"/>
          <w:sz w:val="24"/>
        </w:rPr>
        <w:t>“我的”，点击</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“总资产”。</w:t>
      </w:r>
    </w:p>
    <w:p w14:paraId="22C8D5EF">
      <w:pPr>
        <w:snapToGrid w:val="0"/>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第二步：点击右下角</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“资产证明”。</w:t>
      </w:r>
    </w:p>
    <w:p w14:paraId="0239A31D">
      <w:pPr>
        <w:snapToGrid w:val="0"/>
        <w:spacing w:line="360" w:lineRule="auto"/>
        <w:ind w:firstLine="480" w:firstLineChars="200"/>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drawing>
          <wp:inline distT="0" distB="0" distL="114300" distR="114300">
            <wp:extent cx="2228215" cy="4635500"/>
            <wp:effectExtent l="0" t="0" r="635" b="12700"/>
            <wp:docPr id="11" name="图片 11"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3"/>
                    <pic:cNvPicPr>
                      <a:picLocks noChangeAspect="1"/>
                    </pic:cNvPicPr>
                  </pic:nvPicPr>
                  <pic:blipFill>
                    <a:blip r:embed="rId11"/>
                    <a:stretch>
                      <a:fillRect/>
                    </a:stretch>
                  </pic:blipFill>
                  <pic:spPr>
                    <a:xfrm>
                      <a:off x="0" y="0"/>
                      <a:ext cx="2228215" cy="4635500"/>
                    </a:xfrm>
                    <a:prstGeom prst="rect">
                      <a:avLst/>
                    </a:prstGeom>
                  </pic:spPr>
                </pic:pic>
              </a:graphicData>
            </a:graphic>
          </wp:inline>
        </w:drawing>
      </w:r>
      <w:r>
        <w:rPr>
          <w:rFonts w:asciiTheme="minorEastAsia" w:hAnsiTheme="minorEastAsia" w:eastAsiaTheme="minorEastAsia" w:cstheme="minorEastAsia"/>
          <w:sz w:val="24"/>
        </w:rPr>
        <w:t></w:t>
      </w:r>
    </w:p>
    <w:p w14:paraId="303C65C5">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第三步：选择查询项目，目前支持查询余额资产和流水证明。</w:t>
      </w:r>
    </w:p>
    <w:p w14:paraId="1B87A34B">
      <w:pPr>
        <w:snapToGrid w:val="0"/>
        <w:spacing w:line="360" w:lineRule="auto"/>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drawing>
          <wp:inline distT="0" distB="0" distL="114300" distR="114300">
            <wp:extent cx="3034030" cy="2780665"/>
            <wp:effectExtent l="0" t="0" r="13970" b="635"/>
            <wp:docPr id="8" name="图片 8"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2"/>
                    <pic:cNvPicPr>
                      <a:picLocks noChangeAspect="1"/>
                    </pic:cNvPicPr>
                  </pic:nvPicPr>
                  <pic:blipFill>
                    <a:blip r:embed="rId12"/>
                    <a:stretch>
                      <a:fillRect/>
                    </a:stretch>
                  </pic:blipFill>
                  <pic:spPr>
                    <a:xfrm>
                      <a:off x="0" y="0"/>
                      <a:ext cx="3034030" cy="2780665"/>
                    </a:xfrm>
                    <a:prstGeom prst="rect">
                      <a:avLst/>
                    </a:prstGeom>
                  </pic:spPr>
                </pic:pic>
              </a:graphicData>
            </a:graphic>
          </wp:inline>
        </w:drawing>
      </w:r>
    </w:p>
    <w:p w14:paraId="62026A81">
      <w:pPr>
        <w:snapToGrid w:val="0"/>
        <w:spacing w:line="360" w:lineRule="auto"/>
        <w:ind w:firstLine="480" w:firstLineChars="200"/>
        <w:rPr>
          <w:rFonts w:asciiTheme="minorEastAsia" w:hAnsiTheme="minorEastAsia" w:cstheme="minorEastAsia"/>
          <w:sz w:val="24"/>
        </w:rPr>
      </w:pPr>
      <w:r>
        <w:rPr>
          <w:rFonts w:hint="eastAsia" w:asciiTheme="minorEastAsia" w:hAnsiTheme="minorEastAsia" w:eastAsiaTheme="minorEastAsia" w:cstheme="minorEastAsia"/>
          <w:sz w:val="24"/>
        </w:rPr>
        <w:t>第四步：输入函证指定接收邮箱，点击发送按钮，完成确认。</w:t>
      </w:r>
    </w:p>
    <w:p w14:paraId="1B5CF510">
      <w:pPr>
        <w:snapToGrid w:val="0"/>
        <w:spacing w:line="360" w:lineRule="auto"/>
        <w:ind w:firstLine="480" w:firstLineChars="200"/>
        <w:rPr>
          <w:rFonts w:asciiTheme="minorEastAsia" w:hAnsiTheme="minorEastAsia" w:eastAsiaTheme="minorEastAsia" w:cstheme="minorEastAsia"/>
          <w:sz w:val="24"/>
        </w:rPr>
      </w:pPr>
    </w:p>
    <w:p w14:paraId="08043AB2">
      <w:pPr>
        <w:snapToGrid w:val="0"/>
        <w:spacing w:line="360" w:lineRule="auto"/>
        <w:ind w:firstLine="480" w:firstLineChars="200"/>
        <w:rPr>
          <w:rFonts w:asciiTheme="minorEastAsia" w:hAnsiTheme="minorEastAsia" w:eastAsiaTheme="minorEastAsia" w:cstheme="minorEastAsia"/>
          <w:sz w:val="24"/>
        </w:rPr>
      </w:pPr>
    </w:p>
    <w:p w14:paraId="296FC0A6">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方法二：支付宝网页版 </w:t>
      </w:r>
    </w:p>
    <w:p w14:paraId="11981DA1">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第一步：登录支付宝</w:t>
      </w:r>
      <w:r>
        <w:rPr>
          <w:rFonts w:asciiTheme="minorEastAsia" w:hAnsiTheme="minorEastAsia" w:eastAsiaTheme="minorEastAsia" w:cstheme="minorEastAsia"/>
          <w:sz w:val="24"/>
        </w:rPr>
        <w:t>https://www.alipay.com/页面版，选择“我是个人用户”登陆。</w:t>
      </w:r>
    </w:p>
    <w:p w14:paraId="15E1DCB0">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第二步：点击右上角“交易记录”—我的账单右侧“余额收支明细”；</w:t>
      </w:r>
    </w:p>
    <w:p w14:paraId="7908CC32">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第二步：选择时间，手动设定时间，设置好后点击“收支明细证明”；</w:t>
      </w:r>
    </w:p>
    <w:p w14:paraId="728D7AEC">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第四步：输入证件号码和支付密码，点击“确定申请”；</w:t>
      </w:r>
    </w:p>
    <w:p w14:paraId="70501FBB">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第五步：点击下载电子版，或者点击发送电子版到邮箱，输入函证指定接收邮箱，点击确定按钮。</w:t>
      </w:r>
    </w:p>
    <w:p w14:paraId="6EEE05A2">
      <w:pPr>
        <w:snapToGrid w:val="0"/>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（三）更新情况说明</w:t>
      </w:r>
    </w:p>
    <w:p w14:paraId="659ED70C">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支付宝持续优化线上查询功能，注册会计师使用时需通过官方渠道（企业后台帮助中心或客服）确认最新查询路径及凭证格式，避免因系统迭代导致操作滞后。</w:t>
      </w:r>
    </w:p>
    <w:p w14:paraId="551C5357">
      <w:pPr>
        <w:snapToGrid w:val="0"/>
        <w:spacing w:before="156" w:beforeLines="50" w:after="156" w:afterLines="50" w:line="360" w:lineRule="auto"/>
        <w:ind w:firstLine="482" w:firstLineChars="200"/>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 xml:space="preserve"> 三、其他第三方支付平台的处理原则  </w:t>
      </w:r>
    </w:p>
    <w:p w14:paraId="40E5C73B">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微信支付、京东钱包、抖音支付等平台普遍存在以下特点，审计时可参照应对：</w:t>
      </w:r>
      <w:r>
        <w:rPr>
          <w:rFonts w:asciiTheme="minorEastAsia" w:hAnsiTheme="minorEastAsia" w:eastAsiaTheme="minorEastAsia" w:cstheme="minorEastAsia"/>
          <w:sz w:val="24"/>
        </w:rPr>
        <w:t xml:space="preserve">  </w:t>
      </w:r>
    </w:p>
    <w:p w14:paraId="471127E2">
      <w:pPr>
        <w:snapToGrid w:val="0"/>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（一）函证渠道限制</w:t>
      </w:r>
      <w:r>
        <w:rPr>
          <w:rFonts w:asciiTheme="minorEastAsia" w:hAnsiTheme="minorEastAsia" w:eastAsiaTheme="minorEastAsia" w:cstheme="minorEastAsia"/>
          <w:b/>
          <w:bCs/>
          <w:sz w:val="24"/>
        </w:rPr>
        <w:t xml:space="preserve"> </w:t>
      </w:r>
    </w:p>
    <w:p w14:paraId="156BBA2B">
      <w:pPr>
        <w:snapToGrid w:val="0"/>
        <w:spacing w:line="360" w:lineRule="auto"/>
        <w:rPr>
          <w:rFonts w:asciiTheme="minorEastAsia" w:hAnsiTheme="minorEastAsia" w:eastAsiaTheme="minorEastAsia" w:cstheme="minorEastAsia"/>
          <w:sz w:val="24"/>
        </w:rPr>
      </w:pPr>
      <w:r>
        <w:rPr>
          <w:rFonts w:asciiTheme="minorEastAsia" w:hAnsiTheme="minorEastAsia" w:eastAsiaTheme="minorEastAsia" w:cstheme="minorEastAsia"/>
          <w:sz w:val="24"/>
        </w:rPr>
        <w:t xml:space="preserve">    微信支付、抖音支付等暂未提供标准函证模板，需下载交易明细（如微信“账单”、抖音“对账管理”），结合银行流水、订单编号核查。  </w:t>
      </w:r>
    </w:p>
    <w:p w14:paraId="2DAF2244">
      <w:pPr>
        <w:snapToGrid w:val="0"/>
        <w:spacing w:line="360" w:lineRule="auto"/>
        <w:rPr>
          <w:rFonts w:asciiTheme="minorEastAsia" w:hAnsiTheme="minorEastAsia" w:eastAsiaTheme="minorEastAsia" w:cstheme="minorEastAsia"/>
          <w:sz w:val="24"/>
        </w:rPr>
      </w:pPr>
      <w:r>
        <w:rPr>
          <w:rFonts w:asciiTheme="minorEastAsia" w:hAnsiTheme="minorEastAsia" w:eastAsiaTheme="minorEastAsia" w:cstheme="minorEastAsia"/>
          <w:sz w:val="24"/>
        </w:rPr>
        <w:t xml:space="preserve">    京东钱包目前支持在线申请资产证明（2019年12月31日起数据），需关注平台更新的查询时间范围。  </w:t>
      </w:r>
    </w:p>
    <w:p w14:paraId="6E37882D">
      <w:pPr>
        <w:snapToGrid w:val="0"/>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（二）替代程序应用</w:t>
      </w:r>
      <w:r>
        <w:rPr>
          <w:rFonts w:asciiTheme="minorEastAsia" w:hAnsiTheme="minorEastAsia" w:eastAsiaTheme="minorEastAsia" w:cstheme="minorEastAsia"/>
          <w:b/>
          <w:bCs/>
          <w:sz w:val="24"/>
        </w:rPr>
        <w:t xml:space="preserve">  </w:t>
      </w:r>
    </w:p>
    <w:p w14:paraId="748701D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对于无法直接函证的平台，注册会计师可执行“交易明细</w:t>
      </w:r>
      <w:r>
        <w:rPr>
          <w:rFonts w:asciiTheme="minorEastAsia" w:hAnsiTheme="minorEastAsia" w:eastAsiaTheme="minorEastAsia" w:cstheme="minorEastAsia"/>
          <w:sz w:val="24"/>
        </w:rPr>
        <w:t>+资金流水+业务单据”验证，包括但不限于：下载全量交易数据，筛选重大交易匹配物流单号（如电商平台订单号）；核对第三方支付账户与银行账户的资金划转记录，确保金额、时间一致；抽取异常交易对应的合同、验收单等，验证商业实质。</w:t>
      </w:r>
    </w:p>
    <w:p w14:paraId="22210B24">
      <w:pPr>
        <w:snapToGrid w:val="0"/>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（三）动态关注平台规则</w:t>
      </w:r>
      <w:r>
        <w:rPr>
          <w:rFonts w:asciiTheme="minorEastAsia" w:hAnsiTheme="minorEastAsia" w:eastAsiaTheme="minorEastAsia" w:cstheme="minorEastAsia"/>
          <w:b/>
          <w:bCs/>
          <w:sz w:val="24"/>
        </w:rPr>
        <w:t xml:space="preserve">  </w:t>
      </w:r>
    </w:p>
    <w:p w14:paraId="115FFDD7">
      <w:pPr>
        <w:snapToGrid w:val="0"/>
        <w:spacing w:line="360" w:lineRule="auto"/>
        <w:rPr>
          <w:rFonts w:asciiTheme="minorEastAsia" w:hAnsiTheme="minorEastAsia" w:eastAsiaTheme="minorEastAsia" w:cstheme="minorEastAsia"/>
          <w:sz w:val="24"/>
        </w:rPr>
      </w:pPr>
      <w:r>
        <w:rPr>
          <w:rFonts w:asciiTheme="minorEastAsia" w:hAnsiTheme="minorEastAsia" w:eastAsiaTheme="minorEastAsia" w:cstheme="minorEastAsia"/>
          <w:sz w:val="24"/>
        </w:rPr>
        <w:t xml:space="preserve">    第三方支付功能持续迭代，注册会计师需通过平台官网、客服渠道确认最新查询方式，避免依赖过时流程。  </w:t>
      </w:r>
    </w:p>
    <w:p w14:paraId="6B27DB13">
      <w:pPr>
        <w:snapToGrid w:val="0"/>
        <w:spacing w:before="156" w:beforeLines="50" w:after="156" w:afterLines="50" w:line="360" w:lineRule="auto"/>
        <w:ind w:firstLine="480" w:firstLineChars="200"/>
        <w:rPr>
          <w:rFonts w:asciiTheme="minorEastAsia" w:hAnsiTheme="minorEastAsia" w:eastAsiaTheme="minorEastAsia" w:cstheme="minorEastAsia"/>
          <w:b/>
          <w:bCs/>
          <w:sz w:val="24"/>
        </w:rPr>
      </w:pP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四、审计程序实施要点</w:t>
      </w:r>
      <w:r>
        <w:rPr>
          <w:rFonts w:asciiTheme="minorEastAsia" w:hAnsiTheme="minorEastAsia" w:eastAsiaTheme="minorEastAsia" w:cstheme="minorEastAsia"/>
          <w:b/>
          <w:bCs/>
          <w:sz w:val="24"/>
        </w:rPr>
        <w:t xml:space="preserve">  </w:t>
      </w:r>
    </w:p>
    <w:p w14:paraId="72F6FA2C">
      <w:pPr>
        <w:snapToGrid w:val="0"/>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（一）风险评估前置</w:t>
      </w:r>
    </w:p>
    <w:p w14:paraId="046000A7">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判断第三方支付账户是否为重大交易载体，如电商企业需重点核查支付宝</w:t>
      </w:r>
      <w:r>
        <w:rPr>
          <w:rFonts w:asciiTheme="minorEastAsia" w:hAnsiTheme="minorEastAsia" w:eastAsiaTheme="minorEastAsia" w:cstheme="minorEastAsia"/>
          <w:sz w:val="24"/>
        </w:rPr>
        <w:t xml:space="preserve">/微信支付流水。  </w:t>
      </w:r>
    </w:p>
    <w:p w14:paraId="0433353A">
      <w:pPr>
        <w:snapToGrid w:val="0"/>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（二）电子证据核验</w:t>
      </w:r>
    </w:p>
    <w:p w14:paraId="7607E1E8">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通过平台官方渠道验证电子凭证真伪，禁止接受被审计单位转发的非加密文件。</w:t>
      </w:r>
      <w:r>
        <w:rPr>
          <w:rFonts w:asciiTheme="minorEastAsia" w:hAnsiTheme="minorEastAsia" w:eastAsiaTheme="minorEastAsia" w:cstheme="minorEastAsia"/>
          <w:sz w:val="24"/>
        </w:rPr>
        <w:t xml:space="preserve">  </w:t>
      </w:r>
    </w:p>
    <w:p w14:paraId="00C1AF77">
      <w:pPr>
        <w:snapToGrid w:val="0"/>
        <w:spacing w:line="360" w:lineRule="auto"/>
        <w:ind w:left="420" w:left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（三）底稿完整留存</w:t>
      </w:r>
    </w:p>
    <w:p w14:paraId="574282AF">
      <w:pPr>
        <w:snapToGrid w:val="0"/>
        <w:spacing w:line="360" w:lineRule="auto"/>
        <w:ind w:left="420" w:left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保存凭证下载路径截图、系统日志、平台规则说明等，确保函证过程可追溯。</w:t>
      </w:r>
      <w:r>
        <w:rPr>
          <w:rFonts w:asciiTheme="minorEastAsia" w:hAnsiTheme="minorEastAsia" w:eastAsiaTheme="minorEastAsia" w:cstheme="minorEastAsia"/>
          <w:sz w:val="24"/>
        </w:rPr>
        <w:t xml:space="preserve">  </w:t>
      </w:r>
    </w:p>
    <w:p w14:paraId="3D165C74">
      <w:pPr>
        <w:snapToGrid w:val="0"/>
        <w:spacing w:line="360" w:lineRule="auto"/>
        <w:rPr>
          <w:rFonts w:asciiTheme="minorEastAsia" w:hAnsiTheme="minorEastAsia" w:eastAsiaTheme="minorEastAsia" w:cstheme="minorEastAsia"/>
          <w:sz w:val="24"/>
        </w:rPr>
      </w:pPr>
    </w:p>
    <w:p w14:paraId="32CDE93C">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三方支付平台函证需打破传统函证思维，依托线上自助工具与多维交叉验证，在数字化证据链中筑牢风险防线。注册会计师应聚焦“数据来源可靠性”与“业务逻辑匹配性”，将平台特性融入审计程序设计，确保在新兴支付场景下获取充分适当的审计证据。</w:t>
      </w:r>
    </w:p>
    <w:p w14:paraId="72D3757F">
      <w:pPr>
        <w:snapToGrid w:val="0"/>
        <w:spacing w:line="360" w:lineRule="auto"/>
        <w:ind w:firstLine="482" w:firstLineChars="200"/>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br w:type="page"/>
      </w:r>
    </w:p>
    <w:p w14:paraId="03B228A1">
      <w:pPr>
        <w:snapToGrid w:val="0"/>
        <w:spacing w:line="360" w:lineRule="auto"/>
        <w:jc w:val="center"/>
        <w:outlineLvl w:val="0"/>
        <w:rPr>
          <w:rFonts w:ascii="方正小标宋简体" w:hAnsi="方正小标宋简体" w:eastAsia="方正小标宋简体" w:cs="方正小标宋简体"/>
          <w:b w:val="0"/>
          <w:bCs w:val="0"/>
          <w:sz w:val="30"/>
          <w:szCs w:val="30"/>
        </w:rPr>
      </w:pPr>
      <w:bookmarkStart w:id="91" w:name="_Toc2226"/>
      <w:bookmarkStart w:id="92" w:name="_Toc22538"/>
      <w:bookmarkStart w:id="93" w:name="_Toc6049"/>
      <w:r>
        <w:rPr>
          <w:rFonts w:hint="eastAsia" w:ascii="方正小标宋简体" w:hAnsi="方正小标宋简体" w:eastAsia="方正小标宋简体" w:cs="方正小标宋简体"/>
          <w:b w:val="0"/>
          <w:bCs w:val="0"/>
          <w:sz w:val="30"/>
          <w:szCs w:val="30"/>
        </w:rPr>
        <w:t>第七章</w:t>
      </w:r>
      <w:r>
        <w:rPr>
          <w:rFonts w:hint="eastAsia" w:ascii="方正小标宋简体" w:hAnsi="方正小标宋简体" w:eastAsia="方正小标宋简体" w:cs="方正小标宋简体"/>
          <w:sz w:val="30"/>
          <w:szCs w:val="30"/>
        </w:rPr>
        <w:t xml:space="preserve">  </w:t>
      </w:r>
      <w:r>
        <w:rPr>
          <w:rFonts w:hint="eastAsia" w:ascii="方正小标宋简体" w:hAnsi="方正小标宋简体" w:eastAsia="方正小标宋简体" w:cs="方正小标宋简体"/>
          <w:b w:val="0"/>
          <w:bCs w:val="0"/>
          <w:sz w:val="30"/>
          <w:szCs w:val="30"/>
        </w:rPr>
        <w:t>附则</w:t>
      </w:r>
      <w:bookmarkEnd w:id="91"/>
      <w:bookmarkEnd w:id="92"/>
      <w:bookmarkEnd w:id="93"/>
    </w:p>
    <w:p w14:paraId="2EFF4CF3">
      <w:pPr>
        <w:snapToGrid w:val="0"/>
        <w:spacing w:line="360" w:lineRule="auto"/>
        <w:ind w:firstLine="480"/>
        <w:rPr>
          <w:rFonts w:asciiTheme="minorEastAsia" w:hAnsiTheme="minorEastAsia" w:cstheme="minorEastAsia"/>
          <w:sz w:val="24"/>
        </w:rPr>
      </w:pPr>
    </w:p>
    <w:p w14:paraId="4E39EF2D">
      <w:pPr>
        <w:snapToGrid w:val="0"/>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则中的各附录旨在为审计工作提供参考和指引。附录中的函证计划模板、询证函格式模板及工作底稿示例，均属于通用性参考材料，并非对审计程序的完整涵盖。注册会计师在实际审计工作中，需结合项目特性、客户实际经营状况及风险特征等因素，灵活且审慎地执行相应审计程序，以确保审计工作的质量与有效性。</w:t>
      </w:r>
    </w:p>
    <w:p w14:paraId="2B90E150">
      <w:pPr>
        <w:snapToGrid w:val="0"/>
        <w:spacing w:line="360" w:lineRule="auto"/>
        <w:ind w:firstLine="480"/>
        <w:rPr>
          <w:rFonts w:asciiTheme="minorEastAsia" w:hAnsiTheme="minorEastAsia" w:eastAsiaTheme="minorEastAsia" w:cstheme="minorEastAsia"/>
          <w:sz w:val="24"/>
        </w:rPr>
      </w:pPr>
    </w:p>
    <w:p w14:paraId="44651AC2">
      <w:pPr>
        <w:snapToGrid w:val="0"/>
        <w:spacing w:line="360" w:lineRule="auto"/>
        <w:ind w:firstLine="480" w:firstLineChars="200"/>
        <w:outlineLvl w:val="0"/>
        <w:rPr>
          <w:rFonts w:asciiTheme="minorEastAsia" w:hAnsiTheme="minorEastAsia" w:eastAsiaTheme="minorEastAsia" w:cstheme="minorEastAsia"/>
          <w:sz w:val="24"/>
        </w:rPr>
      </w:pPr>
      <w:bookmarkStart w:id="94" w:name="_Toc10314"/>
      <w:bookmarkStart w:id="95" w:name="_Toc25702"/>
      <w:bookmarkStart w:id="96" w:name="_Toc24953"/>
      <w:r>
        <w:rPr>
          <w:rFonts w:hint="eastAsia" w:asciiTheme="minorEastAsia" w:hAnsiTheme="minorEastAsia" w:eastAsiaTheme="minorEastAsia" w:cstheme="minorEastAsia"/>
          <w:sz w:val="24"/>
        </w:rPr>
        <w:t>附录：</w:t>
      </w:r>
      <w:r>
        <w:rPr>
          <w:rFonts w:asciiTheme="minorEastAsia" w:hAnsiTheme="minorEastAsia" w:eastAsiaTheme="minorEastAsia" w:cstheme="minorEastAsia"/>
          <w:sz w:val="24"/>
        </w:rPr>
        <w:t>1.</w:t>
      </w:r>
      <w:r>
        <w:rPr>
          <w:rFonts w:hint="eastAsia" w:asciiTheme="minorEastAsia" w:hAnsiTheme="minorEastAsia" w:eastAsiaTheme="minorEastAsia" w:cstheme="minorEastAsia"/>
          <w:sz w:val="24"/>
        </w:rPr>
        <w:t>函证计划参考模板</w:t>
      </w:r>
      <w:bookmarkEnd w:id="94"/>
      <w:bookmarkEnd w:id="95"/>
      <w:bookmarkEnd w:id="96"/>
    </w:p>
    <w:p w14:paraId="2BEBB739">
      <w:pPr>
        <w:snapToGrid w:val="0"/>
        <w:spacing w:line="360" w:lineRule="auto"/>
        <w:ind w:firstLine="480" w:firstLineChars="200"/>
        <w:outlineLvl w:val="0"/>
        <w:rPr>
          <w:rFonts w:asciiTheme="minorEastAsia" w:hAnsiTheme="minorEastAsia" w:eastAsiaTheme="minorEastAsia" w:cstheme="minorEastAsia"/>
          <w:sz w:val="24"/>
        </w:rPr>
      </w:pPr>
      <w:bookmarkStart w:id="97" w:name="_Toc29447"/>
      <w:r>
        <w:rPr>
          <w:rFonts w:asciiTheme="minorEastAsia" w:hAnsiTheme="minorEastAsia" w:eastAsiaTheme="minorEastAsia" w:cstheme="minorEastAsia"/>
          <w:sz w:val="24"/>
        </w:rPr>
        <w:t xml:space="preserve">      </w:t>
      </w:r>
      <w:bookmarkStart w:id="98" w:name="_Toc31521"/>
      <w:bookmarkStart w:id="99" w:name="_Toc10271"/>
      <w:r>
        <w:rPr>
          <w:rFonts w:asciiTheme="minorEastAsia" w:hAnsiTheme="minorEastAsia" w:eastAsiaTheme="minorEastAsia" w:cstheme="minorEastAsia"/>
          <w:sz w:val="24"/>
        </w:rPr>
        <w:t>2.</w:t>
      </w:r>
      <w:r>
        <w:rPr>
          <w:rFonts w:hint="eastAsia" w:asciiTheme="minorEastAsia" w:hAnsiTheme="minorEastAsia" w:eastAsiaTheme="minorEastAsia" w:cstheme="minorEastAsia"/>
          <w:sz w:val="24"/>
        </w:rPr>
        <w:t>常用询证函格式模板</w:t>
      </w:r>
      <w:bookmarkEnd w:id="97"/>
      <w:bookmarkEnd w:id="98"/>
      <w:bookmarkEnd w:id="99"/>
    </w:p>
    <w:p w14:paraId="37F9122A">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 xml:space="preserve">      3.</w:t>
      </w:r>
      <w:r>
        <w:rPr>
          <w:rFonts w:hint="eastAsia" w:asciiTheme="minorEastAsia" w:hAnsiTheme="minorEastAsia" w:eastAsiaTheme="minorEastAsia" w:cstheme="minorEastAsia"/>
          <w:sz w:val="24"/>
        </w:rPr>
        <w:t>应收账款函证工作底稿参考案例</w:t>
      </w:r>
    </w:p>
    <w:p w14:paraId="0E386352">
      <w:pPr>
        <w:snapToGrid w:val="0"/>
        <w:spacing w:line="360" w:lineRule="auto"/>
        <w:ind w:firstLine="480" w:firstLineChars="200"/>
        <w:rPr>
          <w:rFonts w:asciiTheme="minorEastAsia" w:hAnsiTheme="minorEastAsia" w:cstheme="minorEastAsia"/>
          <w:sz w:val="24"/>
        </w:rPr>
      </w:pPr>
      <w:r>
        <w:rPr>
          <w:rFonts w:asciiTheme="minorEastAsia" w:hAnsiTheme="minorEastAsia" w:eastAsiaTheme="minorEastAsia" w:cstheme="minorEastAsia"/>
          <w:sz w:val="24"/>
        </w:rPr>
        <w:t xml:space="preserve">      4.</w:t>
      </w:r>
      <w:r>
        <w:rPr>
          <w:rFonts w:hint="eastAsia" w:asciiTheme="minorEastAsia" w:hAnsiTheme="minorEastAsia" w:eastAsiaTheme="minorEastAsia" w:cstheme="minorEastAsia"/>
          <w:sz w:val="24"/>
        </w:rPr>
        <w:t>函证失败典型审计案例</w:t>
      </w:r>
    </w:p>
    <w:p w14:paraId="1A47B72A">
      <w:pPr>
        <w:snapToGrid w:val="0"/>
        <w:spacing w:line="360" w:lineRule="auto"/>
        <w:ind w:firstLine="480" w:firstLineChars="200"/>
        <w:rPr>
          <w:rFonts w:asciiTheme="minorEastAsia" w:hAnsiTheme="minorEastAsia" w:cstheme="minorEastAsia"/>
          <w:sz w:val="24"/>
        </w:rPr>
      </w:pPr>
    </w:p>
    <w:p w14:paraId="0BA5BD86">
      <w:pPr>
        <w:snapToGrid w:val="0"/>
        <w:spacing w:line="360" w:lineRule="auto"/>
        <w:ind w:firstLine="480" w:firstLineChars="200"/>
        <w:rPr>
          <w:rFonts w:asciiTheme="minorEastAsia" w:hAnsiTheme="minorEastAsia" w:eastAsiaTheme="minorEastAsia" w:cstheme="minorEastAsia"/>
          <w:sz w:val="24"/>
        </w:rPr>
      </w:pPr>
    </w:p>
    <w:p w14:paraId="2DEA8A5E">
      <w:pPr>
        <w:spacing w:line="360" w:lineRule="auto"/>
        <w:ind w:firstLine="480" w:firstLineChars="200"/>
        <w:rPr>
          <w:rFonts w:ascii="仿宋" w:hAnsi="仿宋" w:eastAsia="仿宋" w:cs="仿宋"/>
          <w:sz w:val="24"/>
        </w:rPr>
      </w:pPr>
    </w:p>
    <w:p w14:paraId="1D64A74B">
      <w:pPr>
        <w:spacing w:line="360" w:lineRule="auto"/>
        <w:ind w:firstLine="480" w:firstLineChars="200"/>
        <w:jc w:val="center"/>
        <w:rPr>
          <w:rFonts w:ascii="仿宋" w:hAnsi="仿宋" w:eastAsia="仿宋" w:cs="仿宋"/>
          <w:sz w:val="24"/>
        </w:rPr>
      </w:pPr>
      <w:r>
        <w:rPr>
          <w:rFonts w:ascii="仿宋" w:hAnsi="仿宋" w:eastAsia="仿宋" w:cs="仿宋"/>
          <w:sz w:val="24"/>
        </w:rPr>
        <w:drawing>
          <wp:inline distT="0" distB="0" distL="0" distR="0">
            <wp:extent cx="2162175" cy="2162175"/>
            <wp:effectExtent l="0" t="0" r="9525" b="9525"/>
            <wp:docPr id="12" name="图片 12" descr="C:\Users\Administrator\Desktop\函证 附录.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strator\Desktop\函证 附录.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162175" cy="2162175"/>
                    </a:xfrm>
                    <a:prstGeom prst="rect">
                      <a:avLst/>
                    </a:prstGeom>
                    <a:noFill/>
                    <a:ln>
                      <a:noFill/>
                    </a:ln>
                  </pic:spPr>
                </pic:pic>
              </a:graphicData>
            </a:graphic>
          </wp:inline>
        </w:drawing>
      </w:r>
    </w:p>
    <w:p w14:paraId="65BD2F8C">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（扫码查看附录）</w:t>
      </w:r>
    </w:p>
    <w:sectPr>
      <w:pgSz w:w="11906" w:h="16838"/>
      <w:pgMar w:top="1417" w:right="1644" w:bottom="1417" w:left="1644" w:header="851" w:footer="850"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宋黑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16A5F">
    <w:pPr>
      <w:pStyle w:val="6"/>
      <w:tabs>
        <w:tab w:val="center" w:pos="4422"/>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041DF">
    <w:pPr>
      <w:pStyle w:val="6"/>
      <w:tabs>
        <w:tab w:val="center" w:pos="4422"/>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2820B">
    <w:pPr>
      <w:pStyle w:val="6"/>
      <w:tabs>
        <w:tab w:val="left" w:pos="6304"/>
        <w:tab w:val="left" w:pos="7242"/>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0C804D">
                          <w:pPr>
                            <w:pStyle w:val="6"/>
                            <w:rPr>
                              <w:rFonts w:asciiTheme="minorEastAsia" w:hAnsi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rPr>
                            <w:t>65</w:t>
                          </w:r>
                          <w:r>
                            <w:rPr>
                              <w:rFonts w:hint="eastAsia" w:asciiTheme="minorEastAsia" w:hAnsi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B0C804D">
                    <w:pPr>
                      <w:pStyle w:val="6"/>
                      <w:rPr>
                        <w:rFonts w:asciiTheme="minorEastAsia" w:hAnsi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rPr>
                      <w:t>65</w:t>
                    </w:r>
                    <w:r>
                      <w:rPr>
                        <w:rFonts w:hint="eastAsia" w:asciiTheme="minorEastAsia" w:hAnsiTheme="minorEastAsia" w:cstheme="minorEastAsia"/>
                        <w:sz w:val="24"/>
                        <w:szCs w:val="24"/>
                      </w:rPr>
                      <w:fldChar w:fldCharType="end"/>
                    </w:r>
                  </w:p>
                </w:txbxContent>
              </v:textbox>
            </v:shape>
          </w:pict>
        </mc:Fallback>
      </mc:AlternateContent>
    </w:r>
    <w:r>
      <w:rPr>
        <w:rFonts w:hint="eastAsia"/>
      </w:rPr>
      <w:tab/>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D7E0C"/>
    <w:multiLevelType w:val="singleLevel"/>
    <w:tmpl w:val="9EAD7E0C"/>
    <w:lvl w:ilvl="0" w:tentative="0">
      <w:start w:val="1"/>
      <w:numFmt w:val="chineseCounting"/>
      <w:suff w:val="nothing"/>
      <w:lvlText w:val="（%1）"/>
      <w:lvlJc w:val="left"/>
      <w:rPr>
        <w:rFonts w:hint="eastAsia"/>
      </w:rPr>
    </w:lvl>
  </w:abstractNum>
  <w:abstractNum w:abstractNumId="1">
    <w:nsid w:val="BE3F02D3"/>
    <w:multiLevelType w:val="singleLevel"/>
    <w:tmpl w:val="BE3F02D3"/>
    <w:lvl w:ilvl="0" w:tentative="0">
      <w:start w:val="2"/>
      <w:numFmt w:val="chineseCounting"/>
      <w:suff w:val="nothing"/>
      <w:lvlText w:val="（%1）"/>
      <w:lvlJc w:val="left"/>
      <w:rPr>
        <w:rFonts w:hint="eastAsia"/>
      </w:rPr>
    </w:lvl>
  </w:abstractNum>
  <w:abstractNum w:abstractNumId="2">
    <w:nsid w:val="D72378B9"/>
    <w:multiLevelType w:val="singleLevel"/>
    <w:tmpl w:val="D72378B9"/>
    <w:lvl w:ilvl="0" w:tentative="0">
      <w:start w:val="1"/>
      <w:numFmt w:val="chineseCounting"/>
      <w:suff w:val="nothing"/>
      <w:lvlText w:val="（%1）"/>
      <w:lvlJc w:val="left"/>
      <w:rPr>
        <w:rFonts w:hint="eastAsia"/>
      </w:rPr>
    </w:lvl>
  </w:abstractNum>
  <w:abstractNum w:abstractNumId="3">
    <w:nsid w:val="E737F6B4"/>
    <w:multiLevelType w:val="singleLevel"/>
    <w:tmpl w:val="E737F6B4"/>
    <w:lvl w:ilvl="0" w:tentative="0">
      <w:start w:val="2"/>
      <w:numFmt w:val="decimal"/>
      <w:suff w:val="nothing"/>
      <w:lvlText w:val="（%1）"/>
      <w:lvlJc w:val="left"/>
    </w:lvl>
  </w:abstractNum>
  <w:abstractNum w:abstractNumId="4">
    <w:nsid w:val="F9927E18"/>
    <w:multiLevelType w:val="singleLevel"/>
    <w:tmpl w:val="F9927E18"/>
    <w:lvl w:ilvl="0" w:tentative="0">
      <w:start w:val="2"/>
      <w:numFmt w:val="decimal"/>
      <w:suff w:val="nothing"/>
      <w:lvlText w:val="（%1）"/>
      <w:lvlJc w:val="left"/>
    </w:lvl>
  </w:abstractNum>
  <w:abstractNum w:abstractNumId="5">
    <w:nsid w:val="13F6DD14"/>
    <w:multiLevelType w:val="singleLevel"/>
    <w:tmpl w:val="13F6DD14"/>
    <w:lvl w:ilvl="0" w:tentative="0">
      <w:start w:val="2"/>
      <w:numFmt w:val="decimal"/>
      <w:suff w:val="nothing"/>
      <w:lvlText w:val="（%1）"/>
      <w:lvlJc w:val="left"/>
    </w:lvl>
  </w:abstractNum>
  <w:abstractNum w:abstractNumId="6">
    <w:nsid w:val="16661C19"/>
    <w:multiLevelType w:val="singleLevel"/>
    <w:tmpl w:val="16661C19"/>
    <w:lvl w:ilvl="0" w:tentative="0">
      <w:start w:val="1"/>
      <w:numFmt w:val="decimal"/>
      <w:suff w:val="nothing"/>
      <w:lvlText w:val="（%1）"/>
      <w:lvlJc w:val="left"/>
    </w:lvl>
  </w:abstractNum>
  <w:abstractNum w:abstractNumId="7">
    <w:nsid w:val="6D19B2EA"/>
    <w:multiLevelType w:val="singleLevel"/>
    <w:tmpl w:val="6D19B2EA"/>
    <w:lvl w:ilvl="0" w:tentative="0">
      <w:start w:val="1"/>
      <w:numFmt w:val="chineseCounting"/>
      <w:suff w:val="nothing"/>
      <w:lvlText w:val="%1、"/>
      <w:lvlJc w:val="left"/>
      <w:rPr>
        <w:rFonts w:hint="eastAsia"/>
      </w:rPr>
    </w:lvl>
  </w:abstractNum>
  <w:abstractNum w:abstractNumId="8">
    <w:nsid w:val="6E30A7FD"/>
    <w:multiLevelType w:val="singleLevel"/>
    <w:tmpl w:val="6E30A7FD"/>
    <w:lvl w:ilvl="0" w:tentative="0">
      <w:start w:val="2"/>
      <w:numFmt w:val="chineseCounting"/>
      <w:suff w:val="nothing"/>
      <w:lvlText w:val="（%1）"/>
      <w:lvlJc w:val="left"/>
      <w:rPr>
        <w:rFonts w:hint="eastAsia"/>
      </w:rPr>
    </w:lvl>
  </w:abstractNum>
  <w:abstractNum w:abstractNumId="9">
    <w:nsid w:val="7716FD4A"/>
    <w:multiLevelType w:val="singleLevel"/>
    <w:tmpl w:val="7716FD4A"/>
    <w:lvl w:ilvl="0" w:tentative="0">
      <w:start w:val="1"/>
      <w:numFmt w:val="chineseCounting"/>
      <w:suff w:val="nothing"/>
      <w:lvlText w:val="（%1）"/>
      <w:lvlJc w:val="left"/>
      <w:rPr>
        <w:rFonts w:hint="eastAsia"/>
      </w:rPr>
    </w:lvl>
  </w:abstractNum>
  <w:num w:numId="1">
    <w:abstractNumId w:val="9"/>
  </w:num>
  <w:num w:numId="2">
    <w:abstractNumId w:val="7"/>
  </w:num>
  <w:num w:numId="3">
    <w:abstractNumId w:val="8"/>
  </w:num>
  <w:num w:numId="4">
    <w:abstractNumId w:val="1"/>
  </w:num>
  <w:num w:numId="5">
    <w:abstractNumId w:val="5"/>
  </w:num>
  <w:num w:numId="6">
    <w:abstractNumId w:val="4"/>
  </w:num>
  <w:num w:numId="7">
    <w:abstractNumId w:val="6"/>
  </w:num>
  <w:num w:numId="8">
    <w:abstractNumId w:val="3"/>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186BA5"/>
    <w:rsid w:val="00012B1C"/>
    <w:rsid w:val="00024E31"/>
    <w:rsid w:val="00027979"/>
    <w:rsid w:val="00051FF8"/>
    <w:rsid w:val="000925EB"/>
    <w:rsid w:val="000B2DB0"/>
    <w:rsid w:val="000D75BD"/>
    <w:rsid w:val="000E00B4"/>
    <w:rsid w:val="000E34D6"/>
    <w:rsid w:val="001205B8"/>
    <w:rsid w:val="0012122A"/>
    <w:rsid w:val="0014717D"/>
    <w:rsid w:val="00150FE5"/>
    <w:rsid w:val="00154AE5"/>
    <w:rsid w:val="00160B8E"/>
    <w:rsid w:val="00162A85"/>
    <w:rsid w:val="00163801"/>
    <w:rsid w:val="00173965"/>
    <w:rsid w:val="001B1901"/>
    <w:rsid w:val="001D3B03"/>
    <w:rsid w:val="001D59C9"/>
    <w:rsid w:val="001E5BEC"/>
    <w:rsid w:val="00233A11"/>
    <w:rsid w:val="002360A0"/>
    <w:rsid w:val="00250A0D"/>
    <w:rsid w:val="002D2F2D"/>
    <w:rsid w:val="002E2B4D"/>
    <w:rsid w:val="003049F0"/>
    <w:rsid w:val="00317D55"/>
    <w:rsid w:val="00362F54"/>
    <w:rsid w:val="003713EA"/>
    <w:rsid w:val="003A4B86"/>
    <w:rsid w:val="003B2921"/>
    <w:rsid w:val="003B4630"/>
    <w:rsid w:val="003B4F8C"/>
    <w:rsid w:val="003C7DE3"/>
    <w:rsid w:val="003D3076"/>
    <w:rsid w:val="003D58F4"/>
    <w:rsid w:val="003D5EF2"/>
    <w:rsid w:val="003E2107"/>
    <w:rsid w:val="003E34B3"/>
    <w:rsid w:val="003E633D"/>
    <w:rsid w:val="0040549D"/>
    <w:rsid w:val="004101B3"/>
    <w:rsid w:val="00435CA4"/>
    <w:rsid w:val="004702BE"/>
    <w:rsid w:val="00473964"/>
    <w:rsid w:val="00493EC9"/>
    <w:rsid w:val="00496A42"/>
    <w:rsid w:val="004A6E80"/>
    <w:rsid w:val="004D3090"/>
    <w:rsid w:val="004E7F2E"/>
    <w:rsid w:val="004F4CF0"/>
    <w:rsid w:val="00503154"/>
    <w:rsid w:val="00513659"/>
    <w:rsid w:val="00523278"/>
    <w:rsid w:val="00547168"/>
    <w:rsid w:val="005475F3"/>
    <w:rsid w:val="005559C4"/>
    <w:rsid w:val="00575709"/>
    <w:rsid w:val="005970D3"/>
    <w:rsid w:val="005D2729"/>
    <w:rsid w:val="005F5A53"/>
    <w:rsid w:val="00640982"/>
    <w:rsid w:val="0065194C"/>
    <w:rsid w:val="0068750E"/>
    <w:rsid w:val="006A56D1"/>
    <w:rsid w:val="006E100B"/>
    <w:rsid w:val="006E1F16"/>
    <w:rsid w:val="0071233F"/>
    <w:rsid w:val="0074056C"/>
    <w:rsid w:val="0078184B"/>
    <w:rsid w:val="00786A67"/>
    <w:rsid w:val="007A7314"/>
    <w:rsid w:val="007F028C"/>
    <w:rsid w:val="008254F5"/>
    <w:rsid w:val="0086219D"/>
    <w:rsid w:val="00863319"/>
    <w:rsid w:val="00890DFC"/>
    <w:rsid w:val="008945C0"/>
    <w:rsid w:val="008A65AA"/>
    <w:rsid w:val="008D2011"/>
    <w:rsid w:val="008F322A"/>
    <w:rsid w:val="009206A4"/>
    <w:rsid w:val="00930769"/>
    <w:rsid w:val="009330A8"/>
    <w:rsid w:val="00935A15"/>
    <w:rsid w:val="00970D4E"/>
    <w:rsid w:val="0098261E"/>
    <w:rsid w:val="00985837"/>
    <w:rsid w:val="00990A40"/>
    <w:rsid w:val="009B0218"/>
    <w:rsid w:val="009C66D3"/>
    <w:rsid w:val="009E41A8"/>
    <w:rsid w:val="009F76B9"/>
    <w:rsid w:val="00A01574"/>
    <w:rsid w:val="00A07EEF"/>
    <w:rsid w:val="00A144CD"/>
    <w:rsid w:val="00A320D3"/>
    <w:rsid w:val="00A61440"/>
    <w:rsid w:val="00A71175"/>
    <w:rsid w:val="00AA5826"/>
    <w:rsid w:val="00AC7E49"/>
    <w:rsid w:val="00AD38E2"/>
    <w:rsid w:val="00B0037C"/>
    <w:rsid w:val="00B04529"/>
    <w:rsid w:val="00B52257"/>
    <w:rsid w:val="00B655B7"/>
    <w:rsid w:val="00B66727"/>
    <w:rsid w:val="00B84D9C"/>
    <w:rsid w:val="00B86CDD"/>
    <w:rsid w:val="00B87CF9"/>
    <w:rsid w:val="00BD7ADF"/>
    <w:rsid w:val="00BE6465"/>
    <w:rsid w:val="00BF0067"/>
    <w:rsid w:val="00BF752B"/>
    <w:rsid w:val="00C1518E"/>
    <w:rsid w:val="00C33275"/>
    <w:rsid w:val="00C44864"/>
    <w:rsid w:val="00C46E14"/>
    <w:rsid w:val="00C4710D"/>
    <w:rsid w:val="00C9321F"/>
    <w:rsid w:val="00CD0A93"/>
    <w:rsid w:val="00CE6BE8"/>
    <w:rsid w:val="00CF264A"/>
    <w:rsid w:val="00CF58E8"/>
    <w:rsid w:val="00D17EFA"/>
    <w:rsid w:val="00D32152"/>
    <w:rsid w:val="00D37279"/>
    <w:rsid w:val="00D40741"/>
    <w:rsid w:val="00D42B42"/>
    <w:rsid w:val="00D543EB"/>
    <w:rsid w:val="00D74C0E"/>
    <w:rsid w:val="00D76785"/>
    <w:rsid w:val="00D804AF"/>
    <w:rsid w:val="00DB77DD"/>
    <w:rsid w:val="00E053D5"/>
    <w:rsid w:val="00E405B3"/>
    <w:rsid w:val="00E44CA3"/>
    <w:rsid w:val="00E5543F"/>
    <w:rsid w:val="00E568A7"/>
    <w:rsid w:val="00EA427F"/>
    <w:rsid w:val="00EB01B1"/>
    <w:rsid w:val="00EB55FD"/>
    <w:rsid w:val="00F213CF"/>
    <w:rsid w:val="00F248ED"/>
    <w:rsid w:val="00F26029"/>
    <w:rsid w:val="00F47306"/>
    <w:rsid w:val="00F714D6"/>
    <w:rsid w:val="00F722A5"/>
    <w:rsid w:val="00F75B06"/>
    <w:rsid w:val="00F84FEA"/>
    <w:rsid w:val="00F97548"/>
    <w:rsid w:val="00FA0871"/>
    <w:rsid w:val="00FA1F7C"/>
    <w:rsid w:val="00FB28E1"/>
    <w:rsid w:val="00FB6229"/>
    <w:rsid w:val="00FB68F7"/>
    <w:rsid w:val="00FE75FB"/>
    <w:rsid w:val="016025FC"/>
    <w:rsid w:val="01E2049B"/>
    <w:rsid w:val="020F2B89"/>
    <w:rsid w:val="026A06EA"/>
    <w:rsid w:val="02993385"/>
    <w:rsid w:val="02D45932"/>
    <w:rsid w:val="02D47275"/>
    <w:rsid w:val="03EF6DCE"/>
    <w:rsid w:val="03F25F90"/>
    <w:rsid w:val="04706892"/>
    <w:rsid w:val="049031F8"/>
    <w:rsid w:val="04D70E27"/>
    <w:rsid w:val="04D76D61"/>
    <w:rsid w:val="04E2307E"/>
    <w:rsid w:val="04F20392"/>
    <w:rsid w:val="05236ED1"/>
    <w:rsid w:val="05B922DB"/>
    <w:rsid w:val="05F42399"/>
    <w:rsid w:val="06367DD0"/>
    <w:rsid w:val="06AF6C6E"/>
    <w:rsid w:val="071945DB"/>
    <w:rsid w:val="07442078"/>
    <w:rsid w:val="078B581D"/>
    <w:rsid w:val="08291D9A"/>
    <w:rsid w:val="09437479"/>
    <w:rsid w:val="0949606C"/>
    <w:rsid w:val="0A0C5C05"/>
    <w:rsid w:val="0AEA0054"/>
    <w:rsid w:val="0B0E131B"/>
    <w:rsid w:val="0B9F3D21"/>
    <w:rsid w:val="0BBA7B3F"/>
    <w:rsid w:val="0BCB4445"/>
    <w:rsid w:val="0BD35C6B"/>
    <w:rsid w:val="0C0C748E"/>
    <w:rsid w:val="0C186BA5"/>
    <w:rsid w:val="0C281F4A"/>
    <w:rsid w:val="0C460CC2"/>
    <w:rsid w:val="0CC1463D"/>
    <w:rsid w:val="0D443A40"/>
    <w:rsid w:val="0DB34455"/>
    <w:rsid w:val="0DFE4B58"/>
    <w:rsid w:val="0E413A70"/>
    <w:rsid w:val="0E79349E"/>
    <w:rsid w:val="0E8C4A31"/>
    <w:rsid w:val="0F376B6C"/>
    <w:rsid w:val="0F893922"/>
    <w:rsid w:val="106317C1"/>
    <w:rsid w:val="116A39A2"/>
    <w:rsid w:val="12394ECF"/>
    <w:rsid w:val="124236AB"/>
    <w:rsid w:val="125835AC"/>
    <w:rsid w:val="132C0455"/>
    <w:rsid w:val="135172E5"/>
    <w:rsid w:val="135C3CDA"/>
    <w:rsid w:val="14104866"/>
    <w:rsid w:val="149135B5"/>
    <w:rsid w:val="14C307F1"/>
    <w:rsid w:val="14C64133"/>
    <w:rsid w:val="154428DB"/>
    <w:rsid w:val="15A5462A"/>
    <w:rsid w:val="161A5651"/>
    <w:rsid w:val="16824D24"/>
    <w:rsid w:val="16913E72"/>
    <w:rsid w:val="16C6162F"/>
    <w:rsid w:val="16D30AC9"/>
    <w:rsid w:val="17497F06"/>
    <w:rsid w:val="17546C84"/>
    <w:rsid w:val="17773DA4"/>
    <w:rsid w:val="18095344"/>
    <w:rsid w:val="182125E3"/>
    <w:rsid w:val="1867217A"/>
    <w:rsid w:val="19444F7B"/>
    <w:rsid w:val="195E3656"/>
    <w:rsid w:val="198F1D8F"/>
    <w:rsid w:val="1A3D12D5"/>
    <w:rsid w:val="1A5C56F8"/>
    <w:rsid w:val="1A6F7950"/>
    <w:rsid w:val="1B397CEE"/>
    <w:rsid w:val="1B484046"/>
    <w:rsid w:val="1B613FD4"/>
    <w:rsid w:val="1BAA3C98"/>
    <w:rsid w:val="1C010224"/>
    <w:rsid w:val="1C112A19"/>
    <w:rsid w:val="1DE05580"/>
    <w:rsid w:val="1E6E4649"/>
    <w:rsid w:val="1EA336D1"/>
    <w:rsid w:val="1EB663BA"/>
    <w:rsid w:val="1F105C1F"/>
    <w:rsid w:val="1F4F0B96"/>
    <w:rsid w:val="1F7F413E"/>
    <w:rsid w:val="1FA17144"/>
    <w:rsid w:val="1FC35711"/>
    <w:rsid w:val="1FE10954"/>
    <w:rsid w:val="2020147D"/>
    <w:rsid w:val="203903AF"/>
    <w:rsid w:val="209E17D0"/>
    <w:rsid w:val="21465FC9"/>
    <w:rsid w:val="21B445C8"/>
    <w:rsid w:val="222A671B"/>
    <w:rsid w:val="22B34D75"/>
    <w:rsid w:val="22B84CA5"/>
    <w:rsid w:val="22BB1139"/>
    <w:rsid w:val="235D559B"/>
    <w:rsid w:val="236C5035"/>
    <w:rsid w:val="23C561BC"/>
    <w:rsid w:val="2447559E"/>
    <w:rsid w:val="24B12FEC"/>
    <w:rsid w:val="255E0351"/>
    <w:rsid w:val="25CE4265"/>
    <w:rsid w:val="260C72F5"/>
    <w:rsid w:val="2620503B"/>
    <w:rsid w:val="262E5F8A"/>
    <w:rsid w:val="2670658E"/>
    <w:rsid w:val="26B41E2F"/>
    <w:rsid w:val="26E36D60"/>
    <w:rsid w:val="277F0E70"/>
    <w:rsid w:val="2801247F"/>
    <w:rsid w:val="28054BC8"/>
    <w:rsid w:val="290D4568"/>
    <w:rsid w:val="29941A77"/>
    <w:rsid w:val="29A476AA"/>
    <w:rsid w:val="29B83D7F"/>
    <w:rsid w:val="29FB0865"/>
    <w:rsid w:val="2AE65CB3"/>
    <w:rsid w:val="2B3C2072"/>
    <w:rsid w:val="2B7B1F76"/>
    <w:rsid w:val="2BF37A45"/>
    <w:rsid w:val="2C235D34"/>
    <w:rsid w:val="2C446910"/>
    <w:rsid w:val="2C5D5087"/>
    <w:rsid w:val="2C8B7B59"/>
    <w:rsid w:val="2CCD64E8"/>
    <w:rsid w:val="2CD21E75"/>
    <w:rsid w:val="2CF25F4F"/>
    <w:rsid w:val="2D457512"/>
    <w:rsid w:val="2DA6425F"/>
    <w:rsid w:val="2DBD23E2"/>
    <w:rsid w:val="2E04418C"/>
    <w:rsid w:val="2E1A2F5F"/>
    <w:rsid w:val="2E29075F"/>
    <w:rsid w:val="2E67296D"/>
    <w:rsid w:val="2F482628"/>
    <w:rsid w:val="2F602460"/>
    <w:rsid w:val="2F827680"/>
    <w:rsid w:val="30125257"/>
    <w:rsid w:val="30C96FC7"/>
    <w:rsid w:val="30E91417"/>
    <w:rsid w:val="30F25826"/>
    <w:rsid w:val="312C1E23"/>
    <w:rsid w:val="31ED4F37"/>
    <w:rsid w:val="32643B5D"/>
    <w:rsid w:val="32AE251B"/>
    <w:rsid w:val="32CE1C89"/>
    <w:rsid w:val="32CF2F6B"/>
    <w:rsid w:val="32E46CC7"/>
    <w:rsid w:val="32E97C3B"/>
    <w:rsid w:val="33AA23E7"/>
    <w:rsid w:val="33E505BB"/>
    <w:rsid w:val="34042696"/>
    <w:rsid w:val="34292CC4"/>
    <w:rsid w:val="342F4382"/>
    <w:rsid w:val="347C0D8D"/>
    <w:rsid w:val="3528028F"/>
    <w:rsid w:val="353A59D7"/>
    <w:rsid w:val="354D74CE"/>
    <w:rsid w:val="35516825"/>
    <w:rsid w:val="359477A9"/>
    <w:rsid w:val="35A43E76"/>
    <w:rsid w:val="35C77281"/>
    <w:rsid w:val="36526E0E"/>
    <w:rsid w:val="37353608"/>
    <w:rsid w:val="374804E7"/>
    <w:rsid w:val="37674CCE"/>
    <w:rsid w:val="37982815"/>
    <w:rsid w:val="37C85758"/>
    <w:rsid w:val="37F45271"/>
    <w:rsid w:val="38566A09"/>
    <w:rsid w:val="38D22B1E"/>
    <w:rsid w:val="39133C4A"/>
    <w:rsid w:val="39641F82"/>
    <w:rsid w:val="398048E2"/>
    <w:rsid w:val="39D36BDD"/>
    <w:rsid w:val="39F23A32"/>
    <w:rsid w:val="3A7470AC"/>
    <w:rsid w:val="3A8D6D49"/>
    <w:rsid w:val="3A9E7264"/>
    <w:rsid w:val="3B0523C6"/>
    <w:rsid w:val="3B536B86"/>
    <w:rsid w:val="3B6C0AD4"/>
    <w:rsid w:val="3B8E32E7"/>
    <w:rsid w:val="3BD3519D"/>
    <w:rsid w:val="3BD72EE0"/>
    <w:rsid w:val="3C585C4A"/>
    <w:rsid w:val="3C5B6581"/>
    <w:rsid w:val="3C8B47E9"/>
    <w:rsid w:val="3C912148"/>
    <w:rsid w:val="3D0F3EF4"/>
    <w:rsid w:val="3D1578E3"/>
    <w:rsid w:val="3D343687"/>
    <w:rsid w:val="3D552B53"/>
    <w:rsid w:val="3DB949A2"/>
    <w:rsid w:val="3DF227DD"/>
    <w:rsid w:val="3E2D203C"/>
    <w:rsid w:val="3E860BED"/>
    <w:rsid w:val="3F186A7B"/>
    <w:rsid w:val="3F3B4861"/>
    <w:rsid w:val="408563A3"/>
    <w:rsid w:val="409A0D2D"/>
    <w:rsid w:val="40FB141E"/>
    <w:rsid w:val="41397EDA"/>
    <w:rsid w:val="427C658F"/>
    <w:rsid w:val="42BF2533"/>
    <w:rsid w:val="42D60B03"/>
    <w:rsid w:val="42E260D8"/>
    <w:rsid w:val="444063F8"/>
    <w:rsid w:val="44786965"/>
    <w:rsid w:val="45DC16E7"/>
    <w:rsid w:val="45FA7AA8"/>
    <w:rsid w:val="464D790E"/>
    <w:rsid w:val="46523D01"/>
    <w:rsid w:val="47071753"/>
    <w:rsid w:val="47146CF3"/>
    <w:rsid w:val="472505CD"/>
    <w:rsid w:val="48194880"/>
    <w:rsid w:val="48396CD0"/>
    <w:rsid w:val="48B325DE"/>
    <w:rsid w:val="48B35D52"/>
    <w:rsid w:val="48B50539"/>
    <w:rsid w:val="493319DD"/>
    <w:rsid w:val="49557D93"/>
    <w:rsid w:val="49EC224C"/>
    <w:rsid w:val="4A024E39"/>
    <w:rsid w:val="4A630034"/>
    <w:rsid w:val="4B8464B4"/>
    <w:rsid w:val="4BF47ACF"/>
    <w:rsid w:val="4BF6325F"/>
    <w:rsid w:val="4C6C6DEE"/>
    <w:rsid w:val="4C9F628E"/>
    <w:rsid w:val="4CD805F1"/>
    <w:rsid w:val="4D1C24CD"/>
    <w:rsid w:val="4DA21B10"/>
    <w:rsid w:val="4DAC1A55"/>
    <w:rsid w:val="4E81054F"/>
    <w:rsid w:val="4EA12D74"/>
    <w:rsid w:val="4F6D7320"/>
    <w:rsid w:val="4FB37368"/>
    <w:rsid w:val="4FCA7D61"/>
    <w:rsid w:val="4FE31BC3"/>
    <w:rsid w:val="50BB64D4"/>
    <w:rsid w:val="50BE5FC4"/>
    <w:rsid w:val="51022FDD"/>
    <w:rsid w:val="5107796B"/>
    <w:rsid w:val="510A1DA1"/>
    <w:rsid w:val="510B0870"/>
    <w:rsid w:val="51351076"/>
    <w:rsid w:val="516176FF"/>
    <w:rsid w:val="51883FA7"/>
    <w:rsid w:val="53292722"/>
    <w:rsid w:val="538452A3"/>
    <w:rsid w:val="544D4633"/>
    <w:rsid w:val="551D5F8B"/>
    <w:rsid w:val="55574F84"/>
    <w:rsid w:val="557D01FC"/>
    <w:rsid w:val="55AC591B"/>
    <w:rsid w:val="55FC1691"/>
    <w:rsid w:val="5617441A"/>
    <w:rsid w:val="5747662E"/>
    <w:rsid w:val="57602C39"/>
    <w:rsid w:val="57BE408D"/>
    <w:rsid w:val="590029F3"/>
    <w:rsid w:val="595B6AA6"/>
    <w:rsid w:val="5A61633E"/>
    <w:rsid w:val="5A815E0F"/>
    <w:rsid w:val="5AB700BF"/>
    <w:rsid w:val="5B310B75"/>
    <w:rsid w:val="5B9930A6"/>
    <w:rsid w:val="5CEE19DF"/>
    <w:rsid w:val="5CFA03D2"/>
    <w:rsid w:val="5D011713"/>
    <w:rsid w:val="5D093EE7"/>
    <w:rsid w:val="5D296A20"/>
    <w:rsid w:val="5D380EAD"/>
    <w:rsid w:val="5E2539F4"/>
    <w:rsid w:val="5EE05174"/>
    <w:rsid w:val="5F881C77"/>
    <w:rsid w:val="5FA92A2C"/>
    <w:rsid w:val="60996056"/>
    <w:rsid w:val="60CA77DA"/>
    <w:rsid w:val="60EA6962"/>
    <w:rsid w:val="60F40A67"/>
    <w:rsid w:val="610F54E3"/>
    <w:rsid w:val="61753A27"/>
    <w:rsid w:val="61A116F3"/>
    <w:rsid w:val="61B41923"/>
    <w:rsid w:val="61B5217F"/>
    <w:rsid w:val="61BC65F6"/>
    <w:rsid w:val="630C0E11"/>
    <w:rsid w:val="6321795A"/>
    <w:rsid w:val="63290B79"/>
    <w:rsid w:val="633A59A5"/>
    <w:rsid w:val="634C7F4D"/>
    <w:rsid w:val="63C4349A"/>
    <w:rsid w:val="64C96ACC"/>
    <w:rsid w:val="654011A6"/>
    <w:rsid w:val="65655E28"/>
    <w:rsid w:val="65D73176"/>
    <w:rsid w:val="671309C0"/>
    <w:rsid w:val="677A1159"/>
    <w:rsid w:val="67AA2F75"/>
    <w:rsid w:val="67C63C85"/>
    <w:rsid w:val="67C938CC"/>
    <w:rsid w:val="68A17E1F"/>
    <w:rsid w:val="693E3CEF"/>
    <w:rsid w:val="69AF24F6"/>
    <w:rsid w:val="69D361E5"/>
    <w:rsid w:val="6A415844"/>
    <w:rsid w:val="6AC13E4D"/>
    <w:rsid w:val="6C177913"/>
    <w:rsid w:val="6C2B1798"/>
    <w:rsid w:val="6C6346C3"/>
    <w:rsid w:val="6CE10C19"/>
    <w:rsid w:val="6D1B0B76"/>
    <w:rsid w:val="6D566C13"/>
    <w:rsid w:val="6DA65F74"/>
    <w:rsid w:val="6DBB0772"/>
    <w:rsid w:val="6E3306A9"/>
    <w:rsid w:val="6E6A4AAC"/>
    <w:rsid w:val="6E761835"/>
    <w:rsid w:val="6E891568"/>
    <w:rsid w:val="6ECA319C"/>
    <w:rsid w:val="6F467792"/>
    <w:rsid w:val="6F647CC4"/>
    <w:rsid w:val="6F8A10CB"/>
    <w:rsid w:val="6FAF14A2"/>
    <w:rsid w:val="6FCF3511"/>
    <w:rsid w:val="70082960"/>
    <w:rsid w:val="70F06984"/>
    <w:rsid w:val="71A566B9"/>
    <w:rsid w:val="71DB032D"/>
    <w:rsid w:val="71F8448B"/>
    <w:rsid w:val="722420EE"/>
    <w:rsid w:val="72B141BD"/>
    <w:rsid w:val="73FD4F9A"/>
    <w:rsid w:val="741B39DB"/>
    <w:rsid w:val="745D2583"/>
    <w:rsid w:val="754464D4"/>
    <w:rsid w:val="758651C2"/>
    <w:rsid w:val="75BE41ED"/>
    <w:rsid w:val="75D360EB"/>
    <w:rsid w:val="75E30307"/>
    <w:rsid w:val="761539AE"/>
    <w:rsid w:val="766936AC"/>
    <w:rsid w:val="76CF1B02"/>
    <w:rsid w:val="773F310C"/>
    <w:rsid w:val="77752FD1"/>
    <w:rsid w:val="77E62F88"/>
    <w:rsid w:val="77E85EB0"/>
    <w:rsid w:val="780304ED"/>
    <w:rsid w:val="78090E99"/>
    <w:rsid w:val="78234378"/>
    <w:rsid w:val="7851444D"/>
    <w:rsid w:val="790660A1"/>
    <w:rsid w:val="791F6D21"/>
    <w:rsid w:val="793E5753"/>
    <w:rsid w:val="79BE3AC4"/>
    <w:rsid w:val="79DC52C6"/>
    <w:rsid w:val="7A307107"/>
    <w:rsid w:val="7AA3000B"/>
    <w:rsid w:val="7AA54A5E"/>
    <w:rsid w:val="7ADE094E"/>
    <w:rsid w:val="7B051E9F"/>
    <w:rsid w:val="7B19516E"/>
    <w:rsid w:val="7B4179EA"/>
    <w:rsid w:val="7B9E5F04"/>
    <w:rsid w:val="7BF85F7F"/>
    <w:rsid w:val="7CE174E0"/>
    <w:rsid w:val="7D0B3D84"/>
    <w:rsid w:val="7D260845"/>
    <w:rsid w:val="7D5E45A5"/>
    <w:rsid w:val="7F4353C5"/>
    <w:rsid w:val="7F7F0522"/>
    <w:rsid w:val="7F993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toc 3"/>
    <w:basedOn w:val="1"/>
    <w:next w:val="1"/>
    <w:qFormat/>
    <w:uiPriority w:val="0"/>
    <w:pPr>
      <w:ind w:left="840" w:leftChars="400"/>
    </w:pPr>
  </w:style>
  <w:style w:type="paragraph" w:styleId="4">
    <w:name w:val="Plain Text"/>
    <w:basedOn w:val="1"/>
    <w:qFormat/>
    <w:uiPriority w:val="0"/>
    <w:rPr>
      <w:rFonts w:ascii="宋体" w:hAnsi="Courier New"/>
    </w:rPr>
  </w:style>
  <w:style w:type="paragraph" w:styleId="5">
    <w:name w:val="Balloon Text"/>
    <w:basedOn w:val="1"/>
    <w:link w:val="16"/>
    <w:qFormat/>
    <w:uiPriority w:val="0"/>
    <w:rPr>
      <w:sz w:val="18"/>
      <w:szCs w:val="18"/>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footnote text"/>
    <w:basedOn w:val="1"/>
    <w:semiHidden/>
    <w:unhideWhenUsed/>
    <w:qFormat/>
    <w:uiPriority w:val="99"/>
    <w:pPr>
      <w:snapToGrid w:val="0"/>
      <w:jc w:val="left"/>
    </w:pPr>
    <w:rPr>
      <w:sz w:val="18"/>
      <w:szCs w:val="18"/>
    </w:rPr>
  </w:style>
  <w:style w:type="paragraph" w:styleId="10">
    <w:name w:val="toc 2"/>
    <w:basedOn w:val="1"/>
    <w:next w:val="1"/>
    <w:qFormat/>
    <w:uiPriority w:val="0"/>
    <w:pPr>
      <w:ind w:left="420" w:leftChars="200"/>
    </w:pPr>
  </w:style>
  <w:style w:type="paragraph" w:styleId="11">
    <w:name w:val="annotation subject"/>
    <w:basedOn w:val="2"/>
    <w:next w:val="2"/>
    <w:link w:val="18"/>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0"/>
    <w:rPr>
      <w:sz w:val="21"/>
      <w:szCs w:val="21"/>
    </w:rPr>
  </w:style>
  <w:style w:type="character" w:customStyle="1" w:styleId="16">
    <w:name w:val="批注框文本 字符"/>
    <w:basedOn w:val="14"/>
    <w:link w:val="5"/>
    <w:qFormat/>
    <w:uiPriority w:val="0"/>
    <w:rPr>
      <w:kern w:val="2"/>
      <w:sz w:val="18"/>
      <w:szCs w:val="18"/>
    </w:rPr>
  </w:style>
  <w:style w:type="character" w:customStyle="1" w:styleId="17">
    <w:name w:val="批注文字 字符"/>
    <w:basedOn w:val="14"/>
    <w:link w:val="2"/>
    <w:qFormat/>
    <w:uiPriority w:val="0"/>
    <w:rPr>
      <w:kern w:val="2"/>
      <w:sz w:val="21"/>
      <w:szCs w:val="24"/>
    </w:rPr>
  </w:style>
  <w:style w:type="character" w:customStyle="1" w:styleId="18">
    <w:name w:val="批注主题 字符"/>
    <w:basedOn w:val="17"/>
    <w:link w:val="11"/>
    <w:qFormat/>
    <w:uiPriority w:val="0"/>
    <w:rPr>
      <w:b/>
      <w:bCs/>
      <w:kern w:val="2"/>
      <w:sz w:val="21"/>
      <w:szCs w:val="24"/>
    </w:rPr>
  </w:style>
  <w:style w:type="paragraph" w:customStyle="1" w:styleId="19">
    <w:name w:val="样式7"/>
    <w:basedOn w:val="4"/>
    <w:qFormat/>
    <w:uiPriority w:val="0"/>
    <w:pPr>
      <w:spacing w:line="480" w:lineRule="auto"/>
      <w:ind w:firstLine="397"/>
      <w:jc w:val="center"/>
    </w:pPr>
    <w:rPr>
      <w:rFonts w:ascii="方正宋黑简体" w:eastAsia="方正宋黑简体"/>
      <w:sz w:val="28"/>
    </w:rPr>
  </w:style>
  <w:style w:type="paragraph" w:styleId="20">
    <w:name w:val="List Paragraph"/>
    <w:basedOn w:val="1"/>
    <w:qFormat/>
    <w:uiPriority w:val="99"/>
    <w:pPr>
      <w:ind w:firstLine="420" w:firstLineChars="200"/>
    </w:pPr>
  </w:style>
  <w:style w:type="character" w:customStyle="1" w:styleId="21">
    <w:name w:val="font21"/>
    <w:basedOn w:val="14"/>
    <w:qFormat/>
    <w:uiPriority w:val="0"/>
    <w:rPr>
      <w:rFonts w:hint="eastAsia" w:ascii="宋体" w:hAnsi="宋体" w:eastAsia="宋体" w:cs="宋体"/>
      <w:b/>
      <w:bCs/>
      <w:color w:val="40404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ShineWing</Company>
  <Pages>70</Pages>
  <Words>5250</Words>
  <Characters>5316</Characters>
  <Lines>385</Lines>
  <Paragraphs>108</Paragraphs>
  <TotalTime>6</TotalTime>
  <ScaleCrop>false</ScaleCrop>
  <LinksUpToDate>false</LinksUpToDate>
  <CharactersWithSpaces>5466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2025-09-22T10:03:00Z</dcterms:created>
  <dc:creator>燕子</dc:creator>
  <cp:lastModifiedBy>田秋</cp:lastModifiedBy>
  <cp:lastPrinted>2025-09-02T07:50:00Z</cp:lastPrinted>
  <dcterms:modified xsi:type="dcterms:W3CDTF">2025-09-23T07:27:11Z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47906C02362642039A0FF541121601F2_13</vt:lpwstr>
  </property>
  <property fmtid="{D5CDD505-2E9C-101B-9397-08002B2CF9AE}" pid="4" name="KSOTemplateDocerSaveRecord">
    <vt:lpwstr>eyJoZGlkIjoiNDE5YWY0MjczMzU4ZTFkNTk5YTYxZDU1MzYzN2IwYjQiLCJ1c2VySWQiOiIxNzMxNzQxMzA4In0=</vt:lpwstr>
  </property>
</Properties>
</file>