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附件8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乌兰察布市城镇土地使用税税额标准调整方案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pacing w:val="-1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辖区</w:t>
      </w:r>
      <w:r>
        <w:rPr>
          <w:rFonts w:hint="eastAsia" w:ascii="黑体" w:hAnsi="黑体" w:eastAsia="黑体" w:cs="黑体"/>
          <w:sz w:val="32"/>
          <w:szCs w:val="32"/>
        </w:rPr>
        <w:t>应税土地单位税额标准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（一）集宁区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二等地：6.4元/平方米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（二）察哈尔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  <w:lang w:eastAsia="zh-CN"/>
        </w:rPr>
        <w:t>高新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技术开发区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一等地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二、市所属旗县（县级市）应税土地单位税额标准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（一）丰镇市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等地：6.4元/平方米；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（二）察哈尔右翼前旗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（三）察哈尔右翼中旗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等地：3.2元/平方米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（四）察哈尔右翼后旗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（五）四子王旗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等地：3.2元/平方米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（六）卓资县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（七）凉城县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（八）兴和县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（九）商都县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等地：3.2元/平方米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（十）化德县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508B0"/>
    <w:rsid w:val="14692B1A"/>
    <w:rsid w:val="55F5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2026-04-03T02:32:00Z</dcterms:created>
  <dc:creator>哈斯高娃:通知发起人</dc:creator>
  <cp:lastModifiedBy>哈斯高娃:通知发起人</cp:lastModifiedBy>
  <dcterms:modified xsi:type="dcterms:W3CDTF">2026-04-03T02:36:11Z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