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阿拉善盟城镇土地使用税税额标准调整方案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一、盟行政公署所在地应税土地单位税额标准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阿拉善左旗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二等地：4.0元/平方米；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珠拉黄金矿区：1.6元/平方米。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二、盟所属旗县应税土地单位税额标准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（一）阿拉善右旗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二等地：4.0元/平方米；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五等地：1.6元/平方米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（二）额济纳旗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二等地：4.0元/平方米；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三等地：3.2元/平方米；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五等地：1.6元/平方米；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赛汗陶来工业区、哈达贺休工业区、东七一山工业加工区：1.6元/平方米。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A5394"/>
    <w:rsid w:val="4A9A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2026-04-03T02:34:00Z</dcterms:created>
  <dc:creator>哈斯高娃:通知发起人</dc:creator>
  <cp:lastModifiedBy>哈斯高娃:通知发起人</cp:lastModifiedBy>
  <dcterms:modified xsi:type="dcterms:W3CDTF">2026-04-03T02:34:51Z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